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Munters Group AB (publ)</w:t>
      </w:r>
    </w:p>
    <w:p>
      <w:pPr>
        <w:spacing w:after="60"/>
        <w:rPr>
          <w:color w:val="52514E"/>
          <w:sz w:val="22"/>
          <w:szCs w:val="22"/>
        </w:rPr>
      </w:pPr>
      <w:r>
        <w:rPr>
          <w:color w:val="52514E"/>
          <w:sz w:val="22"/>
          <w:szCs w:val="22"/>
        </w:rPr>
        <w:t xml:space="preserve">MTRS · Nasdaq Stockholm (Large Cap) · ISIN SE0009806607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19 oct 2026</w:t>
      </w:r>
      <w:r>
        <w:rPr>
          <w:color w:val="52514E"/>
          <w:sz w:val="18"/>
          <w:szCs w:val="18"/>
        </w:rPr>
        <w:t xml:space="preserve"> · Divisa: </w:t>
      </w:r>
      <w:r>
        <w:rPr>
          <w:b/>
          <w:bCs/>
          <w:color w:val="52514E"/>
          <w:sz w:val="18"/>
          <w:szCs w:val="18"/>
        </w:rPr>
        <w:t xml:space="preserve">SEK</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132,05 SEK</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176,40 SEK</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+34,8 % (base +35,6 %)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141,02 SEK · mercado 161,68</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24.105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9,7x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3,1x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Munters Group AB (publ)</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MTRS / SE0009806607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Stockholm (Large Cap)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OMX Stockholm 30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Productos de construcción (climatización)</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Kista, Estocolmo (Suecia) · 1955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5.305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www.munters.com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132,05 (19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115,40 – 212,40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71,0 %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24.105 M SEK</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30.693 M SEK</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100 M SEK/día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176,40 SEK</w:t>
      </w:r>
      <w:r>
        <w:t xml:space="preserve"> frente a 132,05 · Rentabilidad a 12 meses </w:t>
      </w:r>
      <w:r>
        <w:rPr>
          <w:b/>
          <w:bCs/>
        </w:rPr>
        <w:t xml:space="preserve">+34,8 % (base +35,6 %)</w:t>
      </w:r>
      <w:r>
        <w:t xml:space="preserve"> · Valor intrínseco 141,02 SEK · con la prima implícita del mercado: 161,68 (+22,4 %) · Alcista / bajista +25,0 % / -43,3 %</w:t>
      </w:r>
    </w:p>
    <w:p>
      <w:pPr>
        <w:spacing w:after="100"/>
      </w:pPr>
      <w:r>
        <w:rPr>
          <w:b/>
        </w:rPr>
        <w:t xml:space="preserve">La recomendación y por qué.</w:t>
      </w:r>
      <w:r>
        <w:t xml:space="preserve"> Mantener, convicción baja; para quien no la tiene, no comprar. A 132,05 SEK (cierre del 19-oct) la regla a 12 meses da un objetivo de 176,40 SEK (+34,8 % ponderado, +35,6 % en el base) y el valor intrínseco es de 141,02 (+6,8 %), con el objetivo medio de los analistas en 206,25 (155-245). Nos apartamos de la regla porque Munters no pasa el filtro de calidad: el ROIC (9,2 %) supera al WACC (8,81 %) por solo 0,4 puntos, y la subida exige que el BPA pase de 3,01 a 8,57 SEK en tres años. La convicción es baja porque las reglas discrepan y porque con un BPA un 10 % peor la regla de control cae por debajo del 15 %; subiría si el margen de DCT vuelve por encima del 15 % en el 4T26. Frente al 15-oct no cambia nada de fondo: el precio sube un 3,4 % y el 3T26 se publica el 23-oct.</w:t>
      </w:r>
    </w:p>
    <w:p>
      <w:pPr>
        <w:spacing w:after="100"/>
      </w:pPr>
      <w:r>
        <w:rPr>
          <w:b/>
        </w:rPr>
        <w:t xml:space="preserve">El negocio.</w:t>
      </w:r>
      <w:r>
        <w:t xml:space="preserve"> Munters vende control de clima y humedad para fábricas y, sobre todo, refrigeración de centros de datos (DCT, 40 % de las ventas y 62 % de los pedidos). La cartera de pedidos es de 24.542 M, 1,7 años de ventas [2]. Pero el foso es estrecho: el margen EBIT (10,5 %) es la mitad que el de Vertiv o Trane, y el ROIC sin fondo de comercio (21,3 %) muestra que las compras se pagaron caras. La calidad sostiene el crecimiento «En parte»: el volumen está contratado y lo financian los anticipos de clientes, pero el margen que proyectamos (16,5 % de EBITDA) supone que el capital nuevo rinde un 30,0 %, frente a un histórico del 8,5 %.</w:t>
      </w:r>
    </w:p>
    <w:p>
      <w:pPr>
        <w:spacing w:after="100"/>
      </w:pPr>
      <w:r>
        <w:rPr>
          <w:b/>
        </w:rPr>
        <w:t xml:space="preserve">Finanzas.</w:t>
      </w:r>
      <w:r>
        <w:t xml:space="preserve"> Ventas de 14.712 M en 2025 (+16,0 % anual desde 2020 con compras), margen EBITA ajustado del 15,5 % en 2024, del 12,7 % en 2025 y del 11,0 % en el 2T26 por la puesta en marcha de las enfriadoras en Virginia, la escasez de componentes y ≈3 puntos de aranceles [2]. La deuda neta ajustada es de 6.623 M, 3,2 veces el EBITDA ajustado según la empresa; el flujo libre de 2024-2026 se apoya en anticipos que se revertirán.</w:t>
      </w:r>
    </w:p>
    <w:p>
      <w:pPr>
        <w:spacing w:after="100"/>
      </w:pPr>
      <w:r>
        <w:rPr>
          <w:b/>
        </w:rPr>
        <w:t xml:space="preserve">Equipo y gobierno.</w:t>
      </w:r>
      <w:r>
        <w:t xml:space="preserve"> Consejero delegado nuevo desde el 14-sep (Stefan Aspman, que construyó DCT). FAM tiene el 28,3 %. Los directivos compraron tras el 2T a 162-187 SEK [18]. El variable se mide con EBITA ajustado, no con el ROIC.</w:t>
      </w:r>
    </w:p>
    <w:p>
      <w:pPr>
        <w:spacing w:after="100"/>
      </w:pPr>
      <w:r>
        <w:rPr>
          <w:b/>
        </w:rPr>
        <w:t xml:space="preserve">Valoración.</w:t>
      </w:r>
      <w:r>
        <w:t xml:space="preserve"> El DCF da 132,23 SEK y el precio descuenta un crecimiento del 8,8 % anual con un margen del 16,5 %: exactamente nuestro base, que está un 30 % por debajo del BPA de 2028 del consenso (12,17). Los comparables pagan 21,6 veces el BPA, pero con ROIC del doble. Con la prima del mercado el DCF sube a 158,69: casi todo el potencial es tasa de descuento.</w:t>
      </w:r>
    </w:p>
    <w:p>
      <w:pPr>
        <w:spacing w:after="100"/>
      </w:pPr>
      <w:r>
        <w:rPr>
          <w:b/>
        </w:rPr>
        <w:t xml:space="preserve">Riesgos y catalizadores.</w:t>
      </w:r>
      <w:r>
        <w:t xml:space="preserve"> El margen de DCT (bajista del DCF 74,90, −43,3 %) y la IA en los dos sentidos: el capex de los hiperescaladores sostiene la cartera, pero un frenazo o el cambio a chips refrigerados con agua templada, que reduce las enfriadoras, golpearían a DCT [16]. Catalizadores: 3T26 el 23-oct, día del inversor el 11-nov y la venta de Speria (FoodTech), con ofertas indicativas a finales de octubre y valoraciones de 3.900-6.000 M que cubrirían casi toda la deuda neta [34].</w:t>
      </w:r>
    </w:p>
    <w:p>
      <w:pPr>
        <w:spacing w:after="100"/>
      </w:pPr>
      <w:r>
        <w:rPr>
          <w:b/>
        </w:rPr>
        <w:t xml:space="preserve">Qué cambiaría la decisión.</w:t>
      </w:r>
      <w:r>
        <w:t xml:space="preserve"> Comprar por debajo de 141,02 SEK (≈129,6 para que también aguante la regla de control con un BPA un 10 % peor) solo si la calidad mejora (ROIC − WACC ≥ 5 puntos, es decir, un EBIT de ≈2.500 M sobre el capital actual) o si la venta de FoodTech reduce el capital invertido; vender por encima de 197,78. Con un margen de DCT del 13 % o menos en el 4T26, el base bajaría y pasaríamos a reducir.</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 Objetivo a 12 meses: </w:t>
      </w:r>
      <w:r>
        <w:rPr>
          <w:b/>
          <w:bCs/>
        </w:rPr>
        <w:t xml:space="preserve">176,40 SEK</w:t>
      </w:r>
      <w:r>
        <w:t xml:space="preserve"> (rentabilidad +34,8 % (base +35,6 %)) · Valor intrínseco: 141,02 SEK (+6,8 % sobre 132,05) · con la prima implícita del mercado: 161,68 (+22,4 %)</w:t>
      </w:r>
    </w:p>
    <w:p>
      <w:pPr>
        <w:spacing w:after="100"/>
      </w:pPr>
      <w:r>
        <w:t xml:space="preserve">Munters es un especialista sueco en control de clima con dos motores: la deshumidificación industrial (AirTech), donde es referencia mundial desde 1955, y la refrigeración de centros de datos (DCT), que en cinco años pasó de 702 M a 5.906 M de ventas y hoy tiene 19.185 M en cartera [1, 2]. El conjunto vende 14.712 M con un margen EBITA ajustado del 12,7 % y un ROIC del 9,2 %.</w:t>
      </w:r>
    </w:p>
    <w:p>
      <w:pPr>
        <w:spacing w:after="100"/>
      </w:pPr>
      <w:r>
        <w:t xml:space="preserve">El precio (132,05 SEK) descuenta un crecimiento del 8,8 % anual hasta 2033 con un margen EBITDA del 16,5 %: es decir, que la cartera se factura y el margen vuelve a algo menos que en 2024. Cotiza a 18,8 veces nuestro BPA de 2027 y a 13,7 veces el del consenso, con descuento frente a sus comparables (21,6x) y a su historia (23,9x).</w:t>
      </w:r>
    </w:p>
    <w:p>
      <w:pPr>
        <w:spacing w:after="100"/>
      </w:pPr>
      <w:r>
        <w:t xml:space="preserve">El mercado acierta al pedir descuento: el ROIC de Munters apenas cubre su coste de capital, la deuda está en máximos y el margen de DCT lleva cuatro trimestres bajando. Para invertir hay que creer que Virginia y los precios devuelven a DCT márgenes del 18-20 % en 2027 y que la refrigeración por aire y las enfriadoras no pierden peso con los chips nuevos. Lo primero se verá en el 3T26 y el 4T26; lo segundo, en la mezcla de pedidos.</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176,40 SEK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 × 5,72 = 94,38 · 20,7x × 8,57 = 177,40 · 25,9x × 9,90 = 256,41</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34,8 % / 35,6 %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206,25 (nuestro base -14,0 %)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141,02 SEK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25,0 % / -43,3 %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0,58x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 frente a 8,8 % y 7,6 %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7,6 %)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161,68 SEK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(2027e-2033e)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 frente a 12,8 %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(8,5 % anual proyectado; financiable al ROIC actual: 2,5 %)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Mantener, relativa Comprar))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141,02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141,02 y 197,78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197,78 (ponderada a 12 meses ≤ -10 %)</w:t>
            </w:r>
          </w:p>
        </w:tc>
      </w:tr>
    </w:tbl>
    <w:p>
      <w:pPr>
        <w:spacing w:after="160" w:before="0"/>
      </w:pPr>
    </w:p>
    <w:p>
      <w:pPr>
        <w:spacing w:after="100"/>
      </w:pPr>
      <w:r>
        <w:rPr>
          <w:b/>
          <w:bCs/>
        </w:rPr>
        <w:t xml:space="preserve">Por qué la recomendación se aparta de la regla.</w:t>
      </w:r>
    </w:p>
    <w:p>
      <w:pPr>
        <w:spacing w:after="100"/>
      </w:pPr>
      <w:r>
        <w:t xml:space="preserve">La regla a 12 meses da Comprar (ponderada del 34,8 %, base del 35,6 %, valor intrínseco de 141,02 por encima del precio de 132,05), pero nos apartamos por tres razones que la valoración no recoge. Primera, la calidad: el ROIC (9,2 %) supera al WACC (8,81 %) por 0,4 puntos, lejos de los 5 que exigimos para comprar, y la prueba de sostenibilidad queda «En parte». Segunda, el BPA de la regla supone crecer un 42 % anual desde 2025, un rebote que depende de que el margen de DCT se recupere después de cuatro trimestres a la baja. Tercera, las dos reglas discrepan (absoluta Mantener, relativa Comprar): sin la prima del mercado, el potencial hasta el valor intrínseco es del 6,8 %. Además, con un BPA un 10 % peor la regla de control (v2) queda por debajo del 15 %. Es una empresa barata frente a su historia, pero no una compra de calidad.</w:t>
      </w:r>
    </w:p>
    <w:p>
      <w:pPr>
        <w:pStyle w:val="Heading2"/>
      </w:pPr>
      <w:r>
        <w:t xml:space="preserve">Qué cambiaría la recomendación</w:t>
      </w:r>
    </w:p>
    <w:p>
      <w:pPr>
        <w:pStyle w:val="ListParagraph"/>
        <w:numPr>
          <w:ilvl w:val="0"/>
          <w:numId w:val="2"/>
        </w:numPr>
        <w:spacing w:after="60"/>
      </w:pPr>
      <w:r>
        <w:t xml:space="preserve">Si el margen EBITA ajustado de DCT baja del 13 % en el 4T26, pasaríamos a Vender.</w:t>
      </w:r>
    </w:p>
    <w:p>
      <w:pPr>
        <w:pStyle w:val="ListParagraph"/>
        <w:numPr>
          <w:ilvl w:val="0"/>
          <w:numId w:val="2"/>
        </w:numPr>
        <w:spacing w:after="60"/>
      </w:pPr>
      <w:r>
        <w:t xml:space="preserve">Si el ROIC sube por encima del 13,8 % (WACC + 5) con resultados publicados, la compra sería posible por debajo de 141,02 SEK (≈129,6 con la prueba de BPA −10 % en la regla de control).</w:t>
      </w:r>
    </w:p>
    <w:p>
      <w:pPr>
        <w:pStyle w:val="ListParagraph"/>
        <w:numPr>
          <w:ilvl w:val="0"/>
          <w:numId w:val="2"/>
        </w:numPr>
        <w:spacing w:after="60"/>
      </w:pPr>
      <w:r>
        <w:t xml:space="preserve">Si FoodTech se vende a más de 15 veces su EBITA y la deuda neta baja de 2.500 M, revisaríamos al alza el valor intrínseco.</w:t>
      </w:r>
    </w:p>
    <w:p>
      <w:pPr>
        <w:pStyle w:val="ListParagraph"/>
        <w:numPr>
          <w:ilvl w:val="0"/>
          <w:numId w:val="2"/>
        </w:numPr>
        <w:spacing w:after="60"/>
      </w:pPr>
      <w:r>
        <w:t xml:space="preserve">Si los pedidos de DCT bajan de 2.000 M en dos trimestres seguidos, rebajaríamos el base.</w:t>
      </w:r>
    </w:p>
    <w:p>
      <w:pPr>
        <w:pStyle w:val="Heading2"/>
      </w:pPr>
      <w:r>
        <w:t xml:space="preserve">Dónde discrepamos del mercado</w:t>
      </w:r>
    </w:p>
    <w:p>
      <w:pPr>
        <w:keepNext/>
        <w:spacing w:after="100"/>
      </w:pPr>
      <w:r>
        <w:rPr>
          <w:b/>
          <w:bCs/>
        </w:rPr>
        <w:t xml:space="preserve">Lo que descuenta el precio.</w:t>
      </w:r>
    </w:p>
    <w:p>
      <w:pPr>
        <w:spacing w:after="100"/>
      </w:pPr>
      <w:r>
        <w:t xml:space="preserve">El precio de 132,05 SEK descuenta un crecimiento del 8,8 % anual hasta 2033 y un margen EBITDA del 16,5 %, nuestro caso base. Los analistas, en cambio, esperan un BPA de 12,17 SEK en 2028 y un objetivo de 206,25.</w:t>
      </w:r>
    </w:p>
    <w:p>
      <w:pPr>
        <w:keepNext/>
        <w:spacing w:after="100"/>
      </w:pPr>
      <w:r>
        <w:rPr>
          <w:b/>
          <w:bCs/>
        </w:rPr>
        <w:t xml:space="preserve">Lo que creemos nosotros.</w:t>
      </w:r>
    </w:p>
    <w:p>
      <w:pPr>
        <w:spacing w:after="100"/>
      </w:pPr>
      <w:r>
        <w:t xml:space="preserve">Coincidimos con el precio más que con los analistas: nuestro BPA de 2028 (8,57) está un 30 % por debajo del consenso porque no damos por hecho que el margen vuelva al objetivo de la empresa.</w:t>
      </w:r>
    </w:p>
    <w:p>
      <w:pPr>
        <w:keepNext/>
        <w:spacing w:after="100"/>
      </w:pPr>
      <w:r>
        <w:rPr>
          <w:b/>
          <w:bCs/>
        </w:rPr>
        <w:t xml:space="preserve">Por qué podemos tener razón.</w:t>
      </w:r>
    </w:p>
    <w:p>
      <w:pPr>
        <w:spacing w:after="100"/>
      </w:pPr>
      <w:r>
        <w:t xml:space="preserve">La empresa lleva cuatro trimestres por debajo de su margen objetivo, la escasez de componentes retrasa entregas a 2027 y los aranceles restan 3 puntos a DCT. Si Virginia funciona en 2027, el consenso tendrá razón y la acción subirá; no tenemos una visión distinta de la del mercado, que es una conclusión válida.</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SEK) · precio actual 132,0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Cartera récord</w:t>
      </w:r>
      <w:r>
        <w:t xml:space="preserve">: 24.542 M, 1,7 años de ventas, con 19.185 M en DCT [2].</w:t>
      </w:r>
    </w:p>
    <w:p>
      <w:pPr>
        <w:pStyle w:val="ListParagraph"/>
        <w:numPr>
          <w:ilvl w:val="0"/>
          <w:numId w:val="2"/>
        </w:numPr>
        <w:spacing w:after="60"/>
      </w:pPr>
      <w:r>
        <w:rPr>
          <w:b/>
        </w:rPr>
        <w:t xml:space="preserve">Barata frente a su historia</w:t>
      </w:r>
      <w:r>
        <w:t xml:space="preserve">: 14,5 veces el EBITDA, cerca del mínimo de cinco años (14,1x), y 18,8 veces nuestro BPA de 2027 frente a una mediana de 23,9x.</w:t>
      </w:r>
    </w:p>
    <w:p>
      <w:pPr>
        <w:pStyle w:val="ListParagraph"/>
        <w:numPr>
          <w:ilvl w:val="0"/>
          <w:numId w:val="2"/>
        </w:numPr>
        <w:spacing w:after="60"/>
      </w:pPr>
      <w:r>
        <w:rPr>
          <w:b/>
        </w:rPr>
        <w:t xml:space="preserve">Venta de FoodTech</w:t>
      </w:r>
      <w:r>
        <w:t xml:space="preserve">: 297 M de EBITA ajustado valorados en 3.900-6.000 M por los analistas, casi toda la deuda neta (6.684 M); ofertas indicativas a finales de octubre [7, 34].</w:t>
      </w:r>
    </w:p>
    <w:p>
      <w:pPr>
        <w:pStyle w:val="ListParagraph"/>
        <w:numPr>
          <w:ilvl w:val="0"/>
          <w:numId w:val="2"/>
        </w:numPr>
        <w:spacing w:after="60"/>
      </w:pPr>
      <w:r>
        <w:rPr>
          <w:b/>
        </w:rPr>
        <w:t xml:space="preserve">Directivos comprando</w:t>
      </w:r>
      <w:r>
        <w:t xml:space="preserve">: nueve compras a 162-187 SEK tras el 2T26 [18].</w:t>
      </w:r>
    </w:p>
    <w:p>
      <w:pPr>
        <w:pStyle w:val="ListParagraph"/>
        <w:numPr>
          <w:ilvl w:val="0"/>
          <w:numId w:val="2"/>
        </w:numPr>
        <w:spacing w:after="60"/>
      </w:pPr>
      <w:r>
        <w:rPr>
          <w:b/>
        </w:rPr>
        <w:t xml:space="preserve">Producción local en EE. UU.</w:t>
      </w:r>
      <w:r>
        <w:t xml:space="preserve">: Virginia elimina ≈3 puntos de aranceles en DCT [2, 17].</w:t>
      </w:r>
    </w:p>
    <w:p>
      <w:pPr>
        <w:pStyle w:val="Heading2"/>
      </w:pPr>
      <w:r>
        <w:t xml:space="preserve">En contra</w:t>
      </w:r>
    </w:p>
    <w:p>
      <w:pPr>
        <w:pStyle w:val="ListParagraph"/>
        <w:numPr>
          <w:ilvl w:val="0"/>
          <w:numId w:val="2"/>
        </w:numPr>
        <w:spacing w:after="60"/>
      </w:pPr>
      <w:r>
        <w:rPr>
          <w:b/>
        </w:rPr>
        <w:t xml:space="preserve">ROIC que no cubre el coste de capital</w:t>
      </w:r>
      <w:r>
        <w:t xml:space="preserve">: 9,2 % frente a un WACC del 8,81 %.</w:t>
      </w:r>
    </w:p>
    <w:p>
      <w:pPr>
        <w:pStyle w:val="ListParagraph"/>
        <w:numPr>
          <w:ilvl w:val="0"/>
          <w:numId w:val="2"/>
        </w:numPr>
        <w:spacing w:after="60"/>
      </w:pPr>
      <w:r>
        <w:rPr>
          <w:b/>
        </w:rPr>
        <w:t xml:space="preserve">Margen en caída</w:t>
      </w:r>
      <w:r>
        <w:t xml:space="preserve">: EBITA ajustado del 15,5 % (2024) al 11,0 % (2T26) [2].</w:t>
      </w:r>
    </w:p>
    <w:p>
      <w:pPr>
        <w:pStyle w:val="ListParagraph"/>
        <w:numPr>
          <w:ilvl w:val="0"/>
          <w:numId w:val="2"/>
        </w:numPr>
        <w:spacing w:after="60"/>
      </w:pPr>
      <w:r>
        <w:rPr>
          <w:b/>
        </w:rPr>
        <w:t xml:space="preserve">Deuda en máximos</w:t>
      </w:r>
      <w:r>
        <w:t xml:space="preserve">: 3,2 veces el EBITDA ajustado [2].</w:t>
      </w:r>
    </w:p>
    <w:p>
      <w:pPr>
        <w:pStyle w:val="ListParagraph"/>
        <w:numPr>
          <w:ilvl w:val="0"/>
          <w:numId w:val="2"/>
        </w:numPr>
        <w:spacing w:after="60"/>
      </w:pPr>
      <w:r>
        <w:rPr>
          <w:b/>
        </w:rPr>
        <w:t xml:space="preserve">Riesgo tecnológico</w:t>
      </w:r>
      <w:r>
        <w:t xml:space="preserve">: chips refrigerados con agua templada que no necesitan enfriadoras [16].</w:t>
      </w:r>
    </w:p>
    <w:p>
      <w:pPr>
        <w:pStyle w:val="ListParagraph"/>
        <w:numPr>
          <w:ilvl w:val="0"/>
          <w:numId w:val="2"/>
        </w:numPr>
        <w:spacing w:after="60"/>
      </w:pPr>
      <w:r>
        <w:rPr>
          <w:b/>
        </w:rPr>
        <w:t xml:space="preserve">Concentración</w:t>
      </w:r>
      <w:r>
        <w:t xml:space="preserve">: un pedido de ≈2.000 M equivale al 14 % de las ventas anuales [10].</w:t>
      </w:r>
    </w:p>
    <w:p>
      <w:pPr>
        <w:pStyle w:val="ListParagraph"/>
        <w:numPr>
          <w:ilvl w:val="0"/>
          <w:numId w:val="2"/>
        </w:numPr>
        <w:spacing w:after="60"/>
      </w:pPr>
      <w:r>
        <w:rPr>
          <w:b/>
        </w:rPr>
        <w:t xml:space="preserve">Volatilidad del 52,2 %</w:t>
      </w:r>
      <w:r>
        <w:t xml:space="preserve"> y caída del 62,5 % en 2024-2025 [21].</w:t>
      </w:r>
    </w:p>
    <w:p>
      <w:pPr>
        <w:pStyle w:val="Heading2"/>
      </w:pPr>
      <w:r>
        <w:t xml:space="preserve">Qué tiene que pasar para que la tesis funcione</w:t>
      </w:r>
    </w:p>
    <w:p>
      <w:pPr>
        <w:spacing w:after="100"/>
      </w:pPr>
      <w:r>
        <w:t xml:space="preserve">La tesis depende del margen de DCT: que vuelva por encima del 15 % de EBITA ajustado en 2027 con Virginia a pleno ritmo. La señal de que no se cumple sería un margen de DCT por debajo del 13 % en el 4T26, más retrasos de entregas a 2028 o pedidos de DCT por debajo de 2.000 M por trimestre.</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EBITA ajustado de DCT</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13 % en el 4T26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lo que decide si la cartera se convierte en beneficio.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de DCT por trimestre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4.853 M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2.000 M dos trimestres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Adelanta el ciclo de capex de IA.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neta / EBITDA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3,5x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Limita la flexibilidad.</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Circulante operativo / 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10 % sin crecimiento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Muestra si los anticipos se revierten.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Cartera de pedidos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24.542 M</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18.000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Respaldo de las ventas de 2027.</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14,5x / 9,7x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47,5x / 15,1x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22,7x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(2020-2025)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3,0x · 3,1x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(2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Munters nace en 1955 en Estocolmo con el rotor desecante de Carl Munters, que sigue siendo la base de la deshumidificación industrial de AirTech. Nordic Capital la compró en 2010 y la volvió a sacar a bolsa en 2017; desde entonces su primer accionista es FAM, de las fundaciones Wallenberg (28,3 %) [2]. Con Klas Forsström (2019-2026) el grupo se transformó: creó un negocio de refrigeración de centros de datos que pasó de 702 M de ventas en 2021 a 5.906 M en 2025, compró Geoclima (enfriadoras) y MTech Systems (software alimentario) y vendió los equipos para granjas. En 2026 estudia vender FoodTech y estrena consejero delegado [1, 7, 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1955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Carl Munters funda la empresa en Estocolmo sobre su invento del rotor desecante, base de la deshumidificación de AirTech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Nordic Capital compra la compañía y la saca de bolsa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Vuelve a Nasdaq Estocolmo (mayo); FAM, el brazo inversor de las fundaciones Wallenberg, entra después como primer accionista [1,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Klas Forsström, de Sandvik, es nombrado consejero delegado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la mayoría de MTech Systems: FoodTech gira hacia el software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Geoclima (enfriadoras) y entrada en refrigeración líquida (CDU); fábrica nueva en Amesbury (EE. UU.)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FoodTech Equipment (97,5 M EUR); pedidos récord de DCT (13.889 M)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Pedido de ≈2.000 M para una «fábrica de IA» (abril), estudio de venta de FoodTech (junio), Stefan Aspman consejero delegado (14-sep) y día del inversor el 11-nov [7, 10, 11, 12].</w:t>
            </w:r>
          </w:p>
        </w:tc>
      </w:tr>
    </w:tbl>
    <w:p>
      <w:pPr>
        <w:spacing w:after="160" w:before="0"/>
      </w:pPr>
    </w:p>
    <w:p>
      <w:pPr>
        <w:pStyle w:val="Heading1"/>
      </w:pPr>
      <w:r>
        <w:t xml:space="preserve">2. Modelo de negocio</w:t>
      </w:r>
    </w:p>
    <w:p>
      <w:pPr>
        <w:spacing w:after="100"/>
      </w:pPr>
      <w:r>
        <w:t xml:space="preserve">Munters fabrica equipos que controlan la temperatura y la humedad del aire en sitios donde un fallo cuesta caro. Tiene tres áreas. AirTech (49 % de las ventas de 2025) vende deshumidificadores de rotor desecante y equipos de tratamiento de aire para fábricas de baterías, farmacéuticas, alimentación, supermercados y almacenes, más servicio y recambios (rotores, paneles evaporativos). Data Center Technologies (40 %) diseña y fabrica la refrigeración de centros de datos: unidades de aire (CRAH, economizadores, SyCool), enfriadoras y unidades de distribución de refrigerante para la refrigeración líquida de los chips de IA. FoodTech (12 %), con la marca Speria, vende controladores, sensores y software para granjas y cadena alimentaria. Fabrica en más de 25 plantas; la mayor, en Virginia (EE. UU.), con 600 empleados para centros de datos [1, 2, 17].</w:t>
      </w:r>
    </w:p>
    <w:p>
      <w:pPr>
        <w:pStyle w:val="Heading2"/>
      </w:pPr>
      <w:r>
        <w:t xml:space="preserve">Cómo gana dinero</w:t>
      </w:r>
    </w:p>
    <w:p>
      <w:pPr>
        <w:spacing w:after="100"/>
      </w:pPr>
      <w:r>
        <w:t xml:space="preserve">La mayor parte son proyectos: equipos a medida que se venden con pedido previo y anticipo (los anticipos de clientes suman 3.772 M a jun-26) y se entregan en 6-24 meses. Lo recurrente (servicio y software, el 16 % de las ventas; con componentes, el 28 %) es lo de más margen [2]. El margen depende del volumen que pasa por las fábricas (apalancamiento operativo alto: AirTech bajó del 13,6 % de EBITA en 2024 al 6,3 % en 2025 con ventas un 12 % menores), de la mezcla (las enfriadoras dejan menos que las unidades de aire) y de repercutir costes, con unos meses de retraso. El negocio necesita poco capital fijo (capex del 5,8 % de ventas) y el circulante lo financian los clientes [1, 2].</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AirTech</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Data Center Technologies (DCT)</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FoodTech (Speria)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 y eliminaciones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+475,0 %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SE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AirTech</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8.226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8.204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Data Center Technologies (DCT)</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FoodTech (Speria)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 y eliminaciones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En DCT los clientes son pocos y grandes: hiperescaladores y colocalizadores de EE. UU. (Americas fue el 76 % de los pedidos del grupo en el 2T26); un solo pedido de abril vale ≈2.000 M, el 14 % de las ventas anuales del grupo [2, 10]. La empresa no publica el peso del primer cliente. Los pedidos llevan anticipo y diseño a medida, lo que crea cierta dependencia en la siguiente fase del cliente. El poder de precios es limitado y llega tarde: en 2026 sube precios para compensar materiales y aranceles, pero por los plazos largos el efecto tarda trimestres, y el margen de DCT bajó del 21,0 % al 11,3 % en un año [2]. En AirTech la cancelación de un pedido grande de baterías en 2025 mostró el riesgo de concentración sectorial [2].</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recibidos (M SEK)</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12.431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22.984 (2025); 29.162 en los 12 meses a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 en 2025; +137 % en el 2T26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DCT 18.525 M en 12 meses (pedidos de hiperescaladores y colocalizadores de EE. UU., incluido uno de ≈2.000 M en abr-26) [2, 10].</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pedidos (M SEK)</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11.287 (dic-24)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17.282 (dic-25); 24.542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 interanual</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DCT 19.185 M, AirTech 4.485 M y FoodTech 871 M; equivale a 1,7 años de ventas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EBITA ajustado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 (2025); 11,0 % en el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puntos en 18 meses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DCT del 21,0 % al 11,3 % por la puesta en marcha de las enfriadoras en Virginia, aranceles (≈3 puntos) y escasez de componentes; objetivo &gt; 14 %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Circulante operativo /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 (2025); 5,2 %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los anticipos de clientes de DCT (3.772 M a jun-26); objetivo de la empresa 10-13 %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Servicio y componentes, % de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 (2025); 28 % en el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punto</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Ambición: más de un tercio a largo plazo; el servicio solo es el 16 %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del capital empleado (ROCE)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16,4 % (dic-24)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 (dic-25); 9,6 %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Capital empleado medio de 11.866 M, con 5.724 M de fondo de comercio [2].</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que más pesa en la tesis es el de refrigeración de centros de datos (unidades de aire, enfriadoras, refrigeración líquida y su servicio), mundial. Usamos MarketsandMarkets (12.700 M USD en 2023 y 29.600 M en 2030, +12,8 % anual) [13] y lo contrastamos con ResearchAndMarkets (32.900 M USD en 2030, +13,1 % anual desde 2025) [14]; otras fuentes dan hasta 50.900 M porque incluyen obra civil. AirTech compite en deshumidificación y tratamiento de aire industrial, un mercado maduro sin cifra pública fiable; FoodTech, en controladores y software agrícola.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Refrigeración de centros de datos: 12.700 M USD en 2023 y 29.600 M USD en 2030 [13]; 32.900 M USD en 2030 según otra fuente [14]. ≈160.000 M SEK en 2025 (estimación propia).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12,8 %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refrigeración de centros de datos, MarketsandMarkets))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de centros de datos para 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de DCT de 18.525 M en 12 meses, +185 % en el 1S26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Densidad de potencia por rack y refrigeración líquida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CDU y menos aire; con agua templada sobran enfriadoras [16].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Fábricas de baterías y relocalización industrial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de baterías «contenida» en 2026; pedido cancelado y luego recuperado en parte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Eficiencia energética y normas de calidad del aire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Clean Technologies estable y creciendo en EMEA y América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Aranceles y cadena de suministro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puntos de margen en DCT en el 2T26 [2].</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Vertiv, Schneider, Trane, Carrier, Stulz y JCI amplían capacidad; Carnegie espera que alcancen a Munters en capacidad [16].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Pocos hiperescaladores y colocalizadores con pedidos de cientos de millones [10].</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Escasez de componentes en toda la industria de climatización en 2026 [2].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Hace falta fabricar a escala y homologarse con los clientes; Munters tardó diez años en DCT.</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refrigeración líquida directa y las torres secas pueden sustituir enfriadoras y unidades de aire [16].</w:t>
            </w:r>
          </w:p>
        </w:tc>
      </w:tr>
    </w:tbl>
    <w:p>
      <w:pPr>
        <w:spacing w:after="160" w:before="0"/>
      </w:pPr>
    </w:p>
    <w:p>
      <w:pPr>
        <w:pStyle w:val="Heading2"/>
      </w:pPr>
      <w:r>
        <w:t xml:space="preserve">Ciclo</w:t>
      </w:r>
    </w:p>
    <w:p>
      <w:pPr>
        <w:spacing w:after="100"/>
      </w:pPr>
      <w:r>
        <w:t xml:space="preserve">Los pedidos de DCT y del sector (Vertiv, Trane) están en máximos y la cartera de Munters es de 1,7 años de ventas [2]. AirTech va en otra fase: recuperación tras la caída de las baterías (ventas −12 % en 2025, +17 % en el 2T26). En 2020 el grupo apenas cayó y en 2022-2023 sufrió con la inflación de costes (margen EBITDA del 12,1 % en 2022). El riesgo de ciclo está en el capex de los hiperescaladores, que nunca ha tenido una corrección completa desde que existe DCT.</w:t>
      </w:r>
    </w:p>
    <w:p>
      <w:pPr>
        <w:pStyle w:val="Heading2"/>
      </w:pPr>
      <w:r>
        <w:t xml:space="preserve">Regulación</w:t>
      </w:r>
    </w:p>
    <w:p>
      <w:pPr>
        <w:spacing w:after="100"/>
      </w:pPr>
      <w:r>
        <w:t xml:space="preserve">Aranceles de EE. UU. de 2025 sobre equipos importados (las enfriadoras de Geoclima venían de Italia) y sobre componentes; la producción en Virginia los reduce desde 2026 [2, 17]. Reglamento europeo de gases fluorados y AIM Act de EE. UU. sobre refrigerantes, que obligan a rediseñar enfriadoras. Normas de eficiencia energética de centros de datos en la UE (directiva de eficiencia energética, informes de PUE desde 2024) que favorecen la refrigeración eficiente [15].</w:t>
      </w:r>
    </w:p>
    <w:p>
      <w:pPr>
        <w:pStyle w:val="Heading2"/>
      </w:pPr>
      <w:r>
        <w:t xml:space="preserve">Tendencias y disrupción</w:t>
      </w:r>
    </w:p>
    <w:p>
      <w:pPr>
        <w:spacing w:after="100"/>
      </w:pPr>
      <w:r>
        <w:t xml:space="preserve">Tres cambios a la vez: más potencia por rack (la IA pasa de 10-20 kW a más de 100 kW por rack), que lleva a la refrigeración líquida y a las CDU, donde Munters entró en 2024; agua más templada, que reduce la necesidad de enfriadoras, el producto con más pedidos de Munters hoy [16]; y producción local en EE. UU. por los aranceles. Munters gana con la primera y la tercera y puede perder con la segunda.</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Especialista mediano en refrigeración de centros de datos (≈3,7 % del mercado mundial con DCT, estimación propia: 5.906 M SEK frente a ≈160.000 M) y líder mundial en deshumidificación por rotor desecante (AirTech; cuota no publicada).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Vertiv</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VRT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102.014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en infraestructura de centros de datos; compra especialistas en refrigeración líquida (CoolTera, PurgeRite) [22, 27].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Trane Technologies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Irlanda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212.623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Enfriadoras para centros de datos a gran escala [22].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Carrier Global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CARR</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216.861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Enfriadoras y CRAH; compró Viessmann Climate [22, 28].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Johnson Controls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Irlanda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JCI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235.299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Silent-Aire y enfriadoras York para hiperescaladores [22].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Modine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MOD</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31.721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Airedale: enfriadoras y CRAH para centros de datos [22].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Systemair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Suecia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SYSR</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12.503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Tratamiento de aire comercial e industrial, competidor de AirTech [22].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Stulz</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Privada; especialista en climatización de precisión para centros de datos.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 equipos industriales.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Diseños a medida para cada cliente de DCT y base instalada con servicio (16 % de las ventas) [A2].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Rotor desecante y SyCool patentados; marca de referencia en deshumidificación desde 1955 [A1].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 del 10,5 % en 2025 frente al 17,9-18,3 % de Vertiv y Trane, que tienen más escala [D2].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Cinco fábricas de DCT; la escala de los grandes en enfriadoras es mayor [B9].</w:t>
            </w:r>
          </w:p>
        </w:tc>
      </w:tr>
    </w:tbl>
    <w:p>
      <w:pPr>
        <w:spacing w:after="160" w:before="0"/>
      </w:pPr>
    </w:p>
    <w:p>
      <w:pPr>
        <w:pStyle w:val="Heading2"/>
      </w:pPr>
      <w:r>
        <w:t xml:space="preserve">Amenazas</w:t>
      </w:r>
    </w:p>
    <w:p>
      <w:pPr>
        <w:spacing w:after="100"/>
      </w:pPr>
      <w:r>
        <w:t xml:space="preserve">La principal es que los grandes (Vertiv, Trane, Carrier, JCI, Schneider) amplíen capacidad en enfriadoras y CDU y compitan en precio en los pedidos grandes, donde Munters ganó cuota en 2024-2025 porque tenía capacidad libre; Carnegie lo citó al rebajar la acción [16]. La segunda es tecnológica: menos enfriadoras por megavatio con el agua templada. El ROIC sin fondo de comercio (21,3 % en 2025) muestra un negocio operativo sano, pero el ROIC con él (9,2 %) dice que las compras no han creado valor.</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7.015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7.348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10.386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13.930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13.587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14.712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31 %</w:t>
            </w:r>
          </w:p>
        </w:tc>
      </w:tr>
    </w:tbl>
    <w:p>
      <w:pPr>
        <w:spacing w:after="160" w:before="0"/>
      </w:pPr>
    </w:p>
    <w:p>
      <w:pPr>
        <w:spacing w:after="100"/>
      </w:pPr>
      <w:r>
        <w:t xml:space="preserve">Crecimiento anual compuesto 2020-2025: ingresos </w:t>
      </w:r>
      <w:r>
        <w:rPr>
          <w:b/>
          <w:bCs/>
        </w:rPr>
        <w:t xml:space="preserve">16,0 %</w:t>
      </w:r>
      <w:r>
        <w:t xml:space="preserve">, EBITDA </w:t>
      </w:r>
      <w:r>
        <w:rPr>
          <w:b/>
          <w:bCs/>
        </w:rPr>
        <w:t xml:space="preserve">17,8 %</w:t>
      </w:r>
      <w:r>
        <w:t xml:space="preserve">, BPA </w:t>
      </w:r>
      <w:r>
        <w:rPr>
          <w:b/>
          <w:bCs/>
        </w:rPr>
        <w:t xml:space="preserve">5,3 %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SEK,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pasaron de 7.015 M en 2020 a 14.712 M en 2025 (+16,0 % anual con compras; en 2024 la serie cambia de perímetro por la venta de FoodTech Equipment). El crecimiento orgánico fue del 6 % en 2025 y del 8 % en el 1S26, con la divisa restando un 7 % [2]. El margen EBITDA publicado subió del 14,5 % (2020) al 18,0 % (2024) con el despegue de DCT y cayó al 15,7 % en 2025 (13,5 % con las partidas no recurrentes dentro) por la caída de volumen de AirTech (baterías), los costes de tener dos fábricas en EE. UU. y los aranceles; en el 1S26 el EBITDA ajustado es del 13,9 % por la puesta en marcha de las enfriadoras en Virginia [1, 2]. El BPA de las continuadas bajó de 4,96 (2024) a 3,01 (2025) y 1,79 en el 1S26 [1, 2].</w:t>
      </w:r>
    </w:p>
    <w:p>
      <w:pPr>
        <w:pStyle w:val="Heading2"/>
      </w:pPr>
      <w:r>
        <w:t xml:space="preserve">Ajustes y partidas no recurrentes</w:t>
      </w:r>
    </w:p>
    <w:p>
      <w:pPr>
        <w:spacing w:after="100"/>
      </w:pPr>
      <w:r>
        <w:t xml:space="preserve">La empresa publica EBITA ajustado sin partidas que afectan a la comparabilidad: 128 M en 2024 (reestructuración de AirTech y compras) y 324 M en 2025 (207 M de pagos contingentes de la compra de MTech, 77 M de reestructuración y 40 M de costes de compras); en el 1S26, +12 M netos (plusvalía de 78 M por vender una fábrica en EE. UU. y costes de la venta de FoodTech) [1, 2]. Se repiten casi todos los años, así que no las tratamos como extraordinarias en el BPA de la regla, aunque el motor las devuelve al EBITDA. El BPA de 2025 de todas las operaciones (0,58) incluye −444 M de FoodTech Equipment, con un deterioro de 346 M del fondo de comercio [1].</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Inferior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3.805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el 2T26 (17-jul) la dirección presentó un trimestre de pedidos excepcionales (8.699 M, +137 %) y un margen EBITA ajustado del 11,0 % (13,6 % un año antes): DCT bajó al 11,3 % por la puesta en marcha de las enfriadoras en Virginia, la escasez de componentes y ≈3 puntos de aranceles mientras las enfriadoras vengan de Italia. Mantuvo la previsión de margen mejor en el 2S26 [2]. Frente al 1T26 (abril), el discurso cambió de «buen impulso en todas las áreas» a «vientos en contra externos» [4]. Los analistas preguntaron sobre todo cuándo vuelve el margen de DCT y cómo se repercuten los precios; la dirección no dio una cifra de margen para la cartera ni fecha para terminar la puesta en marcha. Desde entonces SEB, Handelsbanken, SB1 y Pareto rebajaron objetivos porque ven la mejora del 2S26 más incierta [29, 30, 31, 32]; UBS mantiene la compra con 245 SEK (14-oct) [33].</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9.574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10.742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15.204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16.731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21.979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11.149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6.514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19.728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6.177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4.858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(2024: FoodTech Equipment (≈1.900 M de ventas en 2024) pasa a actividad interrumpida y se vende en mayo de 2025 por 97,5 M EUR: 2024 y 2025 son operaciones continuadas; 2020-2023 incluyen Equipment. El crecimiento de 2024 no es comparable.; 2025: MTech Systems pasa al 100 % (marzo de 2025; 1.150 M de salida de caja por compras) y Geoclima consolidada todo el año.; 2022: Compra de la mayoría de MTech Systems (software avícola) y otras; 721 M de salida de caja por compras.).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neta subió de 1.817 M (2020) a 6.427 M en 2025 (2,79 veces el EBITDA) por las compras (4.452 M en 2020-2025) y la expansión en EE. UU.; la empresa la mide en 3,2 veces el EBITDA ajustado a junio de 2026, el nivel más alto de su historia reciente [2]. El circulante bajó del 25,9 % de ventas (2022) al 3,2 % (2025) gracias a los anticipos de DCT: es una fuente de caja que se revertirá cuando se entregue la cartera. La venta de FoodTech podría devolver el apalancamiento a menos de 2 veces.</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SE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2020-2025: FCF </w:t>
      </w:r>
      <w:r>
        <w:rPr>
          <w:b/>
          <w:bCs/>
        </w:rPr>
        <w:t xml:space="preserve">2.609</w:t>
      </w:r>
      <w:r>
        <w:t xml:space="preserve">, conversión </w:t>
      </w:r>
      <w:r>
        <w:rPr>
          <w:b/>
          <w:bCs/>
        </w:rPr>
        <w:t xml:space="preserve">70 %</w:t>
      </w:r>
      <w:r>
        <w:t xml:space="preserve"> del beneficio neto; adquisiciones 4.452, dividendos 999, recompras 112.</w:t>
      </w:r>
    </w:p>
    <w:p>
      <w:pPr>
        <w:spacing w:after="100"/>
      </w:pPr>
      <w:r>
        <w:t xml:space="preserve">El flujo de caja libre acumulado de 2020-2025 fue de 2.609 M, el 70 % del beneficio, y las compras (4.452 M) lo superaron: el crecimiento se financió con deuda [1, 3]. 2024 (898 M de FCF, 99 % de conversión) y 2025 (658 M, 120 %) se apoyan en los anticipos de clientes (+974 M en 2025 y +1.132 M en el 1S26), no en más beneficio. El capex de 2025 (858 M, 5,8 % de las ventas) es sobre todo crecimiento (Virginia, Amesbury, ampliación de Tobo); el de mantenimiento lo estimamos en ≈2,5 % de ventas (estimación propia: amortización del inmovilizado propio sin derechos de uso).</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AB (socio firmante Andreas Troberg desde 2023)</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gris (&gt; 2,99 seguro; &lt; 1,81 riesgo). No aplica a bancos ni aseguradoras, y subestima la solvencia de empresas con grandes anticipos de clientes o prefinanciación pública (contratistas, construcción), que inflan el pasivo. No fiable en 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2025: con un cambio de perímetro, los índices de activos, amortización y ventas (AQI, DEPI, SGI) comparan grupos distintos y el umbral de −1,78 no sirve.</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Cuentas auditadas por EY sin salvedades [1]. Altman Z de 1,92 (zona gris) por la deuda y un patrimonio que cayó a 4.858 M en 2025 por la divisa (−1.152 M de diferencias de conversión) y la pérdida de FoodTech Equipment. Piotroski de 6 (empeora el ROA, la deuda y el margen bruto). Beneish de −2,95: sin señales de manipulación. Lo que pide atención: las partidas «que afectan a la comparabilidad» se repiten cada año (128 M y 324 M), el BPA ajustado de la empresa es más alto que el publicado, el fondo de comercio es el 63 % del capital invertido y en 2025 hubo un deterioro de 346 M al vender Equipment. Los ingresos se reconocen por avance en parte de los proyectos (ingresos devengados de 717 M netos a jun-26) [2].</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Partidas no recurrentes que se repiten</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128 M en 2024, 324 M en 2025; incluyen pagos contingentes de compras que son parte del precio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Fondo de comercio alto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5.724 M a jun-26, más que el patrimonio (5.260 M)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apoyado en anticipos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Mejora el flujo de 2024-2026 de forma temporal [2].</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5.568</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6.003</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7.663</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9.233</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10.777</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11.635</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5.458 M en 2025 (el 57 % del capital invertido medio); ha subido más de un 5 % en 3 de 4 años: comprador en serie. ROIC publicado 9,2 %; sin fondo de comercio, 21,3 %. En un comprador en serie el fondo de comercio es el precio de su crecimiento: juzga el publicado.</w:t>
      </w:r>
    </w:p>
    <w:p>
      <w:pPr>
        <w:spacing w:after="100"/>
      </w:pPr>
      <w:r>
        <w:rPr>
          <w:b/>
          <w:bCs/>
        </w:rPr>
        <w:t xml:space="preserve">ROIC incremental</w:t>
      </w:r>
      <w:r>
        <w:t xml:space="preserve"> (variación del NOPAT sobre variación del capital invertido en el periodo): 8,5 % · </w:t>
      </w:r>
      <w:r>
        <w:rPr>
          <w:b/>
          <w:bCs/>
        </w:rPr>
        <w:t xml:space="preserve">WACC</w:t>
      </w:r>
      <w:r>
        <w:t xml:space="preserve">: 8,8 %.</w:t>
      </w:r>
    </w:p>
    <w:p>
      <w:pPr>
        <w:spacing w:after="100"/>
      </w:pPr>
      <w:r>
        <w:t xml:space="preserve">Munters apenas crea valor sobre el capital: el ROIC fue del 9,2 % en 2025 frente a un WACC del 8,81 % (0,4 puntos), y del 9-12 % en todos los años desde 2020; el ROIC incremental histórico es del 8,5 %. Sin fondo de comercio el ROIC es del 21,3 %: el negocio operativo rinde, pero las compras (Geoclima, MTech, Hotraco) se pagaron caras. El ROIC se mueve sobre todo por el margen (EBIT del 10,5 % en 2025 frente al 13,8 % de 2024) más que por la rotación (≈0,8 veces). Frente a los competidores queda por debajo de Vertiv (20,4 %) y Trane (23,9 %) y cerca de Carrier (7,6 %) y JCI (8,5 %) [22]. No pasa el requisito de calidad de compra (ROIC − WACC ≥ 5 puntos).</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6.382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6.623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1.427 M SEK a 30-jun-26; deuda con interés de 6.048 M (5.484 M a largo y 565 M a corto) más 1.772 M de arrendamientos; vida media de 2,9 años; programa de pagarés a medio plazo (MTN) de 5.000 M con dos bonos verdes de 1.000 M cada uno [1, 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 público (financiación bancaria y bonos verdes sin calificar en lo leído).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Pensiones de prestación definida de 288 M (229 M netos de impuestos en el puente); anticipos de clientes de 3.772 M a jun-26, que no son deuda pero se devuelven en entregas y explican el circulante del 5,2 % [2]. Pagos contingentes de compras: el de MTech (≈18,5 M USD) se pagó en enero de 2026 [5]. Opciones de venta de minoritarios liquidadas en 2025. Programa MTN de 5.000 M con bonos verdes; covenants no publicados en lo leído. Autorización de la junta para emitir hasta un 10 % de capital [19].</w:t>
      </w:r>
    </w:p>
    <w:p>
      <w:pPr>
        <w:pStyle w:val="Heading1"/>
      </w:pPr>
      <w:r>
        <w:t xml:space="preserve">12. Asignación de capital</w:t>
      </w:r>
    </w:p>
    <w:p>
      <w:pPr>
        <w:pStyle w:val="Confianza"/>
        <w:spacing w:after="100"/>
      </w:pPr>
      <w:r>
        <w:t xml:space="preserve">Confianza: Media</w:t>
      </w:r>
    </w:p>
    <w:p>
      <w:pPr>
        <w:spacing w:after="100"/>
      </w:pPr>
      <w:r>
        <w:t xml:space="preserve">Dividendo del 30-50 % del beneficio neto, pagado en dos mitades; por 2025, 1,60 SEK (53 % del beneficio de las continuadas), igual que el año anterior [2]. Sin recompras desde 2021. Prioridades: crecimiento orgánico (capacidad en EE. UU.), compras complementarias y bajar deuda; la venta de FoodTech daría flexibilidad [7].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SE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MTech Systems (resto del capital; software avícola de la cadena alimentaria)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FoodTech pasó de 553 M de ventas en 2022 a 1.753 M en 2025 con un margen EBITA ajustado del 17 %; 207 M de pagos contingentes como partidas no recurrentes en 2025 [1, 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Geoclima (enfriadoras, Italia), AirPro Tech, Hotraco y la mayoría de Automated Environments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Geoclima trajo las enfriadoras que hoy son el grueso de los pedidos de DCT, pero su traslado a Virginia y los aranceles han bajado el margen de DCT del 21 % al 11 % (2T26) [1,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Zeco (India) y otras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744</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Pequeñas; sin deterioros publicados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MTech Systems (mayoría) y otras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del giro digital de FoodTech, que ahora se quiere vender [3, 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 de FoodTech Equipment</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Desinversión (97,5 M EUR en 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Pérdida de las actividades interrumpidas de 444 M en 2025 (deterioro de 346 M de fondo de comercio): la compra antigua no recuperó lo invertido [1].</w:t>
            </w:r>
          </w:p>
        </w:tc>
      </w:tr>
    </w:tbl>
    <w:p>
      <w:pPr>
        <w:spacing w:after="160" w:before="0"/>
      </w:pPr>
    </w:p>
    <w:p>
      <w:pPr>
        <w:spacing w:after="100"/>
      </w:pPr>
      <w:r>
        <w:t xml:space="preserve">El historial de compras es mixto: DCT creció en buena parte por Geoclima, pero el ROIC con fondo de comercio no ha pasado del 12 % y FoodTech Equipment se vendió con pérdidas (deterioro de 346 M) tras años de inversión [1]. En 2020-2025 se gastaron 4.452 M en compras, 999 M en dividendos y 112 M en recompras, frente a 2.609 M de flujo libre. Sin dilución (182,5 M de acciones desde la salida a bolsa). La decisión de vender FoodTech, el negocio de más margen después de DCT, para centrarse en centros de datos es coherente con el foco pero concentra el riesgo.</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Stefan Aspman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Antes presidente de DCT, la división que pasó de 702 M de ventas en 2021 a 5.906 M en 2025; sustituye a Forsström desde el 14-sep-2026, un mes antes de lo anunciado. Compró 2.200 acciones a 179,60 SEK el 17-jul-26 [11, 18].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Katharina Fischer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financiera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Casi 20 años en Electrolux (última responsabilidad: contabilidad del grupo); compró 2.491 acciones a 183,11 SEK en jul-26 [1, 18].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Magnus Nicolin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0,16 %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Antiguo consejero delegado de Ansell; consejero de FAM. 30.000 acciones y opciones de compra sobre 267.522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Klas Forsström</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saliente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Sandvik; con él las ventas pasaron de 7.015 M (2020) a 14.712 M (2025) y la cartera de pedidos a 24.542 M, pero el margen EBITA ajustado cayó al 12,7 % en 2025 frente al objetivo de más del 14 %. 195.600 acciones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Frank Pellegrino</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 DCT</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13 años en Munters; construyó el negocio de centros de datos desde 2016 [2].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Andrew Cook</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de AirTech</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años en Munters, antes responsable de AirTech en América; sustituye a Henrik Teiwik [11].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a medio plazo de margen EBITA ajustado &gt; 14 % y crecimiento sin divisa &gt; 10 %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14,1 % y crecimiento sin divisa del 40 % (con compras)</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sin divisa &gt; 14 % (objetivo elevado) y margen &gt; 14 %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15,5 %; crecimiento sin divisa de las continuadas ≈ +12 %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EBITA ajustado &gt; 14 %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12,7 %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EBITA ajustado mejor en el 2S26 (jul-26)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Pendiente: 11,0 % en el 2T26; informe del 3T el 23-oct</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La dirección acaba de cambiar: Stefan Aspman, que dirigía DCT, es consejero delegado desde el 14-sep-2026 (un mes antes de lo anunciado) y ha cambiado a los presidentes de AirTech y DCT [11]. Forsström cumplió los objetivos de crecimiento y margen en 2023-2024 y no los de 2025-2026 (margen EBITA ajustado 12,7 % y 11,0 % frente a &gt; 14 %). Los directivos compraron acciones tras el 2T26 a 162-187 SEK (nueve operaciones, ≈2,2 M SEK) [18]. La directora financiera (2023) sigue.</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(2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Magnus Nicolin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Remuneraciones (presidente), Inversiones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Kristian Sildeby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Remuneraciones, Inversiones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Helen Fasth Gillstedt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Anders Lindqvist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Maria Håkansson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Sabine Simeon-Aissaoui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Inversiones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Elizabeth Carey Nugent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Stephanie Dismore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75 %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2,24 / ventas 0,00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FAM AB (fundaciones Wallenberg)</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Referencia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Swedbank Robur Fonder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Baja del 6,9 % del informe anual a 4,83 % el 2-oct-2026 (aviso de participación por bajar del 5 %) [20]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Cuarto Fondo de Pensiones (AP4)</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ODIN Fonder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Vanguard</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Nordea Fonder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Tercer Fondo de Pensiones (AP3)</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1.916.377 acciones de 184.457.817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Grete Solvang Stoltz (dirección)</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29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Henrik Teiwik (dirección)</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24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Henrik Teiwik (dirección)</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23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Katharina Fischer (directora financiera)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Elizabeth Carey (consejera)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Susann Johnsson (dirección)</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17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Stefan Aspman (consejero delegado entrante)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17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Henrik Teiwik (dirección)</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17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Kaspar Kirchmann (dirección)</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1.229</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0,22</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26,45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8,93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14,06 M</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consejero delegado cobró 26,45 M SEK en 2025: 8,93 M de fijo, 14,06 M de variable (incentivo anual de hasta el 60 % del fijo y planes a largo plazo en efectivo) y 3,08 M de pensión [1]. El incentivo anual se mide con el EBITA ajustado y el circulante operativo; no hay métrica de ROIC ni de rentabilidad para el accionista, y el EBITA ajustado excluye las partidas no recurrentes que se repiten. Los planes a largo plazo son en efectivo, no en acciones. Votos de la junta sobre remuneración no publicados [1].</w:t>
      </w:r>
    </w:p>
    <w:p>
      <w:pPr>
        <w:pStyle w:val="Heading2"/>
      </w:pPr>
      <w:r>
        <w:t xml:space="preserve">Operaciones vinculadas, estructura de control y defensas</w:t>
      </w:r>
    </w:p>
    <w:p>
      <w:pPr>
        <w:spacing w:after="100"/>
      </w:pPr>
      <w:r>
        <w:t xml:space="preserve">FAM, de las fundaciones Wallenberg, tiene el 28,3 % y dos consejeros (el presidente Nicolin es consejero de FAM y Sildeby su consejero delegado adjunto) [1, 2]. Una acción, un voto; sin blindajes. La junta de 2026 autorizó emitir hasta 18.445.781 acciones (10 %) [19]. Sin operaciones vinculadas relevantes publicadas.</w:t>
      </w:r>
    </w:p>
    <w:p>
      <w:pPr>
        <w:pStyle w:val="Heading2"/>
      </w:pPr>
      <w:r>
        <w:t xml:space="preserve">Señales de alerta</w:t>
      </w:r>
    </w:p>
    <w:p>
      <w:pPr>
        <w:pStyle w:val="ListParagraph"/>
        <w:numPr>
          <w:ilvl w:val="0"/>
          <w:numId w:val="2"/>
        </w:numPr>
        <w:spacing w:after="60"/>
      </w:pPr>
      <w:r>
        <w:t xml:space="preserve">Cambio de consejero delegado adelantado al 14-sep-2026 y salida del presidente de AirTech y de la directora de comunicación el mismo día [11].</w:t>
      </w:r>
    </w:p>
    <w:p>
      <w:pPr>
        <w:pStyle w:val="ListParagraph"/>
        <w:numPr>
          <w:ilvl w:val="0"/>
          <w:numId w:val="2"/>
        </w:numPr>
        <w:spacing w:after="60"/>
      </w:pPr>
      <w:r>
        <w:t xml:space="preserve">La junta de 2026 autorizó emitir hasta 18.445.781 acciones (10 % del capital) sin derecho de suscripción preferente: dilución posible si hay compras [19].</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Previsión de 2026 (17-jul-26): mercado de DCT positivo (&gt; 5 %), AirTech plano a positivo, FoodTech positivo; ventas al alza con la cartera y margen EBITA ajustado mejor en el 2S26 que en el 1S26 por DCT y AirTech; tipo impositivo y capex en el mismo rango [2]. Objetivos a medio plazo: crecimiento sin divisa &gt; 14 % anual, margen EBITA ajustado &gt; 14 %, circulante del 10-13 % de las ventas y dividendo del 30-50 % [2]. Nuevos objetivos posibles en el día del inversor del 11-nov-2026 [12].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16.850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8 analistas [23]</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21.266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[23]; PER adelantado de Yahoo 12,7x (≈10,1 SEK de BPA a 12 meses) [22]</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4.353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3.440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[23]</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15.595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16.850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19.649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21.266</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21.713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23.700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3.583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3.998</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206,25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155,00 – 245,00</w:t>
            </w:r>
          </w:p>
        </w:tc>
      </w:tr>
    </w:tbl>
    <w:p>
      <w:pPr>
        <w:spacing w:after="160" w:before="0"/>
      </w:pPr>
    </w:p>
    <w:p>
      <w:pPr>
        <w:pStyle w:val="Heading2"/>
      </w:pPr>
      <w:r>
        <w:t xml:space="preserve">Revisiones de estimaciones</w:t>
      </w:r>
    </w:p>
    <w:p>
      <w:pPr>
        <w:spacing w:after="100"/>
      </w:pPr>
      <w:r>
        <w:t xml:space="preserve">Tendencia de recortes en tres meses: SEB (230 → 210), Handelsbanken (230 → 200), SB1 (230 → 200) y Pareto (260 → 240) rebajaron objetivos entre el 28-sep y el 12-oct por el margen de DCT, la escasez de componentes que lleva entregas a 2027 y valoraciones del sector más bajas; casi todos mantienen la compra [29, 30, 31, 32]. Jefferies está en 155 y UBS reiteró la compra con 245 el 14-oct [33]. El objetivo medio de MarketScreener sigue en 206,25 SEK con 8 analistas el 19-oct, igual que el 15-oct, y las estimaciones no han cambiado [23]. El consenso de BPA de 2026 (4,94) exige un 2S26 muy superior al 1S26 (1,79).</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1,3 %</w:t>
            </w:r>
          </w:p>
        </w:tc>
      </w:tr>
    </w:tbl>
    <w:p>
      <w:pPr>
        <w:spacing w:after="160" w:before="0"/>
      </w:pPr>
    </w:p>
    <w:p>
      <w:pPr>
        <w:spacing w:after="100"/>
      </w:pPr>
      <w:r>
        <w:t xml:space="preserve">La acción subió un 69 % en 2020, un 47 % en 2022 y un 59 % en 2023 con el despegue de DCT, y desde el máximo de jul-2024 cayó un 62,5 % hasta abr-2025 (baterías, aranceles) [21]. Recuperó hasta 212,40 SEK en junio de 2026 con los pedidos récord y desde entonces ha caído un 37 %: −29,3 % en tres meses, frente a un OMX que sube un 13,3 % en el año. Volatilidad del 52,2 %, de las más altas del índice. Rentabilidad de precio a 5 años del 12,5 % anual frente al 7,0 % del OMX [21]. Posiciones cortas declaradas de 1,31 % (Eleva 0,71 % y Millennium 0,60 %) [35].</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+1,6 % / -29,3 % / -32,8 % / +18,5 %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-37,3 % / +14,5 %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bajista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2026-10-23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oct-nov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Informe del 3T25 el 24-oct (+23,7 % en el día) y pedidos récord de centros de datos en noviembre [8].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Comentarios de Nvidia sobre chips que se refrigeran sin enfriadoras y rebaja de Carnegie: −6,9 % y −6,3 % el 5 y el 7 de enero [16].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abr-may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 de ≈2.000 M (24-abr) y 1T26 con pedidos +32 % [4, 10].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ago-sep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un hecho único: margen de DCT del 11,3 % en el 2T26 y escasez de componentes [2], valoraciones del sector a la baja [32], cambio de consejero delegado adelantado el 14-sep (−4,7 %) [11] y rebajas de objetivo de SEB, Handelsbanken y SB1 [29, 30, 31]. La causa está en la tesis: el margen.</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Informe del 3T26 a las 07:30 (a 4 días; no aplaza, regla 11) [9].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u oferta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Según EFN, las ofertas indicativas por Speria (FoodTech) vencen a finales de octubre; Pareto la valora en 4.000-6.000 M SEK, Nordea en 4.100-5.500 M y Bloomberg Intelligence en 3.900-5.100 M. La empresa no comenta [34].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UBS reitera compra con objetivo de 245 SEK, entre sus industriales suecas favoritas antes de resultados [33].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2026-10-02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Swedbank Robur baja del 5 % (4,83 % del capital) por aviso de participación; no es el accionista de control (FAM, 28,3 %) ni hay colocación anunciada [20].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Pareto mantiene compra y baja el objetivo de 260 a 240 SEK; SB1 (7-oct) de 230 a 200, Handelsbanken (30-sep) de 230 a 200 y SEB (28-sep) de 230 a 210 [29, 30, 31, 32].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2026-09-14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Stefan Aspman pasa a consejero delegado un mes antes de lo previsto; salen el presidente de AirTech y la directora de comunicación [11].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2026-07-17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Nueve compras de directivos y consejeros entre el 17-jul y el 10-ago a 162-187 SEK; ninguna venta en 12 meses [18].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2026-06-16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u oferta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Munters estudia vender FoodTech con Evercore; sin plazo ni precio [7].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2026-04-30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ampliación o convertible</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junta autoriza emitir hasta un 10 % del capital; no hay ampliación anunciada [19].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2026-11-11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Día del inversor con objetivos nuevos [12].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caída del 37 % desde junio no viene de un hecho nuevo fuera de la tesis sino del margen de DCT, que el informe ya pone en el centro, de rebajas de objetivo y de un sector con múltiplos más bajos. No hay colocaciones, ampliaciones anunciadas ni ventas de directivos (al revés: compraron tras el 2T). Desde el 15-oct solo hay noticias que no tocan la tesis: la venta de Speria avanza (ofertas a finales de octubre) y Swedbank Robur bajó del 5 % sin colocación. Los resultados del 23-oct no aplazan nada (regla 11). Veredicto: no cambia. Se buscó el 19-oct en MFN, el registro de Finansinspektionen (directivos y cortos), MarketScreener y Placera.</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A 132,05 SEK Munters cotiza a 14,5 veces el EBITDA de los últimos 12 meses, cerca del mínimo de sus cinco cierres (14,1x; media 16,5x), y a 47,5 veces el BPA de los últimos 12 meses, que está deprimido. Con el BPA adelantado el PER es de 18,8x nuestro 2027e (13,7x el del consenso), frente a una mediana adelantada de 23,9x en 2019-2023. El descuento tiene motivo: el ROIC cayó del 12,0 % al 9,2 %, la deuda está en máximos y la tesis depende de un margen que no se ha visto en cuatro trimestres.</w:t>
      </w:r>
    </w:p>
    <w:p>
      <w:pPr>
        <w:pStyle w:val="Heading1"/>
      </w:pPr>
      <w:r>
        <w:t xml:space="preserve">18. Comparables cotizados</w:t>
      </w:r>
    </w:p>
    <w:p>
      <w:pPr>
        <w:pStyle w:val="Confianza"/>
        <w:spacing w:after="100"/>
      </w:pPr>
      <w:r>
        <w:t xml:space="preserve">Confianza: Media</w:t>
      </w:r>
    </w:p>
    <w:p>
      <w:pPr>
        <w:spacing w:after="100"/>
      </w:pPr>
      <w:r>
        <w:t xml:space="preserve">Fabricantes de climatización y refrigeración de centros de datos cotizados (Vertiv, Trane, Carrier, Johnson Controls, Modine, AAON, Lennox) y nórdicos de tratamiento de aire y térmica (Systemair, Nibe, Alfa Laval). No incluimos Schneider ni Siemens (la climatización es una parte pequeña) ni Daikin (sin PER adelantado en Yahoo). Datos de Yahoo del 19-oct-26 en SEK [22].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Munters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24.105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Vertiv</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804.209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Trane Technologies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1.014.166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Carrier Global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451.210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Johnson Controls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890.846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Modine Manufacturing</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80.473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AAON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61.634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Systemair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17.992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Nibe Industrier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90.683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Alfa Laval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236.423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Lennox International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121.653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92"/>
        <w:gridCol w:w="1056"/>
        <w:gridCol w:w="1188"/>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 / 22,6x / 26,1x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163,20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225,76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266,89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 / 21,6x / 22,8x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141,12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188,45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199,14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14.777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2,5x / 3,0x / 3,9x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168,31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205,55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275,78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1" name="Gráfico 21"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Munters cotiza con descuento a casi todos: 14,5 veces el EBITDA de los últimos 12 meses frente a una mediana de 22,6x y un PER adelantado de 13,1 veces el consenso frente a 21,6x. Por PER de los próximos 12 meses valdría 188,45 SEK y por EV/EBITDA 225,76. El descuento se explica por la rentabilidad: ROIC del 9,2 % frente a una mediana del 10,5 % y lejos del 20-34 % de Vertiv, Trane y Lennox; deuda de 2,8 veces el EBITDA frente a 1,2x; y márgenes del 13,4 % frente al 16,0 %. Los comparables con un ROIC parecido (Carrier, JCI, Modine) cotizan a 15,0-24,2 veces: un PER de 16-20x sobre nuestro BPA es el rango razonable.</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Boyd Thermal (refrigeración líquida, EE. UU.)</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Eaton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94.307</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9.500 M USD; 22,5x el EBITDA ajustado de 2026e; ventas de 1.700 M USD en 2026e [27].</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UtilityInnovation Group (energía y refrigeración modular para centros de datos)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Vertiv</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14.394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1.450 M USD más hasta 1.150 M de pago aplazado; ≈13x el EBITDA de 2027e [27].</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PurgeRite (servicios de refrigeración líquida)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Vertiv</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9.927</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≈10x el EBITDA de 2026e con sinergias [27].</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Fibrebond (salas eléctricas modulares)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Eaton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13.898</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ajustado de 2025e de 110 M USD [27].</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Viessmann Climate Solutions (bombas de calor)</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Carrier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133.248</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12.000 M EUR; 13x con sinergias según Carrier, ≈17x sin ellas [28].</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FoodTech Equipment (equipos para granjas)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Comprador financiero (venta de Munters)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1.083</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0,57x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97,5 M EUR en caja por un negocio con 1.900 M SEK de ventas en 2024: negocio con pérdidas, no comparable [1].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13,0x (12,7x – 17,1x)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114,53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111,06 – 162,04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2" name="Gráfico 22"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t xml:space="preserve">Las compras de especialistas en refrigeración de centros de datos se han pagado a 10-22,5 veces el EBITDA (PurgeRite 10x, UIG 13x, Fibrebond 12,7x, Boyd 22,5x) y la de Viessmann a 17x [27, 28]: los compradores pagan por la tecnología líquida y la capacidad. Aplicadas a Munters darían 111-162 SEK, sin prima por su EBITDA deprimido. Munters no es un objetivo fácil con FAM al 28,3 %, pero su DCT sí podría interesar a un comprador industrial; lo que está en venta es FoodTech [7].</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fijo en +6 % (15.595 M): el 1S26 creció un 1 % en SEK con −7 % de divisa y la cartera es de 24.542 M [2]. 2027e +26 % porque DCT tiene 19.185 M en cartera con entregas hasta el 1T28 (incluido el pedido de ≈2.000 M de abril) [2, 10]; 2028e +10,5 % y luego del 7 % al 3,5 %, por debajo del 12,8 % anual previsto para la refrigeración de centros de datos [13]. El consenso espera más (21.266 M en 2027) [23].</w:t>
      </w:r>
    </w:p>
    <w:p>
      <w:pPr>
        <w:keepNext/>
        <w:spacing w:after="100"/>
      </w:pPr>
      <w:r>
        <w:rPr>
          <w:b/>
          <w:bCs/>
        </w:rPr>
        <w:t xml:space="preserve">Márgenes.</w:t>
      </w:r>
    </w:p>
    <w:p>
      <w:pPr>
        <w:spacing w:after="100"/>
      </w:pPr>
      <w:r>
        <w:t xml:space="preserve">Margen EBITDA del 14,4 % en 2026e (13,9 % ajustado en el 1S26), 16,0 % en 2027e y 16,5 % estable después: por debajo del 18,0 % de 2024 y del objetivo de la empresa (EBITA ajustado &gt; 14 %, ≈18,5 % de EBITDA) [1, 2]. Suponemos que Virginia y la repercusión de precios devuelven parte del margen de DCT (21 % en 2025 frente al 11,3 % del 2T26) pero no todo, porque la competencia de Vertiv, Trane y Carrier en enfriadoras aprieta.</w:t>
      </w:r>
    </w:p>
    <w:p>
      <w:pPr>
        <w:keepNext/>
        <w:spacing w:after="100"/>
      </w:pPr>
      <w:r>
        <w:rPr>
          <w:b/>
          <w:bCs/>
        </w:rPr>
        <w:t xml:space="preserve">Inversión y circulante.</w:t>
      </w:r>
    </w:p>
    <w:p>
      <w:pPr>
        <w:spacing w:after="100"/>
      </w:pPr>
      <w:r>
        <w:t xml:space="preserve">Capex del 7,2 % de ventas en 2026e (inmovilizado e intangibles 5,8 % en 2025 más altas de derechos de uso ≈1 %) bajando al 4,8 % en 2033e, por encima de la amortización (4,6 %). Circulante comercial del 4 % en 2026e (5,2 % operativo en junio por los anticipos de DCT) subiendo al 9 %, cerca del rango objetivo de la empresa (10-13 %), porque los anticipos se consumen al entregar [2]. Tipo impositivo del 30 % (31 % en 2025-2026).</w:t>
      </w:r>
    </w:p>
    <w:p>
      <w:pPr>
        <w:keepNext/>
        <w:spacing w:after="100"/>
      </w:pPr>
      <w:r>
        <w:rPr>
          <w:b/>
          <w:bCs/>
        </w:rPr>
        <w:t xml:space="preserve">Coste del capital.</w:t>
      </w:r>
    </w:p>
    <w:p>
      <w:pPr>
        <w:spacing w:after="100"/>
      </w:pPr>
      <w:r>
        <w:t xml:space="preserve">Tasa libre 3,20 % (bono sueco a 10 años: 3,201 % el 14-oct y 3,162 % el 16-oct-26, último dato del Riksbank) [24]; beta 1,25 entre la mensual de 5 años (1,10) y la semanal de 2 años (1,41) [21]; prima de mercado del 5,5 % y 0,5 puntos adicionales por la ejecución de la puesta en marcha y la concentración en pocos clientes de centros de datos. Coste de la deuda del 5,0 % antes de impuestos (gastos financieros de 454 M en 2025 sobre ≈7.900 M de deuda con arrendamientos) y peso de la deuda del 25 % a valor de mercado. WACC 8,81 %.</w:t>
      </w:r>
    </w:p>
    <w:p>
      <w:pPr>
        <w:keepNext/>
        <w:spacing w:after="100"/>
      </w:pPr>
      <w:r>
        <w:rPr>
          <w:b/>
          <w:bCs/>
        </w:rPr>
        <w:t xml:space="preserve">Valor terminal.</w:t>
      </w:r>
    </w:p>
    <w:p>
      <w:pPr>
        <w:spacing w:after="100"/>
      </w:pPr>
      <w:r>
        <w:t xml:space="preserve">Método «media»: Gordon con crecimiento del 2,5 % (inflación sueca de ≈2 % más algo de crecimiento real, por debajo de la tasa libre) y un múltiplo de salida de 11 veces el EBITDA, por debajo de la mediana de los comparables (22,6x) y del EV/EBITDA medio de Munters al cierre de cada año (16,5x), porque el ROIC de Munters (9,2 %) apenas cubre el WACC. El terminal pesa el 76 % del valor.</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7,59 %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27.833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1.236</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Flujo de caja libre para la empresa proyectado (SE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Media de ambos</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35.403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50.517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23.396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30.725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24.137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132,23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De dónde sale el valor empresa del DCF (SE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160,58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169,62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147,93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155,06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137,06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142,79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127,57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132,26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119,17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123,07</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111,67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119,55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126,49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135,19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141,31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150,83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156,12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166,47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170,94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182,12</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4.158 M (28 %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 (ROIC 9,2 %)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 frente al 8,5 %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En parte: el capital nuevo tendría que rendir más de 1,25 veces el histórico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30,0 % (histórico: 8,5 %)</w:t>
            </w:r>
          </w:p>
        </w:tc>
      </w:tr>
    </w:tbl>
    <w:p>
      <w:pPr>
        <w:spacing w:after="160" w:before="0"/>
      </w:pPr>
    </w:p>
    <w:p>
      <w:pPr>
        <w:spacing w:after="100"/>
      </w:pPr>
      <w:r>
        <w:t xml:space="preserve">La proyección reinvierte el 28 % del NOPAT. Con el ROIC del último ejercicio (9,2 %), eso financia un crecimiento del 2,5 % anual, frente al 8,5 % de ingresos proyectado. Supone que el capital nuevo rinde un 30,0 %, frente a un ROIC incremental histórico del 8,5 %.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+9 % (orgánico +8 % en el 1S26), precio +2,5 % (subidas para repercutir materiales y aranceles) y −5,5 % de divisa (−7 % en el 1S26) [2].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+23 % por la facturación de la cartera de DCT (19.185 M), precio +2,5 % y algo de mezcla [2].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+8 % (último tramo de la cartera actual, entregas hasta el 1T28) y precio +2,5 % [10].</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mercado: refrigeración de centros de datos +12,8 % anual hasta 2030 [13], AirTech plano a positivo [2].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+3,5 % y precio +2,5 %, por debajo del mercado: la cuota de Munters en refrigeración de centros de datos baja.</w:t>
            </w:r>
          </w:p>
        </w:tc>
      </w:tr>
    </w:tbl>
    <w:p>
      <w:pPr>
        <w:spacing w:after="160" w:before="0"/>
      </w:pPr>
    </w:p>
    <w:p>
      <w:pPr>
        <w:spacing w:after="100"/>
      </w:pPr>
      <w:r>
        <w:t xml:space="preserve">El crecimiento de 2026-2028 está contratado (cartera de 24.542 M, 1,7 años de ventas) y los anticipos de clientes (3.772 M) financian el circulante, así que el volumen sí cabe [2]. Lo que no se sostiene con la calidad actual es el margen: la proyección supone que el capital nuevo rinde un 30,0 % frente a un ROIC incremental histórico del 8,5 %, porque el NOPAT vuelve al nivel de 2024 (ROIC del 12,0 %) desde el bache de 2025 (9,2 %). La reinversión (28 % del NOPAT) solo financia un 2,5 % anual al ROIC de hoy. Ya rebajamos el base (margen del 16,5 % y circulante al 9 %); rebajarlo hasta pasar sería suponer que el margen no se recupera nunca, que es el bajista. No hay prueba de cuota: el mercado publicado es el de centros de datos y el grupo vende también AirTech y FoodTech (cuota de DCT ≈3,7 %).</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8,8 % (base: 8,9 %)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16,5 % (base: 16,5 %)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8,8 % (WACC: 8,8 %)</w:t>
            </w:r>
          </w:p>
        </w:tc>
      </w:tr>
    </w:tbl>
    <w:p>
      <w:pPr>
        <w:spacing w:after="160" w:before="0"/>
      </w:pPr>
    </w:p>
    <w:p>
      <w:pPr>
        <w:spacing w:after="100"/>
      </w:pPr>
      <w:r>
        <w:t xml:space="preserve">El DCF da 132,23 SEK por acción, un 0,1 % por encima del precio, con el 76 % del valor en el terminal. El DCF inverso dice que el precio de 132,05 SEK pide un crecimiento del 8,8 % anual de 2027 a 2033 (base 8,9 %) o un margen EBITDA del 16,5 % (base 16,5 %): el mercado descuenta exactamente nuestro caso base, que ya está por debajo del consenso. El precio implica una rentabilidad anual del 8,8 %, igual al WACC (8,81 %) y por encima del 7,6 % que pide hoy el mercado. No es exigente, pero tampoco conservador: requiere que la cartera se convierta en margen, cosa que Munters no ha logrado en los últimos cuatro trimestres. Con la prima implícita del mercado el DCF sube a 158,69. El valor depende sobre todo del margen final: cada punto de margen EBITDA mueve el valor ≈10-12 %.</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74,90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puesta en marcha de Virginia se alarga hasta 2028, los aranceles siguen y algunos hiperescaladores retrasan proyectos (como pasó con las baterías en AirTech en 2024-2025, con un pedido cancelado) [2]. Margen EBITDA del 13-15 %.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132,23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cartera se factura en 2027-2028 y el margen vuelve al 16,5 %, por debajo del 18 % de 2024.</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165,03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DCT vuelve a márgenes del 19-21 % de 2024-2025 y la demanda de refrigeración para IA sigue creciendo al 13 % anual; la venta de FoodTech libera caja.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Valor por acción por escenario (SEK) · precio actual 132,0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spacing w:after="100"/>
      </w:pPr>
      <w:r>
        <w:rPr>
          <w:b/>
          <w:bCs/>
        </w:rPr>
        <w:t xml:space="preserve">Valor ponderado por probabilidad:</w:t>
      </w:r>
      <w:r>
        <w:t xml:space="preserve"> 126,10 SEK (-4,5 %).</w:t>
      </w:r>
    </w:p>
    <w:p>
      <w:pPr>
        <w:spacing w:after="100"/>
      </w:pPr>
      <w:r>
        <w:t xml:space="preserve">Bajista 74,90 (−43,3 %), base 132,23 (+0,1 %) y alcista 165,03 (+25,0 %); asimetría de 0,58x con el valor intrínseco: se pierde más en el bajista de lo que se gana en el alcista. A 12 meses, con la regla de múltiplos, el bajista da 94,38 SEK (−27,3 %) y el alcista 256,41 (+95,4 %): ahí la asimetría es favorable porque la regla parte de un PER de 18,8x sobre un BPA en mínimos. La lectura correcta es que el precio paga el base y que todo depende del margen de DCT.</w:t>
      </w:r>
    </w:p>
    <w:p>
      <w:pPr>
        <w:pStyle w:val="Heading1"/>
      </w:pPr>
      <w:r>
        <w:t xml:space="preserve">22. Suma de partes</w:t>
      </w:r>
    </w:p>
    <w:p>
      <w:pPr>
        <w:pStyle w:val="Confianza"/>
        <w:spacing w:after="100"/>
      </w:pPr>
      <w:r>
        <w:t xml:space="preserve">Confianza: Media</w:t>
      </w:r>
    </w:p>
    <w:p>
      <w:pPr>
        <w:spacing w:after="100"/>
      </w:pPr>
      <w:r>
        <w:t xml:space="preserve">No se hace: FoodTech (12 % de las ventas y 16 % del EBITA ajustado de 2025) está en venta y su precio sería la mejor referencia, pero aún no hay oferta; AirTech y DCT comparten fábricas y tecnología de tratamiento de aire. Si FoodTech se vende a 15-20 veces su EBITA (297 M), entrarían 4.500-5.900 M, casi toda la deuda neta (6.684 M) [7]; según EFN las ofertas indicativas vencen a finales de octubre y Pareto la valora en 4.000-6.000 M, Nordea en 4.100-5.500 M y Bloomberg Intelligence en 3.900-5.100 M [34].</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6" name="Gráfico 26" descr="Valor por acción según cada método (SEK) · precio actual 132,0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132,05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212,40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206,25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188,45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199,14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114,53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162,04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132,23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147,93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126,10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165,03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158,69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172,73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132,05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132,71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141,02 SEK (+6,8 % sobre 132,05).</w:t>
      </w:r>
    </w:p>
    <w:p>
      <w:pPr>
        <w:spacing w:after="100"/>
      </w:pPr>
      <w:r>
        <w:t xml:space="preserve">Pesamos el DCF (40 %) y los escenarios (40 %) porque la cartera de pedidos permite proyectar dos años con bastante visibilidad; los comparables (20 %) dan la referencia de mercado, pero sus múltiplos (EV/EBITDA mediano 22,6x, PER 21,6x) pertenecen a empresas con ROIC del doble y llevarían el valor a 188,45. Las transacciones quedan fuera (0 %): son de refrigeración líquida pura con prima de control (Boyd a 22,5x) y FAM controla el 28,3 %. El DCF da 132,23 SEK (+0,1 %), el valor intrínseco ponderado 141,02 (+6,8 %). Con la prima implícita del mercado el DCF sube a 158,69 y el objetivo a 161,68: la mitad del potencial depende de la tasa de descuento.</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94,38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(18.8x) × 1.1 (tope: la mediana de 5 años, 23.9x,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177,40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histórica larga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256,41</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+95,4 %</w:t>
            </w:r>
          </w:p>
        </w:tc>
      </w:tr>
    </w:tbl>
    <w:p>
      <w:pPr>
        <w:spacing w:after="160" w:before="0"/>
      </w:pPr>
    </w:p>
    <w:p>
      <w:pPr>
        <w:spacing w:after="100"/>
      </w:pPr>
      <w:r>
        <w:rPr>
          <w:b/>
          <w:bCs/>
        </w:rPr>
        <w:t xml:space="preserve">Objetivo a 12 meses (ponderado):</w:t>
      </w:r>
      <w:r>
        <w:t xml:space="preserve"> 176,40 SEK · rentabilidad +34,8 % (base +35,6 %) · señal Comprar.</w:t>
      </w:r>
    </w:p>
    <w:p>
      <w:pPr>
        <w:spacing w:after="100"/>
      </w:pPr>
      <w:r>
        <w:t xml:space="preserve">Para comparar, con la regla v2 (historia al cierre, mismo precio): 16,0x / 18,8x / 24,4x, 25,3 % Comprar; con el tope anterior del base (×1,3, 14-oct mediodía): 37,0 % Comprar.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2027 (7,03) queda un 27 % por debajo del consenso (9,67) y el de 2028 (8,57) un 30 % (12,17). La diferencia es de ventas y de margen: el consenso espera 21.266 M en 2027 y 23.700 M en 2028 con un EBIT del 13,4-14,5 %, y nosotros 19.649 y 21.713 M con un 11,3-11,9 %, porque la empresa lleva cuatro trimestres sin cumplir su margen objetivo, la escasez de componentes retrasa entregas a 2027 [32] y los aranceles restan ≈3 puntos a DCT mientras las enfriadoras vengan de Italia [2]. Nuestro precio base a 12 meses (177,40) queda un 14,0 % por debajo del objetivo medio de los analistas (206,25), dentro de su rango (155-245) [23, 33].</w:t>
      </w:r>
    </w:p>
    <w:p>
      <w:pPr>
        <w:keepNext/>
        <w:spacing w:after="100"/>
      </w:pPr>
      <w:r>
        <w:rPr>
          <w:b/>
          <w:bCs/>
        </w:rPr>
        <w:t xml:space="preserve">Del valor intrínseco al objetivo a 12 meses.</w:t>
      </w:r>
    </w:p>
    <w:p>
      <w:pPr>
        <w:spacing w:after="100"/>
      </w:pPr>
      <w:r>
        <w:t xml:space="preserve">El objetivo a 12 meses (176,40 SEK ponderado; 177,40 en el base) queda un 25 % por encima del valor intrínseco (141,02): la regla supone que el PER pasa de 18,8x a 20,7x (el tope de ×1,1, lejos de la mediana adelantada de 23,9x) y que el BPA se multiplica casi por tres desde 2025. Ese crecimiento del 42 % anual es un rebote, no una tendencia: el BPA de 2024 fue 4,96 y el de 2025 (3,01) lleva 324 M de partidas no recurrentes y la puesta en marcha de Virginia. Lo que tiene que pasar para cerrar la distancia con fecha: que el 3T26 (23-oct) muestre el margen de DCT subiendo desde el 11,3 % y que el día del inversor (11-nov) fije objetivos creíbles. Con un BPA un 10 % peor la ponderada sigue en el 22,4 % (v3), pero la v2 de control queda por debajo del 15 %.</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23-oct-2026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Informe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 DCT tras el 11,3 % del 2T; Pareto espera un 12,5 % de EBITA para el grupo [32]</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Día del inversor con el nuevo consejero delegado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Objetivos a medio plazo nuevos y estrategia sin FoodTech [12]</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 de oct-2026 (ofertas indicativas); 1S27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FoodTech/Speria (Evercore)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Entrada de caja de 3.900-6.000 M según Pareto, Nordea y Bloomberg Intelligence, que reduciría la deuda neta (6.684 M) y centraría el grupo en DCT y AirTech [7, 34]</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Entregas del pedido de ≈2.000 M y fin de la importación de enfriadoras desde Italia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Menos aranceles (≈3 puntos de margen en DCT) [2, 10]</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Fecha ex del segundo pago del dividendo (0,80 SEK)</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Rentabilidad por dividendo del 1,2 % anual [9]</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28-ene-2027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anuales de 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año completo con Virginia; dividendo [9]</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Trimestral</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Capex de los hiperescaladores (Microsoft, Alphabet, Amazon, Meta)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Adelanta los pedidos de DCT [15]</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de DCT que no vuelve (puesta en marcha de Virginia, componentes, mezcla de enfriadoras)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−43 % (bajista del DCF)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Precios en revisión, proveedores nuevos, más inventario de componentes [2]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EBITA de DCT por debajo del 13 % en el 4T26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ciclo de inversión de los hiperescaladores (frenazo del capex de IA) y cambio de la forma de refrigerar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 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de 19.185 M en DCT con anticipos [2]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de DCT por debajo de 2.000 M por trimestre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 tecnológico: chips refrigerados con agua templada que no necesitan enfriadoras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Tecnológico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Munters vende también CDU y CRAH para refrigeración líquida [10]</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Peso de las enfriadoras en los pedidos de DCT</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de EE. UU. sobre equipos y componentes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Producción local en Virginia y Amesbury [17]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 DCT tras el traslado de las enfriadoras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3,2 veces el EBITDA ajustado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Anticipos de clientes y venta posible de FoodTech [2, 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Apalancamiento por encima de 3,5x</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en enfriadoras y CDU (Vertiv, Trane, Carrier, Schneider) con más escala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Diseño a medida y cercanía con colocalizadores [10]</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los pedidos grandes; cuota de DCT</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Ejecución con un equipo directivo nuevo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Aspman dirigía DCT; continuidad [11]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Rotación adicional en la dirección</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Divisa: el 54 % de las ventas en EE. UU. y una corona fuerte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Producción local en EE. UU.</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USD/SEK por debajo de 9,5</w:t>
            </w:r>
          </w:p>
        </w:tc>
      </w:tr>
    </w:tbl>
    <w:p>
      <w:pPr>
        <w:spacing w:after="160" w:before="0"/>
      </w:pPr>
    </w:p>
    <w:p>
      <w:pPr>
        <w:pStyle w:val="Heading2"/>
      </w:pPr>
      <w:r>
        <w:t xml:space="preserve">Pre-mortem</w:t>
      </w:r>
    </w:p>
    <w:p>
      <w:pPr>
        <w:spacing w:after="100"/>
      </w:pPr>
      <w:r>
        <w:t xml:space="preserve">Octubre de 2029: la acción ha perdido un 40 %. La historia más probable es que la cartera récord de 2026 no se convirtió en beneficio. Virginia tardó dos años más en producir enfriadoras con margen, los componentes siguieron escasos y Munters tuvo que pagar penalizaciones por retrasos a sus clientes de colocalización. A la vez, los chips nuevos de Nvidia, refrigerados con agua templada, redujeron el número de enfriadoras por megavatio, y los hiperescaladores frenaron el capex en 2028 tras una corrección del gasto en IA. Los pedidos de DCT cayeron a la mitad, el margen del grupo se quedó en el 12-13 % y la deuda, a 3,5 veces el EBITDA, impidió recomprar acciones. El PER volvió a su mínimo de 16 veces sobre un BPA de 5-6 SEK. Las señales estaban a la vista: el margen de DCT en el 3T26 y 4T26, el peso de las enfriadoras en los pedidos y los comentarios de Nvidia en sus presentaciones de producto.</w:t>
      </w:r>
    </w:p>
    <w:p>
      <w:pPr>
        <w:pStyle w:val="Heading2"/>
      </w:pPr>
      <w:r>
        <w:t xml:space="preserve">Riesgo de inteligencia artificial</w:t>
      </w:r>
    </w:p>
    <w:p>
      <w:pPr>
        <w:spacing w:after="100"/>
      </w:pPr>
      <w:r>
        <w:rPr>
          <w:b/>
          <w:bCs/>
        </w:rPr>
        <w:t xml:space="preserve">Exposición:</w:t>
      </w:r>
      <w:r>
        <w:t xml:space="preserve"> Alta · </w:t>
      </w:r>
      <w:r>
        <w:rPr>
          <w:b/>
          <w:bCs/>
        </w:rPr>
        <w:t xml:space="preserve">Sentido:</w:t>
      </w:r>
      <w:r>
        <w:t xml:space="preserve"> Mixto · </w:t>
      </w:r>
      <w:r>
        <w:rPr>
          <w:b/>
          <w:bCs/>
        </w:rPr>
        <w:t xml:space="preserve">Efecto en valor (3-5 años):</w:t>
      </w:r>
      <w:r>
        <w:t xml:space="preserve"> +20 % / −20 %</w:t>
      </w:r>
    </w:p>
    <w:p>
      <w:pPr>
        <w:spacing w:after="100"/>
      </w:pPr>
      <w:r>
        <w:t xml:space="preserve">La IA es a la vez el motor y el mayor riesgo de Munters. A favor: DCT (40 % de las ventas de 2025, 62 % de los pedidos) vende refrigeración a centros de datos de IA; la cartera de 19.185 M existe por la IA y el alcista (+95 % a 12 meses) la supone [2]. En contra, dos riesgos: un frenazo del capex de IA de los hiperescaladores dejaría sin pedidos nuevos a DCT a partir de 2028 (bajista del DCF, −43 %), y que la IA cambie la forma de refrigerar: con chips que aceptan agua a 45 °C bastan torres secas y sobran enfriadoras, que son el grueso de los pedidos recientes; los comentarios de Nvidia en enero de 2026 tumbaron la acción un 13 % en tres sesiones [16]. Además la IA puede abaratar el diseño de equipos a medida de los competidores, pero no sustituye la fabricación. Munters ya vende CDU y CRAH para refrigeración líquida. En AirTech y FoodTech el efecto es neutral u oportunidad (software con IA de Optifarm). Señal: el peso de las enfriadoras en los pedidos de DCT.</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Lo material son la energía de los equipos que vende (la refrigeración puede ser el 30-40 % del consumo de un centro de datos; los equipos eficientes de Munters reducen ese gasto y son su argumento comercial), el refrigerante de las enfriadoras (gases fluorados) y las emisiones de alcance 3 por uso de los productos: objetivo validado por SBTi de −51,6 % por unidad vendida, que va un 19 % peor que el año base [2]. Alcance 1 y 2 sube un 3 % frente al objetivo de −42 % [2].</w:t>
      </w:r>
    </w:p>
    <w:p>
      <w:pPr>
        <w:pStyle w:val="Heading2"/>
      </w:pPr>
      <w:r>
        <w:t xml:space="preserve">Controversias</w:t>
      </w:r>
    </w:p>
    <w:p>
      <w:pPr>
        <w:spacing w:after="100"/>
      </w:pPr>
      <w:r>
        <w:t xml:space="preserve">Sin sanciones ni litigios relevantes en 2023-2026 en lo leído (informe anual 2025, comunicados de MFN). En diciembre de 2023 un ataque de ransomware a un proveedor de alojamiento obligó a publicar resultados preliminares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de DCT</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tienen los pedidos de la cartera firmados en 2026 frente a los facturados en 2025, una vez fabricadas las enfriadoras en Virginia?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el margen vuelve al 19-21 % o se queda en el 11-15 %.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Tecnología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pedidos de DCT son enfriadoras y cuánto baja la necesidad de enfriadoras por megavatio con los chips de próxima generación?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riesgo tecnológico principal.</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¿Hay cláusulas de cancelación o penalizaciones por retraso en los pedidos grandes de colocalizadores?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cuánto de la cartera es firme.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FoodTech</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qué múltiplo se espera vender FoodTech y qué se hará con la caja?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Puede cubrir casi toda la deuda neta.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mantendrá el objetivo de margen EBITA ajustado &gt; 14 % en el día del inversor sin FoodTech?</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FoodTech (17 % de margen) el margen del grupo baja.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nivel de anticipos de clientes es sostenible cuando se entregue la cartera?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circulante del 5,2 % volverá hacia el 10-13 % y consumirá caja.</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Placera (telegramas y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analistas suecos rebajan objetivos pero mantienen la compra: ven en el 3T el suelo del margen de DCT y la acción «barata» a 6x EV/EBITA de 2028 [32].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EFN (programas y artículos con gestores)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gestor defiende la acción por los centros de datos y la falta de inversores; la duda es si los chips nuevos de Nvidia necesitarán enfriadoras [16].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EFN (resultados del 4T25)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Pedidos récord pero beneficio flojo: el mercado castiga que la cartera no se convierta en margen [36].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récord frente a márgenes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cartera es real (24.542 M, +151 %), pero el margen EBITA ajustado bajó del 15,5 % (2024) al 11,0 % (2T26) [2].</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Enfriadoras y chips nuevos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enfriadoras son el grueso de los pedidos de DCT; si la refrigeración líquida a 45 °C se generaliza, su peso en cada centro de datos baja, aunque las CDU y CRAH siguen haciendo falta [2, 16].</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Valoración tras la caída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132,05 SEK cotiza a 13,7 veces el BPA de 2027 del consenso, pero a 18,8 veces el nuestro [23].</w:t>
            </w:r>
          </w:p>
        </w:tc>
      </w:tr>
    </w:tbl>
    <w:p>
      <w:pPr>
        <w:spacing w:after="160" w:before="0"/>
      </w:pPr>
    </w:p>
    <w:p>
      <w:pPr>
        <w:spacing w:after="100"/>
      </w:pPr>
      <w:r>
        <w:t xml:space="preserve">El sentimiento ha pasado de entusiasmo (junio) a cansancio: los analistas suecos siguen en compra pero recortan objetivos, y el debate gira en torno a si la cartera se convertirá en margen. No hay capitulación: los directivos compraron tras el 2T y nadie habla de ampliaciones. El riesgo que el foro ve y el análisis comparte es tecnológico (menos enfriadoras con los chips nuevos). No aporta un dato nuevo a la decisión.</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19 de 22 controles correctos y 3 explicados. Fuentes: 36 (17 primarias); citas distintas en el texto: 36.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36,9 %: explica la causa (créditos fiscales, regularizaciones, mezcla de países) y no lo proyectes en el DCF. Explicación: El 36,9 % de 2023 es de operaciones totales, con pérdidas sin crédito fiscal en FoodTech Equipment y retenciones; el DCF usa el 30 %, cerca del 31 % de 2025-2026 [1, 2].</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«En parte» y las pruebas del motor dan «En parte» (el capital nuevo tendría que rendir más de 1,25 veces el histórico):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30,0 % frente a un ROIC de 9,2 % y un incremental histórico de 8,5 %: crecimiento que la empresa no ha demostrado poder comprar. Explicación: El 30,0 % que supone la proyección sale sobre todo de recuperar el margen de 2023-2024 (ROIC del 10,8-12,0 %) desde el bache de 2025-2026 (puesta en marcha de Virginia, aranceles), no de capital nuevo. Ya se rebajó el base (margen del 17,0 % al 16,5 %, circulante al 9 %, más capex): pasar la prueba exigiría dejar el margen en el mínimo de 2025, que es nuestro bajista. Veredicto «En parte».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4,0 % frente a 3,2 % real: genera una variación de circulante de 156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76 %.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 robusta (v3 y v2 dan Comprar)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BPA base de 2028e (8,57) supone un 41,7 % anual desde 3,01 (2025): explícalo en valoracion.objetivo_12m.comentario o la confianza es baja. Explicación: El 42-44 % anual desde 2025 es rebote: el BPA de 2025 (3,01) lleva 324 M de partidas no recurrentes y el margen más bajo en cinco años; el de 2024 fue 4,96 y la cartera (24.542 M) ya está contratada. Explicado en valoracion.objetivo_12m.comentario.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da «Comprar» y el análisis recomienda «Mantener»: hace falta «justificacion_recomendacion».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36 fuentes (17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vencimientos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24 del informe anual 2025 (tabla de vencimientos no legible en el texto extraído); 2) informe del 2T26 (solo vida media de 2,9 años); 3) comunicados de los bonos verdes (solo plazos de cuatro años)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reexpresada sin FoodTech Equipment de 2020-2023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(solo ventas, EBITA y EBIT de 2022-2023 reexpresados, sin cuenta completa); 2) informe anual 2024 (sin reexpresar); 3) XBRL 2020-2024 (operaciones totales)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sostenibilidad 2025 (sin calificaciones de terceros, solo objetivos validados por SBTi); 2) MSCI/Sustainalytics (sin acceso gratuito); 3) prensa (nada fechado)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MarketsandMarkets (lista de jugadores sin cuotas); 2) ResearchAndMarkets (sin cuotas en el resumen); 3) ficha sectorial propia (sin CR5)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voto de la junta sobre remuneraciones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Boletín de la junta de 2026 (no da porcentajes); 2) informe de gobierno 2025 (sin recuento); 3) acta de la junta (no localizada)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reparto de recomendaciones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(solo «Comprar» de media y 8 analistas); 2) Yahoo (recomendación media sin reparto); 3) prensa sueca (SEB, Handelsbanken, Pareto y SB1 en compra; Carnegie en venta o mantener; Kepler mantener; Jefferies 155 SEK)</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de particulares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Reddit (bloqueado desde aquí); 2) foro de Avanza/Placera (no abre sin sesión); 3) Affärsvärlden (muro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and Sustainability Report 2025 (cuentas consolidadas, notas, gobierno corporativo y cifras clave de cinco años)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Munters Group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https://mb.cision.com/Main/15490/4319008/3975210.pdf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Interim report January-June 2026 (Q2 2026): «Exceptional demand - external headwinds currently affecting profitability»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Munters Group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https://mb.cision.com/Main/15490/4375573/4196815.pdf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 anuales 2020-2024 en formato ESEF (XBRL), repositorio filings.xbrl.org (herramientas/cuentas.mjs)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Munters Group AB / XBRL International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report January-March 2026: «Good momentum across all business areas»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Munters Group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https://mb.cision.com/Main/15490/4340911/4061390.pdf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Fourth quarter and full year report 2025: «Exceptional demand while earnings weakened»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Munters Group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https://mb.cision.com/Main/15490/4299489/3904792.pdf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and Sustainability Report 2024 (cifras de 2023 y 2024 antes de reexpresar, cifras clave de las áreas de negocio 2020-2024)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Munters Group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https://mb.cision.com/Main/15490/4115873/3307846.pdf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Munters to explore a potential divestment of its FoodTech business area (asesor Evercore; FoodTech 1.753 M de ventas y 297 M de EBITA ajustado en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Munters Group AB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https://www.mfn.se/cis/a/munters-group/munters-group-ab-munters-to-explore-a-potential-divestment-of-its-foodtech-business-area-6f12930f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report January-September 2025: «Strong performance driven by growth in key industries»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Munters Group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https://mb.cision.com/Main/15490/4255894/3742764.pdf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Calendario financiero de Munters en MFN (informe del 3T26 el 23-oct-2026 a las 07:30; anual el 28-ene-2027; segundo pago del dividendo, 0,80 SEK, con fecha ex el 4-nov-2026)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Modular Finance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https://www.mfn.se/all/a/munters-group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Munters wins order of BSEK 2.0 for a modular AI cooling solution (CDU y CRAH para un colocalizador de EE. UU.; entregas de 2027 al 1T28)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Munters Group AB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https://www.mfn.se/cis/a/munters-group/munters-group-ab-munters-wins-order-of-bsek-2-0-for-a-modular-ai-cooling-solution-f6ab87f4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Munters accelerates CEO transition and announces changes to Group Management (Stefan Aspman consejero delegado desde el 14-sep-2026)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Munters Group AB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https://www.mfn.se/cis/a/munters-group/munters-group-ab-munters-accelerates-ceo-transition-and-announces-changes-to-group-management-1e022242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Invitation to Munters Capital Markets Day 2026 (11-nov-2026, Estocolmo)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Munters Group AB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https://www.mfn.se/cis/a/munters-group/munters-group-ab-invitation-to-munters-capital-markets-day-2026-d3255036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Data Center Cooling Market Estimated to Reach $29.6 billion by 2030 Globally at a CAGR of 12.8% (12.700 M USD en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MarketsandMarkets (GlobeNewswire)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https://www.globenewswire.com/news-release/2024/11/04/2973741/0/en/Data-Center-Cooling-Market-Estimated-to-Reach-29-6-billion-by-2030-Globally-at-a-CAGR-of-12-8-says-MarketsandMarkets.html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Data Center Cooling Market Outlook 2030 (32.900 M USD en 2030; 13,1 % anual en 2025-2030)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ResearchAndMarkets (GlobeNewswire)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https://www.globenewswire.com/news-release/2025/03/05/3037662/28124/en/Data-Center-Cooling-Market-Outlook-2030-Cooling-Technologies-Evolve-for-AI-HPC-Workloads-Market-Report-Future-Trends.html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 sectorial «Componentes de climatización (HVAC) y control de edificios» (sectores/climatizacion-hvac-2026-10-14.md)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propio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https://github.com/HotisS/analisis-inversion/blob/main/sectores/climatizacion-hvac-2026-10-14.md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Förvaltaren positiv till Munters – trots smällarna (comentarios de Nvidia sobre chips que no necesitan enfriadoras; Carnegie rebaja)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https://efn.se/forvaltaren-positiv-till-munters-trots-smallarna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Munters completes expansion of data center cooling campus in Daleville, Virginia (52.000 m², cerca de 600 empleados, enfriadoras fabricadas en EE. UU.)</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Munters Group AB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https://www.mfn.se/cis/a/munters-group/munters-group-ab-munters-completes-expansion-of-data-center-cooling-campus-in-daleville-virginia-a436ad3f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Registro de operaciones de directivos (Insynshandel) de Finansinspektionen, Munters Group AB, oct-2025 a oct-2026 (última operación el 10-ago-2026; consultado el 19-oct)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Finansinspektionen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https://marknadssok.fi.se/publiceringsklient/en-GB/Search/Search?SearchFunctionType=Insyn&amp;Utgivare=Munters%20Group%20AB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General Meeting in Munters Group AB, 30-abr-2026 (dividendo 1,60 SEK en dos pagos, consejo, auditor, autorización de emisión de hasta 18.445.781 acciones)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Munters Group AB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https://www.mfn.se/cis/a/munters-group/annual-general-meeting-in-munters-group-ab-e6749e62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Swedbank Robur cuts stake in Munters (4,83 % del capital y de los votos a 2-oct-2026, por debajo del umbral del 5 %)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(Finwire)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https://www.marketscreener.com/news/swedbank-robur-cuts-stake-in-munters-ce785dd8d98af425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MTRS.ST, ^OMX y EXH4.DE (precio, rango, volumen, betas, cierres de ejercicio; cierre del 19-oct-2026, última operación a las 17:29 CEST)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https://finance.yahoo.com/quote/MTRS.ST/history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Fichas de Munters y de los comparables (quoteSummary y series fundamentales; PER adelantado, objetivo medio de los analistas; precios del 19-oct-2026, EE. UU. en sesión)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https://finance.yahoo.com/quote/MTRS.ST/analysis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Munters Group AB: finances (estimaciones 2026-2028 de ventas, EBITDA, EBIT, beneficio, BPA, dividendo y deuda neta; 8 analistas, objetivo medio 206,25 SEK; sin cambios frente al 15-oct)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https://www.marketscreener.com/quote/stock/MUNTERS-GROUP-AB-34973373/finances/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 del bono del Estado sueco a 10 años (SEGVB10YC), 16-oct-2026: 3,162 %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Sveriges Riksbank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https://api.riksbank.se/swea/v1/Observations/SEGVB10YC/2026-10-08/2026-10-19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19-oct-2026 (11,104 SEK; 1,1225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https://data-api.ecb.europa.eu/service/data/EXR/D.SEK.EUR.SP00.A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value de Vertiv (7-oct-2026): transacciones de refrigeración y energía de centros de datos con múltiplos (Boyd, Fibrebond, PurgeRite, UIG, Motivair)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propio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https://github.com/HotisS/analisis-inversion/tree/main/informes/vertiv-2026-10-07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value de Daikin (14-oct-2026): transacciones de climatización (Viessmann Climate Solutions, Boyd Thermal)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propio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https://github.com/HotisS/analisis-inversion/tree/main/informes/daikin-2026-10-14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Munters: SEB sänker riktkursen (230 → 210 SEK, compra; subida de producción de DCT en EE. UU. más incierta)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Placera (Nyhetsbyrån Direkt)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https://www.placera.se/telegram/munters-seb-sanker-riktkurs-ser-osakrare-dct-produktionsokning-usa-20260928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Handelsbanken sänker riktkursen för Munters, men tror på återhämtning i DCT-marginalerna (230 → 200 SEK, compra)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Placera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https://www.placera.se/telegram/munters-handelsbanken-sanker-riktkursen-for-munters-men-tror-pa-aterhamtning-i-dct-marginalerna-20260930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Munters: högre riskpremie DCT-marginal bakom sänkt riktkurs (SB1 Markets, 230 → 200 SEK)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Placera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https://www.placera.se/telegram/munters-hogre-riskpremie-dct-marginal-bakom-sankt-riktkurs-sb1-20261007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Pareto upprepar köp för Munters men sänker riktkursen till 240 kronor (260 → 240; 3T: margen EBITA esperado del 12,5 %)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Placera (Finwire)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https://www.placera.se/telegram/munters-pareto-upprepar-kop-for-munters-men-sanker-riktkursen-till-240-kronor-20261012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UBS flags Swedish industrial favorites ahead of earnings (UBS reitera compra en Munters con objetivo de 245 SEK)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(Finwire)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https://www.marketscreener.com/news/ubs-flags-swedish-industrial-favorites-ahead-of-earnings-ce785dd2df8cf123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Reports: Munters sets deadline for indicative bids for Speria - EFN (ofertas indicativas a finales de octubre; valoraciones de 4.000-6.000 M SEK de Pareto, 4.100-5.500 M de Nordea y 3.900-5.100 M de Bloomberg Intelligence)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(Finwire, según EFN)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https://www.marketscreener.com/news/reports-munters-sets-deadline-for-indicative-bids-for-speria-efn-ce785cdad880f420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Blankningsregistret, posiciones cortas actuales ≥ 0,5 %: Munters Group AB (Eleva Capital 0,71 % a 1-oct-2026; Millennium 0,60 % a 12-oct-2026)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Finansinspektionen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https://www.fi.se/sv/vara-register/blankningsregistret/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Munters faller trots jättesiffra – vd: «ingen normalnivå» (pedidos récord y beneficio por debajo de lo esperado en el 4T25)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https://www.efn.se/munters-faller-trots-jattesiffra-vd-ingen-normalniva</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89,7 %</w:t>
      </w:r>
      <w:r>
        <w:t xml:space="preserve"> · Secciones con menos del 60 % de campos cubiertos: </w:t>
      </w:r>
      <w:r>
        <w:rPr>
          <w:b/>
          <w:bCs/>
        </w:rPr>
        <w:t xml:space="preserve">ninguna</w:t>
      </w:r>
      <w:r>
        <w:t xml:space="preserve"> · Generado el 19 oct 2026.</w:t>
      </w:r>
    </w:p>
    <w:p>
      <w:pPr>
        <w:pStyle w:val="Nota"/>
        <w:spacing w:after="100"/>
      </w:pPr>
      <w:r>
        <w:t xml:space="preserve">Línea cotizada: acción única MTRS en Nasdaq Estocolmo (SEK); las cuentas están en SEK, así que no hay conversión. Cuentas 2020-2023 del XBRL ESEF del regulador (operaciones totales, con FoodTech Equipment) y 2024-2025 de las operaciones continuadas reexpresadas en el informe anual 2025 [1, 3]: la serie cambia de perímetro en 2024 (Equipment, ≈1.900 M de ventas, pasa a interrumpida y se vende en 2025) y el crecimiento de 2024 (−2,5 %) no es comparable. Gastos comerciales y de administración de 2020-2022 sin dato en el XBRL. Los años 2020-2023 del balance no separan activos y pasivos de contratos; desde 2024 se usan los anticipos de clientes (2.462 M en 2025) y los ingresos devengados netos (595 M) de la tabla de circulante operativo de la empresa. Segmentos con EBITA ajustado (la empresa no da EBIT por área antes de 2024). Consenso de MarketScreener (EBITDA ajustado, sin partidas no recurrentes: base «ajustado» con un 1,5 % de ventas) y objetivos de la prensa sueca. Comparables de Yahoo del 19-oct-26 en SEK (9,93 SEK/USD; las estadounidenses con la sesión del 19-oct en curso); sin EV/EBITDA de los próximos 12 meses ni crecimiento homogéneos. Precio: cierre del 19-oct-2026 (132,05 SEK; última operación a las 17:29 CEST) [21]; una acción cuesta ≈11,9 EUR (11,104 SEK/EUR) [25]. Iteración del análisis del 15-oct-2026: cuentas, consenso, directivos y comunicados comprobados de nuevo el 19-oct; sin resultados nuevos (el 3T26 sale el 23-oct).</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19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Munters Group AB (publ) (MTRS)</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(SEK) · precio actual 132,05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(115,40 – 212,40)</c:v>
                </c:pt>
                <c:pt idx="1">
                  <c:v>Precio objetivo de los analistas (155,00 – 245,00)</c:v>
                </c:pt>
                <c:pt idx="2">
                  <c:v>Comparables: PER NTM (141,12 – 199,14)</c:v>
                </c:pt>
                <c:pt idx="3">
                  <c:v>Transacciones precedentes (EV/EBITDA) (111,06 – 162,04)</c:v>
                </c:pt>
                <c:pt idx="4">
                  <c:v>DCF (WACC y g ± 0,5) (120,11 – 147,93)</c:v>
                </c:pt>
                <c:pt idx="5">
                  <c:v>Escenarios (bajista – alcista) (74,90 – 165,03)</c:v>
                </c:pt>
                <c:pt idx="6">
                  <c:v>DCF con la prima implícita del mercado (4,2 %)</c:v>
                </c:pt>
                <c:pt idx="7">
                  <c:v>Precio actual (132,05)</c:v>
                </c:pt>
              </c:strCache>
            </c:strRef>
          </c:cat>
          <c:val>
            <c:numRef>
              <c:f>Hoja1!$B$2:$B$9</c:f>
              <c:numCache>
                <c:formatCode>#,##0</c:formatCode>
                <c:ptCount val="8"/>
                <c:pt idx="0">
                  <c:v>115.4</c:v>
                </c:pt>
                <c:pt idx="1">
                  <c:v>155</c:v>
                </c:pt>
                <c:pt idx="2">
                  <c:v>141.12</c:v>
                </c:pt>
                <c:pt idx="3">
                  <c:v>111.06</c:v>
                </c:pt>
                <c:pt idx="4">
                  <c:v>120.11</c:v>
                </c:pt>
                <c:pt idx="5">
                  <c:v>74.9</c:v>
                </c:pt>
                <c:pt idx="6">
                  <c:v>146.73</c:v>
                </c:pt>
                <c:pt idx="7">
                  <c:v>131.39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(115,40 – 212,40)</c:v>
                </c:pt>
                <c:pt idx="1">
                  <c:v>Precio objetivo de los analistas (155,00 – 245,00)</c:v>
                </c:pt>
                <c:pt idx="2">
                  <c:v>Comparables: PER NTM (141,12 – 199,14)</c:v>
                </c:pt>
                <c:pt idx="3">
                  <c:v>Transacciones precedentes (EV/EBITDA) (111,06 – 162,04)</c:v>
                </c:pt>
                <c:pt idx="4">
                  <c:v>DCF (WACC y g ± 0,5) (120,11 – 147,93)</c:v>
                </c:pt>
                <c:pt idx="5">
                  <c:v>Escenarios (bajista – alcista) (74,90 – 165,03)</c:v>
                </c:pt>
                <c:pt idx="6">
                  <c:v>DCF con la prima implícita del mercado (4,2 %)</c:v>
                </c:pt>
                <c:pt idx="7">
                  <c:v>Precio actual (132,05)</c:v>
                </c:pt>
              </c:strCache>
            </c:strRef>
          </c:cat>
          <c:val>
            <c:numRef>
              <c:f>Hoja1!$C$2:$C$9</c:f>
              <c:numCache>
                <c:formatCode>#,##0</c:formatCode>
                <c:ptCount val="8"/>
                <c:pt idx="0">
                  <c:v>97</c:v>
                </c:pt>
                <c:pt idx="1">
                  <c:v>90</c:v>
                </c:pt>
                <c:pt idx="2">
                  <c:v>58.01999999999998</c:v>
                </c:pt>
                <c:pt idx="3">
                  <c:v>50.97999999999999</c:v>
                </c:pt>
                <c:pt idx="4">
                  <c:v>27.820000000000007</c:v>
                </c:pt>
                <c:pt idx="5">
                  <c:v>90.13</c:v>
                </c:pt>
                <c:pt idx="6">
                  <c:v>26</c:v>
                </c:pt>
                <c:pt idx="7">
                  <c:v>1.3200000000000216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5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(SEK, millones)</a:t>
            </a:r>
          </a:p>
        </c:rich>
      </c:tx>
      <c:overlay val="0"/>
    </c:title>
    <c:autoTitleDeleted val="0"/>
    <c:plotArea>
      <c:layout/>
      <c:barChart>
        <c:barDir val="col"/>
        <c:grouping val="stacked"/>
        <c:varyColors val="0"/>
        <c:ser>
          <c:idx val="0"/>
          <c:order val="0"/>
          <c:tx>
            <c:strRef>
              <c:f>Hoja1!$B$1</c:f>
              <c:strCache>
                <c:ptCount val="1"/>
                <c:pt idx="0">
                  <c:v>AirTech</c:v>
                </c:pt>
              </c:strCache>
            </c:strRef>
          </c:tx>
          <c:spPr>
            <a:solidFill>
              <a:srgbClr val="2A78D6"/>
            </a:solidFill>
            <a:ln w="12700">
              <a:solidFill>
                <a:srgbClr val="FFFFFF"/>
              </a:solidFill>
            </a:ln>
          </c:spPr>
          <c:invertIfNegative val="0"/>
          <c:cat>
            <c:strRef>
              <c:f>Hoja1!$A$2:$A$7</c:f>
              <c:strCache>
                <c:ptCount val="6"/>
                <c:pt idx="0">
                  <c:v>LTM jun-26</c:v>
                </c:pt>
                <c:pt idx="1">
                  <c:v>2021</c:v>
                </c:pt>
                <c:pt idx="2">
                  <c:v>2022</c:v>
                </c:pt>
                <c:pt idx="3">
                  <c:v>2023</c:v>
                </c:pt>
                <c:pt idx="4">
                  <c:v>2024</c:v>
                </c:pt>
                <c:pt idx="5">
                  <c:v>2025</c:v>
                </c:pt>
              </c:strCache>
            </c:strRef>
          </c:cat>
          <c:val>
            <c:numRef>
              <c:f>Hoja1!$B$2:$B$7</c:f>
              <c:numCache>
                <c:formatCode>#,##0</c:formatCode>
                <c:ptCount val="6"/>
                <c:pt idx="0">
                  <c:v>7416</c:v>
                </c:pt>
                <c:pt idx="1">
                  <c:v>4664</c:v>
                </c:pt>
                <c:pt idx="2">
                  <c:v>6830</c:v>
                </c:pt>
                <c:pt idx="3">
                  <c:v>8226</c:v>
                </c:pt>
                <c:pt idx="4">
                  <c:v>8204</c:v>
                </c:pt>
                <c:pt idx="5">
                  <c:v>7191</c:v>
                </c:pt>
              </c:numCache>
            </c:numRef>
          </c:val>
        </c:ser>
        <c:ser>
          <c:idx val="1"/>
          <c:order val="1"/>
          <c:tx>
            <c:strRef>
              <c:f>Hoja1!$C$1</c:f>
              <c:strCache>
                <c:ptCount val="1"/>
                <c:pt idx="0">
                  <c:v>Data Center Technologies (DCT)</c:v>
                </c:pt>
              </c:strCache>
            </c:strRef>
          </c:tx>
          <c:spPr>
            <a:solidFill>
              <a:srgbClr val="EB6834"/>
            </a:solidFill>
            <a:ln w="12700">
              <a:solidFill>
                <a:srgbClr val="FFFFFF"/>
              </a:solidFill>
            </a:ln>
          </c:spPr>
          <c:invertIfNegative val="0"/>
          <c:cat>
            <c:strRef>
              <c:f>Hoja1!$A$2:$A$7</c:f>
              <c:strCache>
                <c:ptCount val="6"/>
                <c:pt idx="0">
                  <c:v>LTM jun-26</c:v>
                </c:pt>
                <c:pt idx="1">
                  <c:v>2021</c:v>
                </c:pt>
                <c:pt idx="2">
                  <c:v>2022</c:v>
                </c:pt>
                <c:pt idx="3">
                  <c:v>2023</c:v>
                </c:pt>
                <c:pt idx="4">
                  <c:v>2024</c:v>
                </c:pt>
                <c:pt idx="5">
                  <c:v>2025</c:v>
                </c:pt>
              </c:strCache>
            </c:strRef>
          </c:cat>
          <c:val>
            <c:numRef>
              <c:f>Hoja1!$C$2:$C$7</c:f>
              <c:numCache>
                <c:formatCode>#,##0</c:formatCode>
                <c:ptCount val="6"/>
                <c:pt idx="0">
                  <c:v>5637</c:v>
                </c:pt>
                <c:pt idx="1">
                  <c:v>702</c:v>
                </c:pt>
                <c:pt idx="2">
                  <c:v>1401</c:v>
                </c:pt>
                <c:pt idx="3">
                  <c:v>3408</c:v>
                </c:pt>
                <c:pt idx="4">
                  <c:v>4392</c:v>
                </c:pt>
                <c:pt idx="5">
                  <c:v>5906</c:v>
                </c:pt>
              </c:numCache>
            </c:numRef>
          </c:val>
        </c:ser>
        <c:ser>
          <c:idx val="2"/>
          <c:order val="2"/>
          <c:tx>
            <c:strRef>
              <c:f>Hoja1!$D$1</c:f>
              <c:strCache>
                <c:ptCount val="1"/>
                <c:pt idx="0">
                  <c:v>FoodTech (Speria)</c:v>
                </c:pt>
              </c:strCache>
            </c:strRef>
          </c:tx>
          <c:spPr>
            <a:solidFill>
              <a:srgbClr val="1BAF7A"/>
            </a:solidFill>
            <a:ln w="12700">
              <a:solidFill>
                <a:srgbClr val="FFFFFF"/>
              </a:solidFill>
            </a:ln>
          </c:spPr>
          <c:invertIfNegative val="0"/>
          <c:cat>
            <c:strRef>
              <c:f>Hoja1!$A$2:$A$7</c:f>
              <c:strCache>
                <c:ptCount val="6"/>
                <c:pt idx="0">
                  <c:v>LTM jun-26</c:v>
                </c:pt>
                <c:pt idx="1">
                  <c:v>2021</c:v>
                </c:pt>
                <c:pt idx="2">
                  <c:v>2022</c:v>
                </c:pt>
                <c:pt idx="3">
                  <c:v>2023</c:v>
                </c:pt>
                <c:pt idx="4">
                  <c:v>2024</c:v>
                </c:pt>
                <c:pt idx="5">
                  <c:v>2025</c:v>
                </c:pt>
              </c:strCache>
            </c:strRef>
          </c:cat>
          <c:val>
            <c:numRef>
              <c:f>Hoja1!$D$2:$D$7</c:f>
              <c:numCache>
                <c:formatCode>#,##0</c:formatCode>
                <c:ptCount val="6"/>
                <c:pt idx="0">
                  <c:v>1814</c:v>
                </c:pt>
                <c:pt idx="1">
                  <c:v>2028</c:v>
                </c:pt>
                <c:pt idx="2">
                  <c:v>2211</c:v>
                </c:pt>
                <c:pt idx="3">
                  <c:v>2363</c:v>
                </c:pt>
                <c:pt idx="4">
                  <c:v>1015</c:v>
                </c:pt>
                <c:pt idx="5">
                  <c:v>1753</c:v>
                </c:pt>
              </c:numCache>
            </c:numRef>
          </c:val>
        </c:ser>
        <c:ser>
          <c:idx val="3"/>
          <c:order val="3"/>
          <c:tx>
            <c:strRef>
              <c:f>Hoja1!$E$1</c:f>
              <c:strCache>
                <c:ptCount val="1"/>
                <c:pt idx="0">
                  <c:v>Corporativo y eliminaciones</c:v>
                </c:pt>
              </c:strCache>
            </c:strRef>
          </c:tx>
          <c:spPr>
            <a:solidFill>
              <a:srgbClr val="EDA100"/>
            </a:solidFill>
            <a:ln w="12700">
              <a:solidFill>
                <a:srgbClr val="FFFFFF"/>
              </a:solidFill>
            </a:ln>
          </c:spPr>
          <c:invertIfNegative val="0"/>
          <c:cat>
            <c:strRef>
              <c:f>Hoja1!$A$2:$A$7</c:f>
              <c:strCache>
                <c:ptCount val="6"/>
                <c:pt idx="0">
                  <c:v>LTM jun-26</c:v>
                </c:pt>
                <c:pt idx="1">
                  <c:v>2021</c:v>
                </c:pt>
                <c:pt idx="2">
                  <c:v>2022</c:v>
                </c:pt>
                <c:pt idx="3">
                  <c:v>2023</c:v>
                </c:pt>
                <c:pt idx="4">
                  <c:v>2024</c:v>
                </c:pt>
                <c:pt idx="5">
                  <c:v>2025</c:v>
                </c:pt>
              </c:strCache>
            </c:strRef>
          </c:cat>
          <c:val>
            <c:numRef>
              <c:f>Hoja1!$E$2:$E$7</c:f>
              <c:numCache>
                <c:formatCode>#,##0</c:formatCode>
                <c:ptCount val="6"/>
                <c:pt idx="0">
                  <c:v>-90</c:v>
                </c:pt>
                <c:pt idx="1">
                  <c:v>-46</c:v>
                </c:pt>
                <c:pt idx="2">
                  <c:v>-56</c:v>
                </c:pt>
                <c:pt idx="3">
                  <c:v>-67</c:v>
                </c:pt>
                <c:pt idx="4">
                  <c:v>-24</c:v>
                </c:pt>
                <c:pt idx="5">
                  <c:v>-138</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AirTech</c:v>
                </c:pt>
                <c:pt idx="1">
                  <c:v>Data Center Technologies (DCT)</c:v>
                </c:pt>
                <c:pt idx="2">
                  <c:v>FoodTech (Speria)</c:v>
                </c:pt>
                <c:pt idx="3">
                  <c:v>Corporativo y eliminaciones</c:v>
                </c:pt>
              </c:strCache>
            </c:strRef>
          </c:cat>
          <c:val>
            <c:numRef>
              <c:f>Hoja1!$B$2:$B$5</c:f>
              <c:numCache>
                <c:formatCode>General</c:formatCode>
                <c:ptCount val="4"/>
                <c:pt idx="0">
                  <c:v>48.9</c:v>
                </c:pt>
                <c:pt idx="1">
                  <c:v>40.1</c:v>
                </c:pt>
                <c:pt idx="2">
                  <c:v>11.9</c:v>
                </c:pt>
                <c:pt idx="3">
                  <c:v>-0.9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EE. UU.</c:v>
                </c:pt>
                <c:pt idx="1">
                  <c:v>China</c:v>
                </c:pt>
                <c:pt idx="2">
                  <c:v>Alemania</c:v>
                </c:pt>
                <c:pt idx="3">
                  <c:v>India</c:v>
                </c:pt>
                <c:pt idx="4">
                  <c:v>Brasil</c:v>
                </c:pt>
                <c:pt idx="5">
                  <c:v>Resto de Europa (Italia, Países Bajos, Reino Unido, España, Irlanda, Suecia, Francia, Bélgica, Polonia, Dinamarca)</c:v>
                </c:pt>
                <c:pt idx="6">
                  <c:v>Resto del mundo</c:v>
                </c:pt>
              </c:strCache>
            </c:strRef>
          </c:cat>
          <c:val>
            <c:numRef>
              <c:f>Hoja1!$B$2:$B$8</c:f>
              <c:numCache>
                <c:formatCode>0"%"</c:formatCode>
                <c:ptCount val="7"/>
                <c:pt idx="0">
                  <c:v>54.4</c:v>
                </c:pt>
                <c:pt idx="1">
                  <c:v>6.9</c:v>
                </c:pt>
                <c:pt idx="2">
                  <c:v>4.3</c:v>
                </c:pt>
                <c:pt idx="3">
                  <c:v>3.8</c:v>
                </c:pt>
                <c:pt idx="4">
                  <c:v>3.1</c:v>
                </c:pt>
                <c:pt idx="5">
                  <c:v>15.5</c:v>
                </c:pt>
                <c:pt idx="6">
                  <c:v>12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(refrigeración de centros de datos, MarketsandMarkets))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2023</c:v>
                </c:pt>
                <c:pt idx="1">
                  <c:v>2030e</c:v>
                </c:pt>
              </c:strCache>
            </c:strRef>
          </c:cat>
          <c:val>
            <c:numRef>
              <c:f>Hoja1!$B$2:$B$3</c:f>
              <c:numCache>
                <c:formatCode>#,##0</c:formatCode>
                <c:ptCount val="2"/>
                <c:pt idx="0">
                  <c:v>12700</c:v>
                </c:pt>
                <c:pt idx="1">
                  <c:v>29600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4</c:v>
                </c:pt>
                <c:pt idx="2">
                  <c:v>3</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Munters</c:v>
                </c:pt>
                <c:pt idx="1">
                  <c:v>Vertiv</c:v>
                </c:pt>
                <c:pt idx="2">
                  <c:v>Trane Technologies</c:v>
                </c:pt>
                <c:pt idx="3">
                  <c:v>Carrier Global</c:v>
                </c:pt>
                <c:pt idx="4">
                  <c:v>Johnson Controls</c:v>
                </c:pt>
                <c:pt idx="5">
                  <c:v>Modine</c:v>
                </c:pt>
                <c:pt idx="6">
                  <c:v>Systemair</c:v>
                </c:pt>
                <c:pt idx="7">
                  <c:v>Stulz</c:v>
                </c:pt>
              </c:strCache>
            </c:strRef>
          </c:cat>
          <c:val>
            <c:numRef>
              <c:f>Hoja1!$B$2:$B$9</c:f>
              <c:numCache>
                <c:formatCode>0.0"%"</c:formatCode>
                <c:ptCount val="8"/>
                <c:pt idx="0">
                  <c:v>10.5</c:v>
                </c:pt>
                <c:pt idx="1">
                  <c:v>17.9</c:v>
                </c:pt>
                <c:pt idx="2">
                  <c:v>18.3</c:v>
                </c:pt>
                <c:pt idx="3">
                  <c:v>10.4</c:v>
                </c:pt>
                <c:pt idx="4">
                  <c:v>9.3</c:v>
                </c:pt>
                <c:pt idx="5">
                  <c:v>6.9</c:v>
                </c:pt>
                <c:pt idx="6">
                  <c:v>8.9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2</c:v>
                </c:pt>
                <c:pt idx="2">
                  <c:v>3</c:v>
                </c:pt>
                <c:pt idx="3">
                  <c:v>1</c:v>
                </c:pt>
                <c:pt idx="4">
                  <c:v>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(SEK,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Hoja1!$A$2:$A$15</c:f>
              <c:strCache>
                <c:ptCount val="14"/>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pt idx="13">
                  <c:v>2033e</c:v>
                </c:pt>
              </c:strCache>
            </c:strRef>
          </c:cat>
          <c:val>
            <c:numRef>
              <c:f>Hoja1!$B$2:$B$15</c:f>
              <c:numCache>
                <c:formatCode>#,##0</c:formatCode>
                <c:ptCount val="14"/>
                <c:pt idx="0">
                  <c:v>7015</c:v>
                </c:pt>
                <c:pt idx="1">
                  <c:v>7348</c:v>
                </c:pt>
                <c:pt idx="2">
                  <c:v>10386</c:v>
                </c:pt>
                <c:pt idx="3">
                  <c:v>13930</c:v>
                </c:pt>
                <c:pt idx="4">
                  <c:v>13587</c:v>
                </c:pt>
                <c:pt idx="5">
                  <c:v>14712</c:v>
                </c:pt>
                <c:pt idx="6">
                  <c:v>15595</c:v>
                </c:pt>
                <c:pt idx="7">
                  <c:v>19649</c:v>
                </c:pt>
                <c:pt idx="8">
                  <c:v>21713</c:v>
                </c:pt>
                <c:pt idx="9">
                  <c:v>23232</c:v>
                </c:pt>
                <c:pt idx="10">
                  <c:v>24626</c:v>
                </c:pt>
                <c:pt idx="11">
                  <c:v>25858</c:v>
                </c:pt>
                <c:pt idx="12">
                  <c:v>26892</c:v>
                </c:pt>
                <c:pt idx="13">
                  <c:v>27833</c:v>
                </c:pt>
              </c:numCache>
            </c:numRef>
          </c:val>
        </c:ser>
        <c:ser>
          <c:idx val="1"/>
          <c:order val="1"/>
          <c:tx>
            <c:strRef>
              <c:f>Hoja1!$C$1</c:f>
              <c:strCache>
                <c:ptCount val="1"/>
                <c:pt idx="0">
                  <c:v>EBITDA</c:v>
                </c:pt>
              </c:strCache>
            </c:strRef>
          </c:tx>
          <c:spPr>
            <a:solidFill>
              <a:srgbClr val="EB6834"/>
            </a:solidFill>
            <a:ln w="9525">
              <a:noFill/>
            </a:ln>
          </c:spPr>
          <c:invertIfNegative val="0"/>
          <c:cat>
            <c:strRef>
              <c:f>Hoja1!$A$2:$A$15</c:f>
              <c:strCache>
                <c:ptCount val="14"/>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pt idx="13">
                  <c:v>2033e</c:v>
                </c:pt>
              </c:strCache>
            </c:strRef>
          </c:cat>
          <c:val>
            <c:numRef>
              <c:f>Hoja1!$C$2:$C$15</c:f>
              <c:numCache>
                <c:formatCode>#,##0</c:formatCode>
                <c:ptCount val="14"/>
                <c:pt idx="0">
                  <c:v>1015</c:v>
                </c:pt>
                <c:pt idx="1">
                  <c:v>1056</c:v>
                </c:pt>
                <c:pt idx="2">
                  <c:v>1258</c:v>
                </c:pt>
                <c:pt idx="3">
                  <c:v>2070</c:v>
                </c:pt>
                <c:pt idx="4">
                  <c:v>2442</c:v>
                </c:pt>
                <c:pt idx="5">
                  <c:v>2303</c:v>
                </c:pt>
                <c:pt idx="6">
                  <c:v>2246</c:v>
                </c:pt>
                <c:pt idx="7">
                  <c:v>3144</c:v>
                </c:pt>
                <c:pt idx="8">
                  <c:v>3583</c:v>
                </c:pt>
                <c:pt idx="9">
                  <c:v>3833</c:v>
                </c:pt>
                <c:pt idx="10">
                  <c:v>4063</c:v>
                </c:pt>
                <c:pt idx="11">
                  <c:v>4267</c:v>
                </c:pt>
                <c:pt idx="12">
                  <c:v>4437</c:v>
                </c:pt>
                <c:pt idx="13">
                  <c:v>4592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33.5</c:v>
                </c:pt>
                <c:pt idx="1">
                  <c:v>32</c:v>
                </c:pt>
                <c:pt idx="2">
                  <c:v>29.1</c:v>
                </c:pt>
                <c:pt idx="3">
                  <c:v>31.7</c:v>
                </c:pt>
                <c:pt idx="4">
                  <c:v>35.3</c:v>
                </c:pt>
                <c:pt idx="5">
                  <c:v>31.4</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14.5</c:v>
                </c:pt>
                <c:pt idx="1">
                  <c:v>14.4</c:v>
                </c:pt>
                <c:pt idx="2">
                  <c:v>12.1</c:v>
                </c:pt>
                <c:pt idx="3">
                  <c:v>14.9</c:v>
                </c:pt>
                <c:pt idx="4">
                  <c:v>18</c:v>
                </c:pt>
                <c:pt idx="5">
                  <c:v>15.7</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10.1</c:v>
                </c:pt>
                <c:pt idx="1">
                  <c:v>10.2</c:v>
                </c:pt>
                <c:pt idx="2">
                  <c:v>8.5</c:v>
                </c:pt>
                <c:pt idx="3">
                  <c:v>11.4</c:v>
                </c:pt>
                <c:pt idx="4">
                  <c:v>13.8</c:v>
                </c:pt>
                <c:pt idx="5">
                  <c:v>10.5</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Hoja1!$E$2:$E$7</c:f>
              <c:numCache>
                <c:formatCode>0"%"</c:formatCode>
                <c:ptCount val="6"/>
                <c:pt idx="0">
                  <c:v>6</c:v>
                </c:pt>
                <c:pt idx="1">
                  <c:v>7</c:v>
                </c:pt>
                <c:pt idx="2">
                  <c:v>5.6</c:v>
                </c:pt>
                <c:pt idx="3">
                  <c:v>5.6</c:v>
                </c:pt>
                <c:pt idx="4">
                  <c:v>6.7</c:v>
                </c:pt>
                <c:pt idx="5">
                  <c:v>3.7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1">
                  <c:v>20.9</c:v>
                </c:pt>
                <c:pt idx="2">
                  <c:v>17.8</c:v>
                </c:pt>
                <c:pt idx="3">
                  <c:v>10.7</c:v>
                </c:pt>
                <c:pt idx="4">
                  <c:v>16.7</c:v>
                </c:pt>
                <c:pt idx="5">
                  <c:v>-8.4</c:v>
                </c:pt>
                <c:pt idx="6">
                  <c:v>-3.6</c:v>
                </c:pt>
                <c:pt idx="7">
                  <c:v>5.5</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0">
                  <c:v>3</c:v>
                </c:pt>
                <c:pt idx="1">
                  <c:v>11</c:v>
                </c:pt>
                <c:pt idx="2">
                  <c:v>5</c:v>
                </c:pt>
                <c:pt idx="3">
                  <c:v>10</c:v>
                </c:pt>
                <c:pt idx="4">
                  <c:v>15</c:v>
                </c:pt>
                <c:pt idx="5">
                  <c:v>-3</c:v>
                </c:pt>
                <c:pt idx="6">
                  <c:v>9</c:v>
                </c:pt>
                <c:pt idx="7">
                  <c:v>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49</c:v>
                </c:pt>
                <c:pt idx="1">
                  <c:v>69</c:v>
                </c:pt>
                <c:pt idx="2">
                  <c:v>71</c:v>
                </c:pt>
                <c:pt idx="3">
                  <c:v>53</c:v>
                </c:pt>
                <c:pt idx="4">
                  <c:v>69</c:v>
                </c:pt>
                <c:pt idx="5">
                  <c:v>47</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1">
                  <c:v>78</c:v>
                </c:pt>
                <c:pt idx="2">
                  <c:v>97</c:v>
                </c:pt>
                <c:pt idx="3">
                  <c:v>66</c:v>
                </c:pt>
                <c:pt idx="4">
                  <c:v>95</c:v>
                </c:pt>
                <c:pt idx="5">
                  <c:v>68</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41</c:v>
                </c:pt>
                <c:pt idx="1">
                  <c:v>56</c:v>
                </c:pt>
                <c:pt idx="2">
                  <c:v>64</c:v>
                </c:pt>
                <c:pt idx="3">
                  <c:v>50</c:v>
                </c:pt>
                <c:pt idx="4">
                  <c:v>74</c:v>
                </c:pt>
                <c:pt idx="5">
                  <c:v>53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(SEK,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630</c:v>
                </c:pt>
                <c:pt idx="1">
                  <c:v>72</c:v>
                </c:pt>
                <c:pt idx="2">
                  <c:v>111</c:v>
                </c:pt>
                <c:pt idx="3">
                  <c:v>240</c:v>
                </c:pt>
                <c:pt idx="4">
                  <c:v>898</c:v>
                </c:pt>
                <c:pt idx="5">
                  <c:v>658</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420</c:v>
                </c:pt>
                <c:pt idx="1">
                  <c:v>513</c:v>
                </c:pt>
                <c:pt idx="2">
                  <c:v>577</c:v>
                </c:pt>
                <c:pt idx="3">
                  <c:v>784</c:v>
                </c:pt>
                <c:pt idx="4">
                  <c:v>906</c:v>
                </c:pt>
                <c:pt idx="5">
                  <c:v>550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9.9</c:v>
                </c:pt>
                <c:pt idx="1">
                  <c:v>9.7</c:v>
                </c:pt>
                <c:pt idx="2">
                  <c:v>9</c:v>
                </c:pt>
                <c:pt idx="3">
                  <c:v>10.8</c:v>
                </c:pt>
                <c:pt idx="4">
                  <c:v>12</c:v>
                </c:pt>
                <c:pt idx="5">
                  <c:v>9.2</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8.8</c:v>
                </c:pt>
                <c:pt idx="1">
                  <c:v>8.8</c:v>
                </c:pt>
                <c:pt idx="2">
                  <c:v>8.8</c:v>
                </c:pt>
                <c:pt idx="3">
                  <c:v>8.8</c:v>
                </c:pt>
                <c:pt idx="4">
                  <c:v>8.8</c:v>
                </c:pt>
                <c:pt idx="5">
                  <c:v>8.8</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11.2</c:v>
                </c:pt>
                <c:pt idx="1">
                  <c:v>12.7</c:v>
                </c:pt>
                <c:pt idx="2">
                  <c:v>11.9</c:v>
                </c:pt>
                <c:pt idx="3">
                  <c:v>14.8</c:v>
                </c:pt>
                <c:pt idx="4">
                  <c:v>16.2</c:v>
                </c:pt>
                <c:pt idx="5">
                  <c:v>10.2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0">
                  <c:v>1.79</c:v>
                </c:pt>
                <c:pt idx="1">
                  <c:v>1.96</c:v>
                </c:pt>
                <c:pt idx="2">
                  <c:v>2.85</c:v>
                </c:pt>
                <c:pt idx="3">
                  <c:v>2.09</c:v>
                </c:pt>
                <c:pt idx="4">
                  <c:v>2.48</c:v>
                </c:pt>
                <c:pt idx="5">
                  <c:v>2.79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(SEK,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9</c:v>
                </c:pt>
                <c:pt idx="1">
                  <c:v>0</c:v>
                </c:pt>
                <c:pt idx="2">
                  <c:v>721</c:v>
                </c:pt>
                <c:pt idx="3">
                  <c:v>744</c:v>
                </c:pt>
                <c:pt idx="4">
                  <c:v>1806</c:v>
                </c:pt>
                <c:pt idx="5">
                  <c:v>1172</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0</c:v>
                </c:pt>
                <c:pt idx="1">
                  <c:v>127</c:v>
                </c:pt>
                <c:pt idx="2">
                  <c:v>154</c:v>
                </c:pt>
                <c:pt idx="3">
                  <c:v>173</c:v>
                </c:pt>
                <c:pt idx="4">
                  <c:v>237</c:v>
                </c:pt>
                <c:pt idx="5">
                  <c:v>308</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43</c:v>
                </c:pt>
                <c:pt idx="1">
                  <c:v>69</c:v>
                </c:pt>
                <c:pt idx="2">
                  <c:v>0</c:v>
                </c:pt>
                <c:pt idx="3">
                  <c:v>0</c:v>
                </c:pt>
                <c:pt idx="4">
                  <c:v>0</c:v>
                </c:pt>
                <c:pt idx="5">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Dominical</c:v>
                </c:pt>
                <c:pt idx="1">
                  <c:v>Independiente</c:v>
                </c:pt>
              </c:strCache>
            </c:strRef>
          </c:cat>
          <c:val>
            <c:numRef>
              <c:f>Hoja1!$B$2:$B$3</c:f>
              <c:numCache>
                <c:formatCode>0</c:formatCode>
                <c:ptCount val="2"/>
                <c:pt idx="0">
                  <c:v>2</c:v>
                </c:pt>
                <c:pt idx="1">
                  <c:v>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FAM AB (fundaciones Wallenberg)</c:v>
                </c:pt>
                <c:pt idx="1">
                  <c:v>Swedbank Robur Fonder</c:v>
                </c:pt>
                <c:pt idx="2">
                  <c:v>Cuarto Fondo de Pensiones (AP4)</c:v>
                </c:pt>
                <c:pt idx="3">
                  <c:v>ODIN Fonder</c:v>
                </c:pt>
                <c:pt idx="4">
                  <c:v>Vanguard</c:v>
                </c:pt>
                <c:pt idx="5">
                  <c:v>Nordea Fonder</c:v>
                </c:pt>
                <c:pt idx="6">
                  <c:v>Tercer Fondo de Pensiones (AP3)</c:v>
                </c:pt>
                <c:pt idx="7">
                  <c:v>Autocartera</c:v>
                </c:pt>
              </c:strCache>
            </c:strRef>
          </c:cat>
          <c:val>
            <c:numRef>
              <c:f>Hoja1!$B$2:$B$9</c:f>
              <c:numCache>
                <c:formatCode>0.0"%"</c:formatCode>
                <c:ptCount val="8"/>
                <c:pt idx="0">
                  <c:v>28.3</c:v>
                </c:pt>
                <c:pt idx="1">
                  <c:v>4.83</c:v>
                </c:pt>
                <c:pt idx="2">
                  <c:v>6</c:v>
                </c:pt>
                <c:pt idx="3">
                  <c:v>3.2</c:v>
                </c:pt>
                <c:pt idx="4">
                  <c:v>3</c:v>
                </c:pt>
                <c:pt idx="5">
                  <c:v>2.7</c:v>
                </c:pt>
                <c:pt idx="6">
                  <c:v>2.4</c:v>
                </c:pt>
                <c:pt idx="7">
                  <c:v>1.04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-38.5</c:v>
                </c:pt>
                <c:pt idx="1">
                  <c:v>44.3</c:v>
                </c:pt>
                <c:pt idx="2">
                  <c:v>69.2</c:v>
                </c:pt>
                <c:pt idx="3">
                  <c:v>-15.7</c:v>
                </c:pt>
                <c:pt idx="4">
                  <c:v>47.1</c:v>
                </c:pt>
                <c:pt idx="5">
                  <c:v>58.9</c:v>
                </c:pt>
                <c:pt idx="6">
                  <c:v>13.8</c:v>
                </c:pt>
                <c:pt idx="7">
                  <c:v>-7.6</c:v>
                </c:pt>
              </c:numCache>
            </c:numRef>
          </c:val>
        </c:ser>
        <c:ser>
          <c:idx val="1"/>
          <c:order val="1"/>
          <c:tx>
            <c:strRef>
              <c:f>Hoja1!$C$1</c:f>
              <c:strCache>
                <c:ptCount val="1"/>
                <c:pt idx="0">
                  <c:v>Índice</c:v>
                </c:pt>
              </c:strCache>
            </c:strRef>
          </c:tx>
          <c:spPr>
            <a:solidFill>
              <a:srgbClr val="EB6834"/>
            </a:solidFill>
            <a:ln w="9525">
              <a:no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-10.7</c:v>
                </c:pt>
                <c:pt idx="1">
                  <c:v>25.8</c:v>
                </c:pt>
                <c:pt idx="2">
                  <c:v>5.8</c:v>
                </c:pt>
                <c:pt idx="3">
                  <c:v>29.1</c:v>
                </c:pt>
                <c:pt idx="4">
                  <c:v>-15.6</c:v>
                </c:pt>
                <c:pt idx="5">
                  <c:v>17.4</c:v>
                </c:pt>
                <c:pt idx="6">
                  <c:v>3.5</c:v>
                </c:pt>
                <c:pt idx="7">
                  <c:v>16.1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0">
                  <c:v>16.7</c:v>
                </c:pt>
                <c:pt idx="1">
                  <c:v>14.1</c:v>
                </c:pt>
                <c:pt idx="2">
                  <c:v>17.8</c:v>
                </c:pt>
                <c:pt idx="3">
                  <c:v>16.5</c:v>
                </c:pt>
                <c:pt idx="4">
                  <c:v>16.4</c:v>
                </c:pt>
                <c:pt idx="5">
                  <c:v>16.4</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0.0"x"</c:formatCode>
                <c:ptCount val="6"/>
                <c:pt idx="0">
                  <c:v>16.5</c:v>
                </c:pt>
                <c:pt idx="1">
                  <c:v>16.5</c:v>
                </c:pt>
                <c:pt idx="2">
                  <c:v>16.5</c:v>
                </c:pt>
                <c:pt idx="3">
                  <c:v>16.5</c:v>
                </c:pt>
                <c:pt idx="4">
                  <c:v>16.5</c:v>
                </c:pt>
                <c:pt idx="5">
                  <c:v>16.5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Pt>
            <c:idx val="9"/>
            <c:invertIfNegative val="0"/>
            <c:bubble3D val="0"/>
            <c:spPr>
              <a:solidFill>
                <a:srgbClr val="C9C8C2"/>
              </a:solidFill>
            </c:spPr>
          </c:dPt>
          <c:dPt>
            <c:idx val="10"/>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Hoja1!$A$2:$A$12</c:f>
              <c:strCache>
                <c:ptCount val="11"/>
                <c:pt idx="0">
                  <c:v>Munters</c:v>
                </c:pt>
                <c:pt idx="1">
                  <c:v>Vertiv</c:v>
                </c:pt>
                <c:pt idx="2">
                  <c:v>Trane Technologies</c:v>
                </c:pt>
                <c:pt idx="3">
                  <c:v>Carrier Global</c:v>
                </c:pt>
                <c:pt idx="4">
                  <c:v>Johnson Controls</c:v>
                </c:pt>
                <c:pt idx="5">
                  <c:v>Modine Manufacturing</c:v>
                </c:pt>
                <c:pt idx="6">
                  <c:v>AAON</c:v>
                </c:pt>
                <c:pt idx="7">
                  <c:v>Systemair</c:v>
                </c:pt>
                <c:pt idx="8">
                  <c:v>Nibe Industrier</c:v>
                </c:pt>
                <c:pt idx="9">
                  <c:v>Alfa Laval</c:v>
                </c:pt>
                <c:pt idx="10">
                  <c:v>Lennox International</c:v>
                </c:pt>
              </c:strCache>
            </c:strRef>
          </c:cat>
          <c:val>
            <c:numRef>
              <c:f>Hoja1!$B$2:$B$12</c:f>
              <c:numCache>
                <c:formatCode>0.0"x"</c:formatCode>
                <c:ptCount val="11"/>
                <c:pt idx="0">
                  <c:v>9.7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Boyd Thermal (refrigeración líquida, EE. UU.)</c:v>
                </c:pt>
                <c:pt idx="1">
                  <c:v>UtilityInnovation Group (energía y refrigeración modular para centros de datos)</c:v>
                </c:pt>
                <c:pt idx="2">
                  <c:v>PurgeRite (servicios de refrigeración líquida)</c:v>
                </c:pt>
                <c:pt idx="3">
                  <c:v>Fibrebond (salas eléctricas modulares)</c:v>
                </c:pt>
                <c:pt idx="4">
                  <c:v>Viessmann Climate Solutions (bombas de calor)</c:v>
                </c:pt>
                <c:pt idx="5">
                  <c:v>FoodTech Equipment (equipos para granjas)</c:v>
                </c:pt>
              </c:strCache>
            </c:strRef>
          </c:cat>
          <c:val>
            <c:numRef>
              <c:f>Hoja1!$B$2:$B$7</c:f>
              <c:numCache>
                <c:formatCode>0.0"x"</c:formatCode>
                <c:ptCount val="6"/>
                <c:pt idx="0">
                  <c:v>22.5</c:v>
                </c:pt>
                <c:pt idx="1">
                  <c:v>13</c:v>
                </c:pt>
                <c:pt idx="2">
                  <c:v>10</c:v>
                </c:pt>
                <c:pt idx="3">
                  <c:v>12.7</c:v>
                </c:pt>
                <c:pt idx="4">
                  <c:v>17.1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(SEK,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2026e</c:v>
                </c:pt>
                <c:pt idx="1">
                  <c:v>2027e</c:v>
                </c:pt>
                <c:pt idx="2">
                  <c:v>2028e</c:v>
                </c:pt>
                <c:pt idx="3">
                  <c:v>2029e</c:v>
                </c:pt>
                <c:pt idx="4">
                  <c:v>2030e</c:v>
                </c:pt>
                <c:pt idx="5">
                  <c:v>2031e</c:v>
                </c:pt>
                <c:pt idx="6">
                  <c:v>2032e</c:v>
                </c:pt>
                <c:pt idx="7">
                  <c:v>2033e</c:v>
                </c:pt>
              </c:strCache>
            </c:strRef>
          </c:cat>
          <c:val>
            <c:numRef>
              <c:f>Hoja1!$B$2:$B$9</c:f>
              <c:numCache>
                <c:formatCode>#,##0</c:formatCode>
                <c:ptCount val="8"/>
                <c:pt idx="0">
                  <c:v>527</c:v>
                </c:pt>
                <c:pt idx="1">
                  <c:v>547</c:v>
                </c:pt>
                <c:pt idx="2">
                  <c:v>947</c:v>
                </c:pt>
                <c:pt idx="3">
                  <c:v>1148</c:v>
                </c:pt>
                <c:pt idx="4">
                  <c:v>1680</c:v>
                </c:pt>
                <c:pt idx="5">
                  <c:v>1862</c:v>
                </c:pt>
                <c:pt idx="6">
                  <c:v>2039</c:v>
                </c:pt>
                <c:pt idx="7">
                  <c:v>2178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(SEK,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7330</c:v>
                </c:pt>
                <c:pt idx="1">
                  <c:v>23396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(SEK) · precio actual 132,05</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74.9</c:v>
                </c:pt>
                <c:pt idx="1">
                  <c:v>132.23</c:v>
                </c:pt>
                <c:pt idx="2">
                  <c:v>165.03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(SEK) · precio actual 132,05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(115,40 – 212,40)</c:v>
                </c:pt>
                <c:pt idx="1">
                  <c:v>Precio objetivo de los analistas (155,00 – 245,00)</c:v>
                </c:pt>
                <c:pt idx="2">
                  <c:v>Comparables: PER NTM (141,12 – 199,14)</c:v>
                </c:pt>
                <c:pt idx="3">
                  <c:v>Transacciones precedentes (EV/EBITDA) (111,06 – 162,04)</c:v>
                </c:pt>
                <c:pt idx="4">
                  <c:v>DCF (WACC y g ± 0,5) (120,11 – 147,93)</c:v>
                </c:pt>
                <c:pt idx="5">
                  <c:v>Escenarios (bajista – alcista) (74,90 – 165,03)</c:v>
                </c:pt>
                <c:pt idx="6">
                  <c:v>DCF con la prima implícita del mercado (4,2 %)</c:v>
                </c:pt>
                <c:pt idx="7">
                  <c:v>Precio actual (132,05)</c:v>
                </c:pt>
              </c:strCache>
            </c:strRef>
          </c:cat>
          <c:val>
            <c:numRef>
              <c:f>Hoja1!$B$2:$B$9</c:f>
              <c:numCache>
                <c:formatCode>#,##0</c:formatCode>
                <c:ptCount val="8"/>
                <c:pt idx="0">
                  <c:v>115.4</c:v>
                </c:pt>
                <c:pt idx="1">
                  <c:v>155</c:v>
                </c:pt>
                <c:pt idx="2">
                  <c:v>141.12</c:v>
                </c:pt>
                <c:pt idx="3">
                  <c:v>111.06</c:v>
                </c:pt>
                <c:pt idx="4">
                  <c:v>120.11</c:v>
                </c:pt>
                <c:pt idx="5">
                  <c:v>74.9</c:v>
                </c:pt>
                <c:pt idx="6">
                  <c:v>146.73</c:v>
                </c:pt>
                <c:pt idx="7">
                  <c:v>131.39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(115,40 – 212,40)</c:v>
                </c:pt>
                <c:pt idx="1">
                  <c:v>Precio objetivo de los analistas (155,00 – 245,00)</c:v>
                </c:pt>
                <c:pt idx="2">
                  <c:v>Comparables: PER NTM (141,12 – 199,14)</c:v>
                </c:pt>
                <c:pt idx="3">
                  <c:v>Transacciones precedentes (EV/EBITDA) (111,06 – 162,04)</c:v>
                </c:pt>
                <c:pt idx="4">
                  <c:v>DCF (WACC y g ± 0,5) (120,11 – 147,93)</c:v>
                </c:pt>
                <c:pt idx="5">
                  <c:v>Escenarios (bajista – alcista) (74,90 – 165,03)</c:v>
                </c:pt>
                <c:pt idx="6">
                  <c:v>DCF con la prima implícita del mercado (4,2 %)</c:v>
                </c:pt>
                <c:pt idx="7">
                  <c:v>Precio actual (132,05)</c:v>
                </c:pt>
              </c:strCache>
            </c:strRef>
          </c:cat>
          <c:val>
            <c:numRef>
              <c:f>Hoja1!$C$2:$C$9</c:f>
              <c:numCache>
                <c:formatCode>#,##0</c:formatCode>
                <c:ptCount val="8"/>
                <c:pt idx="0">
                  <c:v>97</c:v>
                </c:pt>
                <c:pt idx="1">
                  <c:v>90</c:v>
                </c:pt>
                <c:pt idx="2">
                  <c:v>58.01999999999998</c:v>
                </c:pt>
                <c:pt idx="3">
                  <c:v>50.97999999999999</c:v>
                </c:pt>
                <c:pt idx="4">
                  <c:v>27.820000000000007</c:v>
                </c:pt>
                <c:pt idx="5">
                  <c:v>90.13</c:v>
                </c:pt>
                <c:pt idx="6">
                  <c:v>26</c:v>
                </c:pt>
                <c:pt idx="7">
                  <c:v>1.3200000000000216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5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