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Olympus Corporation</w:t>
      </w:r>
    </w:p>
    <w:p>
      <w:pPr>
        <w:spacing w:after="60"/>
        <w:rPr>
          <w:color w:val="52514E"/>
          <w:sz w:val="22"/>
          <w:szCs w:val="22"/>
        </w:rPr>
      </w:pPr>
      <w:r>
        <w:rPr>
          <w:color w:val="52514E"/>
          <w:sz w:val="22"/>
          <w:szCs w:val="22"/>
        </w:rPr>
        <w:t xml:space="preserve">7733 · Bolsa de Tokio (TSE Prime) · ISIN JP3201200007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1.685,00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1.968,08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+18,6 % (base +23,2 %)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2.012,45 JPY · mercado 2.020,60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1.790.852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Olympus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7733 / JP3201200007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(TSE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 (Nikkei 225 como contraste)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médicos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Hachioji y Shinjuku-ku, Tokio · 1919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https://www.olympus-global.com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1.685,00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1.302,50 – 2.210,50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1.790.852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2.060.177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9.290 M JPY/día (4,7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1.968,08 JPY</w:t>
      </w:r>
      <w:r>
        <w:t xml:space="preserve"> frente a 1.685,00 · Rentabilidad a 12 meses </w:t>
      </w:r>
      <w:r>
        <w:rPr>
          <w:b/>
          <w:bCs/>
        </w:rPr>
        <w:t xml:space="preserve">+18,6 % (base +23,2 %)</w:t>
      </w:r>
      <w:r>
        <w:t xml:space="preserve"> · Valor intrínseco 2.012,45 JPY · con la prima implícita del mercado: 2.020,60 (+19,9 %) · Alcista / bajista +49,0 % / -25,4 %</w:t>
      </w:r>
    </w:p>
    <w:p>
      <w:pPr>
        <w:spacing w:after="100"/>
      </w:pPr>
      <w:r>
        <w:rPr>
          <w:b/>
        </w:rPr>
        <w:t xml:space="preserve">La recomendación y por qué.</w:t>
      </w:r>
      <w:r>
        <w:t xml:space="preserve"> Mantener, con convicción media. La regla a 12 meses daría Comprar: el objetivo ponderado es de 1.968,08 JPY frente a un precio de 1.685 JPY (cierre de Tokio del 19-oct), una rentabilidad del +18,6 % con dividendo y del +23,2 % en el base, y el valor intrínseco, 2.012,45 JPY (+19,4 %), está por encima del precio. El objetivo medio de los analistas (2.123,08 JPY) cae dentro de nuestro rango. No compramos porque la señal no es robusta: con la regla v2 la ponderada baja al 11,9 % y con un BPA un 10 % peor, al 7 %; y la calidad no pasa el filtro (ROIC − WACC de 1,0 punto, sostenibilidad «En parte»). La convicción es media porque el precio ya descuenta poco, pero la FDA es un riesgo binario: la subiría una respuesta aceptada sin restricciones y un margen ajustado del semestre por encima del 15,2 %; la bajaría cualquier mención a un decreto de consentimiento.</w:t>
      </w:r>
    </w:p>
    <w:p>
      <w:pPr>
        <w:spacing w:after="100"/>
      </w:pPr>
      <w:r>
        <w:rPr>
          <w:b/>
        </w:rPr>
        <w:t xml:space="preserve">Qué ha cambiado desde el 9-oct.</w:t>
      </w:r>
      <w:r>
        <w:t xml:space="preserve"> El 13-oct Olympus publicó una carta de advertencia de la FDA (7-oct) a seis plantas, entre ellas las tres que fabrican endoscopios en Japón, Hamburgo y Brooklyn Park [38]. No limita producción ni ventas, pero la acción cayó un 13,5 % el 14-oct y Nomura rebajó a Neutral (objetivo 1.900 JPY) [39, 84]. Retrasamos medio año la mejora del margen, subimos al 30 % la probabilidad del bajista y la tasa libre bajó del 3,089 % al 2,958 %. El 9-oct, a 2.000 JPY, la señal era Vender por asimetría (0,44x); hoy, a 1.685, la asimetría es de 1,93x.</w:t>
      </w:r>
    </w:p>
    <w:p>
      <w:pPr>
        <w:spacing w:after="100"/>
      </w:pPr>
      <w:r>
        <w:rPr>
          <w:b/>
        </w:rPr>
        <w:t xml:space="preserve">El negocio.</w:t>
      </w:r>
      <w:r>
        <w:t xml:space="preserve"> Olympus tiene en torno al 70 % del mercado mundial de endoscopios gastrointestinales [18], con servicio recurrente y un ROIC del 15-17 % en los años limpios. El foso se estrecha: en FY2026 el ROIC cayó al 7,9 %, SIS perdió 14.986 M de JPY [10] y la nueva carta confirma que el problema de calidad es de sistema. ¿Sostiene su calidad el crecimiento que proyectamos? En parte: el 3,7 % anual apenas supera el 3,4 % del mercado [37] y no exige ganar cuota, pero con el ROIC de FY2026 la reinversión solo financia un 1,8 % anual: depende de que el margen vuelva.</w:t>
      </w:r>
    </w:p>
    <w:p>
      <w:pPr>
        <w:spacing w:after="100"/>
      </w:pPr>
      <w:r>
        <w:rPr>
          <w:b/>
        </w:rPr>
        <w:t xml:space="preserve">Finanzas.</w:t>
      </w:r>
      <w:r>
        <w:t xml:space="preserve"> Las ventas de FY2026 (1.010.676 M) crecieron un 1,3 % y el margen EBITDA bajó al 15,9 % por los aranceles, unos 30.000 M de ventas retenidas por la FDA y 26.872 M del programa de plantilla [1, 10]. El 1T FY2027 marcó el giro (ventas +16,4 %, +5 % a tipo constante) [9, 11]. La deuda neta ajustada es de 271.170 M (1,5x EBITDA) tras la recompra de mayo con deuda; la dirección incumplió la guía de beneficio en FY2024, FY2025 y FY2026.</w:t>
      </w:r>
    </w:p>
    <w:p>
      <w:pPr>
        <w:spacing w:after="100"/>
      </w:pPr>
      <w:r>
        <w:rPr>
          <w:b/>
        </w:rPr>
        <w:t xml:space="preserve">Valoración.</w:t>
      </w:r>
      <w:r>
        <w:t xml:space="preserve"> DCF 2.030,05 JPY, comparables 2.061,84 y escenarios 1.894,34. El DCF inverso dice que el precio descuenta un crecimiento del 0,4 % anual o un margen estable del 20,7 %: ya no paga la recuperación, paga un Olympus estancado. A 8,9x EV/EBITDA y 15,8x PER a 12 meses cotiza un 16-18 % por debajo de la mediana de sus comparables.</w:t>
      </w:r>
    </w:p>
    <w:p>
      <w:pPr>
        <w:spacing w:after="100"/>
      </w:pPr>
      <w:r>
        <w:rPr>
          <w:b/>
        </w:rPr>
        <w:t xml:space="preserve">Riesgos y catalizadores.</w:t>
      </w:r>
      <w:r>
        <w:t xml:space="preserve"> El riesgo mayor es la FDA: un decreto de consentimiento nos llevaría al bajista (1.257,43 JPY, −25,4 %). El segundo es el margen: cada punto menos en todos los años resta un 8 % (1.861,61 JPY). Catalizadores: la respuesta a la FDA (hacia el 4-nov) y los resultados del 10-nov [85]. El foro japonés está en capitulación, más pesimista que los analistas.</w:t>
      </w:r>
    </w:p>
    <w:p>
      <w:pPr>
        <w:spacing w:after="100"/>
      </w:pPr>
      <w:r>
        <w:rPr>
          <w:b/>
        </w:rPr>
        <w:t xml:space="preserve">Qué cambiaría la decisión.</w:t>
      </w:r>
      <w:r>
        <w:t xml:space="preserve"> Con la regla vigente compraríamos por debajo de 1.737,46 JPY y venderíamos por encima de 2.220,09 JPY; comprar exige además la versión robusta y la calidad. Pasaríamos a Comprar con una respuesta de la FDA aceptada y un margen semestral por encima del 16 %; a Vender, con un decreto de consentimiento o nuevas alertas de importación.</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1.968,08 JPY</w:t>
      </w:r>
      <w:r>
        <w:t xml:space="preserve"> (rentabilidad +18,6 % (base +23,2 %)) · Valor intrínseco: 2.012,45 JPY (+19,4 % sobre 1.685,00) · con la prima implícita del mercado: 2.020,60 (+19,9 %)</w:t>
      </w:r>
    </w:p>
    <w:p>
      <w:pPr>
        <w:spacing w:after="100"/>
      </w:pPr>
      <w:r>
        <w:t xml:space="preserve">Olympus es el líder mundial de la endoscopia gastrointestinal, con en torno al 70 % de cuota [18], tras vender cámaras (2021) y el negocio científico (2023). Su negocio GIS facturó 697.359 M de JPY en FY2026 con un margen operativo del 19,6 % y crece con la plataforma EVIS X1 [9, 10]. En los ejercicios sin problemas regulatorios el ROIC fue del 15-17 %, más del doble del coste de capital (6,90 %).</w:t>
      </w:r>
    </w:p>
    <w:p>
      <w:pPr>
        <w:spacing w:after="100"/>
      </w:pPr>
      <w:r>
        <w:t xml:space="preserve">El precio de 1.685 JPY descuenta, según el DCF inverso, un crecimiento del 0,4 % anual hasta FY2036 o un margen EBITDA estable del 20,7 %, por debajo del 22,7 % de FY2025. Tras la carta de advertencia de la FDA del 7-oct a seis plantas [38] y la caída del 13,5 % del 14-oct, el mercado ha pasado de pagar la recuperación completa a no pagarla: a 8,9x EV/EBITDA y 15,8x PER a 12 meses cotiza un 16-18 % por debajo de la mediana de sus comparables.</w:t>
      </w:r>
    </w:p>
    <w:p>
      <w:pPr>
        <w:spacing w:after="100"/>
      </w:pPr>
      <w:r>
        <w:t xml:space="preserve">El mercado exagera si la FDA acepta la respuesta y la carta se queda en lo que dice ser: un requerimiento sin límites de producción ni de venta. Acierta si la carta es el preludio de un decreto de consentimiento. Para invertir hay que creer que la remediación termina en FY2028 sin restricciones y que la dirección, por primera vez en cuatro años, cumple su guía. Hoy hay que esperar a la respuesta de noviembre: la rentabilidad positiva no compensa que la señal dependa de la regla y del BPA elegidos.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1.968,08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 × 89,00 = 1.246,00 · 17,5x × 116,90 = 2.045,75 · 20,9x × 136,70 = 2.857,03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 / 23,2 %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2.123,08 (nuestro base -3,6 %)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2.012,45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49,0 % / -25,4 %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 frente a 6,9 % y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2.020,60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 frente a 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(3,7 % anual proyectado; financiable al ROIC actual: 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1.737,46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1.737,46 y 2.220,09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2.220,09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v3 a 12 meses da Comprar (ponderada del 18,6 %, base del 23,2 % y valor intrínseco de 2.012,45 JPY por encima del precio), pero no la seguimos por tres razones que la cifra no recoge. Primera, no es robusta: con la regla v2 la ponderada se queda en el 11,9 %, y con un BPA un 10 % peor la de v3 cae a un 7 %, así que todo depende de que el BPA de FY2029e llegue a 116,9 JPY tras cuatro años de guías incumplidas. Segunda, la calidad hoy no lo permite: el ROIC de FY2026 (7,9 %) solo supera en 1,0 punto al WACC (6,90 %) y la sostenibilidad del crecimiento es «En parte». Tercera, hay un riesgo binario abierto sin fecha: la respuesta de la FDA a la carta del 7-oct a seis plantas, que puede acabar en un decreto de consentimiento. Mantener hasta ver esa respuesta y los resultados del 10-nov.</w:t>
      </w:r>
    </w:p>
    <w:p>
      <w:pPr>
        <w:pStyle w:val="Heading2"/>
      </w:pPr>
      <w:r>
        <w:t xml:space="preserve">Qué cambiaría la recomendación</w:t>
      </w:r>
    </w:p>
    <w:p>
      <w:pPr>
        <w:pStyle w:val="ListParagraph"/>
        <w:numPr>
          <w:ilvl w:val="0"/>
          <w:numId w:val="2"/>
        </w:numPr>
        <w:spacing w:after="60"/>
      </w:pPr>
      <w:r>
        <w:t xml:space="preserve">Si la FDA acepta la respuesta sin restricciones y el margen ajustado del 2S FY2027 supera el 16 %, pasaríamos a Comprar (la v2 y el BPA −10 % pasarían con un BPA confirmado).</w:t>
      </w:r>
    </w:p>
    <w:p>
      <w:pPr>
        <w:pStyle w:val="ListParagraph"/>
        <w:numPr>
          <w:ilvl w:val="0"/>
          <w:numId w:val="2"/>
        </w:numPr>
        <w:spacing w:after="60"/>
      </w:pPr>
      <w:r>
        <w:t xml:space="preserve">Si la FDA anuncia un decreto de consentimiento, nuevas alertas de importación o una restricción de ventas, pasaríamos a Vender.</w:t>
      </w:r>
    </w:p>
    <w:p>
      <w:pPr>
        <w:pStyle w:val="ListParagraph"/>
        <w:numPr>
          <w:ilvl w:val="0"/>
          <w:numId w:val="2"/>
        </w:numPr>
        <w:spacing w:after="60"/>
      </w:pPr>
      <w:r>
        <w:t xml:space="preserve">Si el margen operativo ajustado del 2T FY2027 (10-nov) queda por debajo del 15 %, revisaríamos el BPA a la baja.</w:t>
      </w:r>
    </w:p>
    <w:p>
      <w:pPr>
        <w:pStyle w:val="ListParagraph"/>
        <w:numPr>
          <w:ilvl w:val="0"/>
          <w:numId w:val="2"/>
        </w:numPr>
        <w:spacing w:after="60"/>
      </w:pPr>
      <w:r>
        <w:t xml:space="preserve">Si el precio supera 2.220,09 JPY sin mejora de los fundamentales,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recuperación del margen no llega: el DCF inverso da un crecimiento implícito del 0,4 % anual o un margen estable del 20,7 %, y el PER a 12 meses (15,8x) está un 18 % por debajo de la mediana de los comparables. Los analistas, en cambio, no han tocado aún el BPA (124,8 JPY en FY2029e) [61].</w:t>
      </w:r>
    </w:p>
    <w:p>
      <w:pPr>
        <w:keepNext/>
        <w:spacing w:after="100"/>
      </w:pPr>
      <w:r>
        <w:rPr>
          <w:b/>
          <w:bCs/>
        </w:rPr>
        <w:t xml:space="preserve">Lo que creemos nosotros.</w:t>
      </w:r>
    </w:p>
    <w:p>
      <w:pPr>
        <w:spacing w:after="100"/>
      </w:pPr>
      <w:r>
        <w:t xml:space="preserve">Entre los dos: retrasamos medio año la mejora del margen y llegamos a un BPA de FY2029e de 116,9 JPY, un 6,3 % por debajo del consenso, con un bajista del 30 %. Con eso el valor está un 19 % por encima del precio, pero la señal no aguanta un BPA un 10 % peor.</w:t>
      </w:r>
    </w:p>
    <w:p>
      <w:pPr>
        <w:keepNext/>
        <w:spacing w:after="100"/>
      </w:pPr>
      <w:r>
        <w:rPr>
          <w:b/>
          <w:bCs/>
        </w:rPr>
        <w:t xml:space="preserve">Por qué podemos tener razón.</w:t>
      </w:r>
    </w:p>
    <w:p>
      <w:pPr>
        <w:spacing w:after="100"/>
      </w:pPr>
      <w:r>
        <w:t xml:space="preserve">La carta no restringe ventas ni producción y la empresa no prevé impacto en resultados [38]; el 1T creció un 16,4 %. Pero la FDA decide sola y sin calendario, Jefferies habla de problemas sistémicos que llevarán años [39] y la dirección ha incumplido su guía tres años seguidos.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1.68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Cuota del 70 % en endoscopios GI</w:t>
      </w:r>
      <w:r>
        <w:t xml:space="preserve">, con base instalada y servicio recurrente [18].</w:t>
      </w:r>
    </w:p>
    <w:p>
      <w:pPr>
        <w:pStyle w:val="ListParagraph"/>
        <w:numPr>
          <w:ilvl w:val="0"/>
          <w:numId w:val="2"/>
        </w:numPr>
        <w:spacing w:after="60"/>
      </w:pPr>
      <w:r>
        <w:rPr>
          <w:b/>
        </w:rPr>
        <w:t xml:space="preserve">Precio que ya no paga la recuperación</w:t>
      </w:r>
      <w:r>
        <w:t xml:space="preserve">: el DCF inverso da un crecimiento implícito del 0,4 % anual.</w:t>
      </w:r>
    </w:p>
    <w:p>
      <w:pPr>
        <w:pStyle w:val="ListParagraph"/>
        <w:numPr>
          <w:ilvl w:val="0"/>
          <w:numId w:val="2"/>
        </w:numPr>
        <w:spacing w:after="60"/>
      </w:pPr>
      <w:r>
        <w:rPr>
          <w:b/>
        </w:rPr>
        <w:t xml:space="preserve">Descuento del 16-18 %</w:t>
      </w:r>
      <w:r>
        <w:t xml:space="preserve"> frente a la mediana de los comparables (8,9x EV/EBITDA y 15,8x PER).</w:t>
      </w:r>
    </w:p>
    <w:p>
      <w:pPr>
        <w:pStyle w:val="ListParagraph"/>
        <w:numPr>
          <w:ilvl w:val="0"/>
          <w:numId w:val="2"/>
        </w:numPr>
        <w:spacing w:after="60"/>
      </w:pPr>
      <w:r>
        <w:rPr>
          <w:b/>
        </w:rPr>
        <w:t xml:space="preserve">Recuperación visible en el 1T FY2027</w:t>
      </w:r>
      <w:r>
        <w:t xml:space="preserve">: ventas +16,4 %, beneficio operativo ajustado más que duplicado [9, 11].</w:t>
      </w:r>
    </w:p>
    <w:p>
      <w:pPr>
        <w:pStyle w:val="ListParagraph"/>
        <w:numPr>
          <w:ilvl w:val="0"/>
          <w:numId w:val="2"/>
        </w:numPr>
        <w:spacing w:after="60"/>
      </w:pPr>
      <w:r>
        <w:rPr>
          <w:b/>
        </w:rPr>
        <w:t xml:space="preserve">Asimetría de 1,93x</w:t>
      </w:r>
      <w:r>
        <w:t xml:space="preserve"> en los escenarios del DCF (+49,0 % frente a −25,4 %).</w:t>
      </w:r>
    </w:p>
    <w:p>
      <w:pPr>
        <w:pStyle w:val="Heading2"/>
      </w:pPr>
      <w:r>
        <w:t xml:space="preserve">En contra</w:t>
      </w:r>
    </w:p>
    <w:p>
      <w:pPr>
        <w:pStyle w:val="ListParagraph"/>
        <w:numPr>
          <w:ilvl w:val="0"/>
          <w:numId w:val="2"/>
        </w:numPr>
        <w:spacing w:after="60"/>
      </w:pPr>
      <w:r>
        <w:rPr>
          <w:b/>
        </w:rPr>
        <w:t xml:space="preserve">Nueva carta de advertencia de la FDA</w:t>
      </w:r>
      <w:r>
        <w:t xml:space="preserve"> (7-oct) a seis plantas, con la alerta de importación de Aizu aún en vigor [20, 38].</w:t>
      </w:r>
    </w:p>
    <w:p>
      <w:pPr>
        <w:pStyle w:val="ListParagraph"/>
        <w:numPr>
          <w:ilvl w:val="0"/>
          <w:numId w:val="2"/>
        </w:numPr>
        <w:spacing w:after="60"/>
      </w:pPr>
      <w:r>
        <w:rPr>
          <w:b/>
        </w:rPr>
        <w:t xml:space="preserve">Señal frágil</w:t>
      </w:r>
      <w:r>
        <w:t xml:space="preserve">: con la regla v2 la ponderada es del 11,9 % y con un BPA −10 %, del 7 %.</w:t>
      </w:r>
    </w:p>
    <w:p>
      <w:pPr>
        <w:pStyle w:val="ListParagraph"/>
        <w:numPr>
          <w:ilvl w:val="0"/>
          <w:numId w:val="2"/>
        </w:numPr>
        <w:spacing w:after="60"/>
      </w:pPr>
      <w:r>
        <w:rPr>
          <w:b/>
        </w:rPr>
        <w:t xml:space="preserve">ROIC de FY2026 del 7,9 %</w:t>
      </w:r>
      <w:r>
        <w:t xml:space="preserve">, solo 1,0 punto por encima del WACC.</w:t>
      </w:r>
    </w:p>
    <w:p>
      <w:pPr>
        <w:pStyle w:val="ListParagraph"/>
        <w:numPr>
          <w:ilvl w:val="0"/>
          <w:numId w:val="2"/>
        </w:numPr>
        <w:spacing w:after="60"/>
      </w:pPr>
      <w:r>
        <w:rPr>
          <w:b/>
        </w:rPr>
        <w:t xml:space="preserve">Guía de beneficio incumplida</w:t>
      </w:r>
      <w:r>
        <w:t xml:space="preserve"> en FY2024, FY2025 y FY2026.</w:t>
      </w:r>
    </w:p>
    <w:p>
      <w:pPr>
        <w:pStyle w:val="ListParagraph"/>
        <w:numPr>
          <w:ilvl w:val="0"/>
          <w:numId w:val="2"/>
        </w:numPr>
        <w:spacing w:after="60"/>
      </w:pPr>
      <w:r>
        <w:rPr>
          <w:b/>
        </w:rPr>
        <w:t xml:space="preserve">SIS en pérdidas</w:t>
      </w:r>
      <w:r>
        <w:t xml:space="preserve"> (−14.986 M en FY2026), con 179.576 M de fondo de comercio [1, 10].</w:t>
      </w:r>
    </w:p>
    <w:p>
      <w:pPr>
        <w:pStyle w:val="Heading2"/>
      </w:pPr>
      <w:r>
        <w:t xml:space="preserve">Qué tiene que pasar para que la tesis funcione</w:t>
      </w:r>
    </w:p>
    <w:p>
      <w:pPr>
        <w:spacing w:after="100"/>
      </w:pPr>
      <w:r>
        <w:t xml:space="preserve">La tesis depende de que la FDA dé por buena la respuesta a la carta del 7-oct sin restricciones y de que los productos retenidos vuelvan en el segundo semestre de FY2027 (octubre de 2026 a marzo de 2027). La señal de que no se cumple: publicación de la carta con observaciones de diseño o de reclamaciones, cualquier mención a un decreto de consentimiento, o un margen ajustado del semestre (10-nov) por debajo del 15 %.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Respuesta de la FDA a la carta del 7-oct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Respuesta de Olympus prevista en 15 días hábiles [38]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Decreto de consentimiento, nuevas alertas o restricción de ventas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 (−25 %).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Impacto de la FDA en ventas (alertas y retenciones)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13.000 M en el 1T FY2027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10.000 M en el 3T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vuelta prevista para el 2S FY2027 se cumple.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en el 1T FY2027; guía del 15,2-16,7 % para el año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15 % en el semestre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base de FY2029e supone un margen EBITDA del 22,2 %.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interanual en el 1T FY2027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centralizadas y sustitución local.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2x o rebaja de S&amp;P</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con deuda y perspectiva negativa de S&amp;P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 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23,7x / 15,8x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Olympus nació en 1919 en Tokio como Takachiho Seisakusho para fabricar microscopios; en 1949 adoptó el nombre Olympus Optical y salió a la Bolsa de Tokio [18]. En 1950 desarrolló el primer gastrocámara práctico, origen de la endoscopia flexible que hoy domina con alrededor del 70 % del mercado mundial de endoscopios gastrointestinales [18]. Tras décadas como conglomerado óptico (cámaras, microscopios, grabadoras), el escándalo contable de 2011 (pérdidas antiguas ocultadas) forzó un cambio de dirección y una alianza de capital con Sony en 2012 [18]. Desde el plan Transform Olympus de 2019 se ha convertido en una empresa pura de tecnología médica: vendió cámaras (2021), el negocio científico (2023, hoy Evident) y ortopedia (2024) [18]. Desde 2022 su historia la marca la FDA: tres cartas de advertencia, el proyecto de calidad Elevate y, en junio de 2025, una alerta de importación sobre productos de su planta de Aizu [19, 21, 22,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Takachiho Seisakusho para fabricar microscopios en Japón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Olympus Optical y salida a la Bolsa de Tokio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gastrocámara práctico del mundo, comercializado en 1952: nacimiento de la endoscopia flexible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1964-1968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Filiales comerciales en Europa (1964) y Estados Unidos (1968); en 1979 abrió en California el que hoy es el mayor centro de servicio de endoscopios del mundo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Gyrus Group (Reino Unido) para entrar en energía quirúrgica y urología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descubre el aplazamiento contable de pérdidas antiguas; nueva dirección y alianza de capital con Sony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enjuiciamiento diferido con el Departamento de Justicia de EE. UU. por sobornos a médicos y hospitales (612 M USD más intereses en la parte estadounidense)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Medical Systems se declara culpable de no notificar infecciones por duodenoscopios: 80 M USD de multa y 5 M USD de decomiso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Transform Olympus: giro hacia una empresa global de tecnología médica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plataforma EVIS X1, base del actual ciclo de renovación de endoscopios GI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cámaras (2021), del negocio científico (2023) y de ortopedia (2024): Olympus queda como empresa pura de tecnología médica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cartas de advertencia de la FDA a las plantas de Aizu, Hachioji e Hinode; arranca el proyecto de calidad Elevate [15, 21, 22,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incluye la planta de Aizu en la alerta de importación 89-04 (24 de junio) y Olympus retiene voluntariamente otros productos; el impacto neto en el ejercicio FY2026 fue de unos 30.000 M JPY [10,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de advertencia de la FDA del 7-oct-2026 a seis plantas (Hachioji, Hinode, Aomori, Shirakawa, Hamburgo y Brooklyn Park) por la respuesta a las inspecciones de finales de 2025; la acción cae un 13,5 % el 14-oct, la mayor caída diaria desde 2011 [38, 39].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Olympus es una empresa pura de tecnología médica desde la venta de cámaras (2021), del negocio científico (2023) y de ortopedia (2024) [18]. Se organiza en dos divisiones. </w:t>
      </w:r>
      <w:r>
        <w:rPr>
          <w:b/>
        </w:rPr>
        <w:t xml:space="preserve">GIS</w:t>
      </w:r>
      <w:r>
        <w:t xml:space="preserve"> (gastrointestinal), alrededor del 70 % de las ventas: endoscopios flexibles GI con sus procesadores EVIS X1, unos 55 % de la división; endoterapia GI (pinzas de biopsia, asas, clips, cuchillos de disección, stents, agujas de ecoendoscopia), unos 15 %; y servicio técnico del parque instalado [9, 18]. </w:t>
      </w:r>
      <w:r>
        <w:rPr>
          <w:b/>
        </w:rPr>
        <w:t xml:space="preserve">SIS</w:t>
      </w:r>
      <w:r>
        <w:t xml:space="preserve"> (cirugía e intervencionismo): urología (resectoscopios, ureteroscopios, láser SOLTIVE), respiratorio (broncoscopios y agujas EBUS), endoscopia quirúrgica (torres VISERA) y otras áreas, entre ellas la energía quirúrgica [9, 18]. Vende directamente a hospitales y centros de endoscopia, con unos 17 centros de formación de médicos y una red de servicio propia, y fabrica sobre todo en Japón (Aizu, Shirakawa, Aomori) [18]. Norteamérica, Europa y Asia-Pacífico suman alrededor del 80 % de las ventas; China y Japón, el 20 % [9].</w:t>
      </w:r>
    </w:p>
    <w:p>
      <w:pPr>
        <w:pStyle w:val="Heading2"/>
      </w:pPr>
      <w:r>
        <w:t xml:space="preserve">Cómo gana dinero</w:t>
      </w:r>
    </w:p>
    <w:p>
      <w:pPr>
        <w:spacing w:after="100"/>
      </w:pPr>
      <w:r>
        <w:t xml:space="preserve">El modelo es de base instalada: Olympus vende el procesador y los endoscopios (equipo, que se renueva con cada plataforma: hoy EVIS X1, con unos 70.000 procesadores antiguos por sustituir) y después cobra durante años endoterapia de un solo uso, reparaciones y contratos de servicio, la parte recurrente [18]. El margen depende de la mezcla de productos, del ciclo de lanzamientos, del yen (fabrica en Japón y vende fuera) y ahora de los aranceles de EE. UU. [10]. El apalancamiento operativo es alto: en el 1T FY2027 las ventas subieron un 16 % y el beneficio operativo ajustado pasó de 13.200 a 30.700 M JPY [9]. El cuarto trimestre (enero-marzo) es el más fuerte: 53.400 M JPY de beneficio operativo ajustado en el 4T FY2026, frente a 39.300 M JPY en el 3T [10, 13]. El freno actual son las retenciones de producto: unos 30.000 M JPY de ventas perdidas en FY2026 [10].</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GIS (Gastrointestinal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697.359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 (Surgical and Interventional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otros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-11.660,1 %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GIS (Gastrointestinal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674.043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697.359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 (Surgical and Interventional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otros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Hospitales públicos y privados, centros de endoscopia ambulatoria y grupos de compra [18]; Olympus no publica la concentración de clientes. Los contratos de servicio acompañan a la base instalada durante la vida del equipo; la prueba de fidelidad es que, con la alerta de importación y las retenciones en marcha, GIS creció a doble dígito en Norteamérica, Europa y Asia-Pacífico en el 4T FY2026 y el 1T FY2027 [9, 10]. El poder de precios es limitado: el director financiero reconoce que en muchos casos no puede trasladar subidas de costes y que estudia medidas de precio selectivas para compensar los aranceles [18]. En China la compra centralizada por volumen fija precios por licitación y favorece al producto nacional [15, 18].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 (negocio médico)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1T FY2027 volvió al +5 % (GIS +10 %, SIS -4 %) [5,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(consolidado)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FY2027: 15,2 %-16,7 % [5,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 GIS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EE. UU. y fin de los pedidos atrasados por el terremoto de Noto [5,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 SIS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Alertas de importación y retenciones de envíos; SIS en revisión estratégica desde mayo de 2026 [5,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(antes de capitalizar)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103.890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109.948 M JPY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10,9 % de las ventas; capitalizados 21.801 M (14.300 M en FY2025)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ajustado publicado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109.387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53.465 M JPY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Definición de la empresa, sin otros ingresos y gastos, compras ni reestructuración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(fin de ejercicio)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28.138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unas 2.000 posiciones netas menos en FY2026-FY2027 [1,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endoscopia flexible gastrointestinal (gastroscopios, colonoscopios, duodenoscopios y ecoendoscopios con sus procesadores y servicio), que explica en torno al 55 % de las ventas de la división GIS; a su lado, la endoterapia GI (pinzas, asas, clips, stents, cuchillos de disección), alrededor del 15 % de GIS [18]. Se usan dos fuentes con perímetros distintos: Olympus estima su mercado servido en EE. UU., las cinco grandes de Europa, Japón y China en 300.000-400.000 M JPY para endoscopia GI y 350.000-450.000 M JPY para endoterapia GI [18]; iData Research mide el mercado mundial de endoscopios GI (reutilizables, de un solo uso y servicio) en unos 7.700 M USD en 2025 [37]. La serie usa iData por ser mundial y externa; la cifra de Olympus es menor porque solo cubre ocho países.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7.700 M USD (≈ 1.206.000 M JPY a 156,67 JPY/USD) en 2025 para endoscopios GI en el mundo [35, 37]; Olympus estima 300.000-400.000 M JPY de mercado servido en endoscopia GI y 650.000-850.000 M JPY en todo GI, con endoterapia incluida, en ocho países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2025, dato de iData; 2026e-2030e, estimación propia con la TCAC del 3,4 % que publica iDat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Cribado del cáncer colorrectal y gástrico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cáncer colorrectal es la segunda causa de muerte por cáncer del mundo; Olympus prevé que su mercado servido de endoscopia GI crezca un 4-6 % anual y el de endoterapia un 5-7 % entre FY2025 y FY2028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renovación a EVIS X1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70.000 procesadores de la generación anterior (CV-190 y CV-290) instalados pueden pasar a EVIS X1 [18]; en el 1T FY2027 GIS creció un 21 % (10 % a tipo constante) con el gastroscopio EDOF como motor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compras de China (compra centralizada por volumen y preferencia por lo nacional)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atribuye a la compra centralizada por volumen y a la política de comprar chino la caída de sus ventas en China en el 1T FY2026 [15]; China y Japón pesan alrededor del 20 % de las ventas y cayeron un 8 % a tipo constante en el 1T FY2027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Campaña anticorrupción en los hospitales chinos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Empezó en julio de 2023 y en mayo de 2024 se declaró permanente; retrasa sobre todo las compras de equipos [18]. El director financiero señaló a China como el principal motivo de unas ventas inferiores a lo previsto en FY2025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Endoscopios de un solo uso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Ambu, especialista en desechables, facturó 6.037 M DKK en 2024/25 con un crecimiento orgánico del 15,4 % en endoscopia [32]; Olympus responde con su propio ureteroscopio y cistoscopio desechables [13,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 sobre productos fabricados en Japón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25.000 M JPY de impacto bruto en el coste de ventas de FY2026 (18.000 M JPY tras las medidas de mitigación)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fabricantes japoneses dominan la endoscopia flexible y Olympus tiene en torno al 70 % del mercado mundial de endoscopios GI [18]; iData sitúa a Olympus, Fujifilm y Boston Scientific como los tres primeros en 2025 [37]. La rivalidad sube en China, donde los fabricantes locales ya tienen el 20-30 % del mercado frente a menos del 3 % hacia 2017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Compran hospitales y grupos de compra con presupuestos públicos o reembolsos regulados; en China la compra centralizada por volumen fija precios por licitación [18]. El director financiero admite que en muchos casos no puede trasladar subidas de costes a los clientes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endoscopios se fabrican en plantas propias de Aizu, Shirakawa y Aomori, ampliadas en 2016 [18]; la concentración de la producción en Japón expone, en cambio, a los aranceles de EE. UU. [10] y a que una sola alerta de importación bloquee una familia entera de productos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aprobación regulatoria, la formación de médicos (unos 17 centros de formación de Olympus) y la red de servicio técnico son barreras altas [18]; la excepción es China, donde SonoScape facturó 2.309 M CNY en 2025 y se presenta como el primer fabricante nacional de endoscopios [33].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test de heces, la colonoscopia virtual y la cápsula compiten en cribado, pero un resultado positivo acaba en colonoscopia, y la extirpación de pólipos y la disección submucosa solo se hacen con endoscopio [18]. El riesgo real es el desechable, que cambia el modelo de reutilizable más servicio [32].</w:t>
            </w:r>
          </w:p>
        </w:tc>
      </w:tr>
    </w:tbl>
    <w:p>
      <w:pPr>
        <w:spacing w:after="160" w:before="0"/>
      </w:pPr>
    </w:p>
    <w:p>
      <w:pPr>
        <w:pStyle w:val="Heading2"/>
      </w:pPr>
      <w:r>
        <w:t xml:space="preserve">Ciclo</w:t>
      </w:r>
    </w:p>
    <w:p>
      <w:pPr>
        <w:spacing w:after="100"/>
      </w:pPr>
      <w:r>
        <w:t xml:space="preserve">La demanda de endoscopia depende del volumen de procedimientos y del gasto hospitalario en equipos, más estable que el ciclo económico. Los indicadores actuales apuntan a expansión fuera de China: GIS creció a doble dígito en Norteamérica, Europa y Asia-Pacífico durante dos trimestres seguidos [9, 10], mientras China cae por la compra centralizada y la sustitución local [9, 15]. No se han localizado datos del sector en 2008-09; en 2020 la pandemia aplazó procedimientos electivos y cribados, y en 2022-2026 el freno de Olympus fue regulatorio y de suministro, no de demanda [10, 13].</w:t>
      </w:r>
    </w:p>
    <w:p>
      <w:pPr>
        <w:pStyle w:val="Heading2"/>
      </w:pPr>
      <w:r>
        <w:t xml:space="preserve">Regulación</w:t>
      </w:r>
    </w:p>
    <w:p>
      <w:pPr>
        <w:spacing w:after="100"/>
      </w:pPr>
      <w:r>
        <w:rPr>
          <w:b/>
        </w:rPr>
        <w:t xml:space="preserve">FDA, el factor que más pesa.</w:t>
      </w:r>
      <w:r>
        <w:t xml:space="preserve"> Tres cartas de advertencia: Aizu (inspección de julio de 2022, carta del 2-nov-2022, buenas prácticas de fabricación de endoscopios y reprocesadoras), Hachioji (12-dic-2022, notificación de incidentes) e Hinode (15-mar-2023, accesorios de duodenoscopios) [21, 22, 23]. El 24-jun-2025 la FDA incluyó la planta de Aizu en la alerta de importación 89-04: broncoscopios, ureteroscopios, laparoscopios, rinolaringoscopios y reprocesadoras OER (solo equipos, no consumibles ni repuestos), alrededor del 1 % de las ventas de FY2025 [19, 20, 24]. A finales de 2025 la FDA inspeccionó ocho plantas en EE. UU., Europa y Japón y Olympus retuvo voluntariamente envíos de endoterapia, urología, respiratorio y cirugía [13]. Impacto neto en ventas: unos 30.000 M JPY en FY2026 y 13.000 M JPY en el 1T FY2027 [9, 10]. A 19-ago-2026 Aizu seguía en la alerta [20]; levantarla exige reinspecciones satisfactorias [15]. Olympus espera que la mayoría de los productos retenidos vuelvan al mercado en el segundo semestre de FY2027 [9]. </w:t>
      </w:r>
      <w:r>
        <w:rPr>
          <w:b/>
        </w:rPr>
        <w:t xml:space="preserve">China</w:t>
      </w:r>
      <w:r>
        <w:t xml:space="preserve">: compra centralizada por volumen y campaña anticorrupción en hospitales desde julio de 2023, permanente desde mayo de 2024 [18]. </w:t>
      </w:r>
      <w:r>
        <w:rPr>
          <w:b/>
        </w:rPr>
        <w:t xml:space="preserve">Carta de advertencia del 7-oct-2026</w:t>
      </w:r>
      <w:r>
        <w:t xml:space="preserve"> (publicada por Olympus el 13-oct): cubre seis plantas, entre ellas las tres que fabrican endoscopios en Japón (Olympus Medical Systems en Hachioji e Hinode, Aomori y Shirakawa), Olympus Winter &amp; Ibe en Hamburgo y Gyrus ACMI en Brooklyn Park, y juzga insuficientes las respuestas a las observaciones de las inspecciones de finales de 2025. No restringe la producción ni la venta, no exige retiradas ni frena las solicitudes 510(k), y la empresa no prevé impacto en sus resultados; debe responder en 15 días hábiles [38]. A 19-oct la carta aún no estaba en la base pública de la FDA, y la alerta de importación sobre Aizu sigue vigente [20].</w:t>
      </w:r>
    </w:p>
    <w:p>
      <w:pPr>
        <w:pStyle w:val="Heading2"/>
      </w:pPr>
      <w:r>
        <w:t xml:space="preserve">Tendencias y disrupción</w:t>
      </w:r>
    </w:p>
    <w:p>
      <w:pPr>
        <w:spacing w:after="100"/>
      </w:pPr>
      <w:r>
        <w:t xml:space="preserve">La inteligencia artificial (detección y caracterización asistida de pólipos), la imagen con mayor profundidad de campo (EDOF) y la gestión del parque instalado desplazan la competencia del aparato al ecosistema; Olympus lo empaqueta en OLYSENSE y EVIS X1, y le favorece tener la mayor base instalada [18]. Los desechables ganan terreno en duodenoscopios, broncoscopios y ureteroscopios por el riesgo de infección del reprocesado [32]; Olympus pierde algo de su ventaja de servicio, pero lanza los suyos [13]. En China la producción local es condición para competir: Olympus obtuvo en agosto de 2025 el registro de su gastroscopio fabricado en Suzhou y en noviembre de 2025 decía que la fabricación local avanzaba según lo previsto [14, 18], mientras los fabricantes chinos ya tienen el 20-30 % del mercado [36].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endoscopia flexible gastrointestinal, con alrededor del 70 % del mercado mundial de endoscopios GI y más del 70 % en colonoscopios, gastroscopios, duodenoscopios y ecoendoscopios reutilizables en EE. UU., Europa (cinco grandes), Japón y China [18]; iData también la sitúa primera en 2025, por delante de Fujifilm y Boston Scientific [37]. En endoterapia GI es la 2.ª y en urología, 2.ª, con el liderazgo en ureteroscopios reutilizables y láser de fibra de tulio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Fujifilm (Medical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4901.T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701.600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fabricante de endoscopios GI [37]. Ingresos de Medical Systems del ejercicio cerrado en marzo de 2026, suma de los cuatro trimestres publicados (estimación propia: 144,0 + 170,3 + 170,2 + 217,1 miles de M JPY), que incluye además rayos X, ecografía e informática médica [30]. El margen es el del segmento Healthcare entero (63.600 M JPY sobre 1.098.900 M JPY), lastrado por el arranque de las plantas de Bio CDMO [30]; no publica el de endoscopia. En el 1T de su FY2026 Medical Systems creció un 12,8 % por endoscopios en EE. UU., Europa y Japón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 (Pentax Medical)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7741.T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 fabricante japonés de endoscopios flexibles. Ingresos de productos médicos del ejercicio cerrado en marzo de 2026 (endoscopios, accesorios, reprocesadoras y lentes intraoculares) [31]. El margen es el beneficio antes de impuestos del segmento Life Care, que incluye las lentes de gafas (129.531 M JPY sobre 590.680 M JPY) [31]; en el ejercicio cerrado en marzo de 2025 deterioró activos de sus filiales de endoscopios en EE. UU. y Europa por no alcanzar la rentabilidad esperada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 (Endoscopy)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456.857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principal en endoterapia GI y tercero en endoscopios GI por los duodenoscopios y colangioscopios de un solo uso [37]. Endoscopy facturó 2.916 M USD en 2025 (+8,6 %), convertidos a 156,67 JPY/USD [27, 35]. El margen es el beneficio operativo del segmento MedSurg (2.268 M USD sobre 6.829 M USD)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 (Endoscopy)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visualización quirúrgica rígida (torres 4K, cámaras, laparoscopia), no en endoscopia flexible GI. Endoscopy facturó 3.807 M USD en 2025, convertidos a 156,67 JPY/USD [28, 35]; el margen es el del segmento MedSurg and Neurotechnology [28]. Stryker se declara uno de siete líderes mundiales en endoscopia junto con Karl Storz, Olympus, Smith &amp; Nephew, ConMed, Arthrex y STERIS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 Surgical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1.576.860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con la división SIS en cirugía mínimamente invasiva y, con Ion, en broncoscopia robótica periférica. 10.064,7 M USD de ingresos y 2.945,5 M USD de beneficio operativo en 2025, convertidos a 156,67 JPY/USD [29,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Ambu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AMBU-B.CO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endoscopios de un solo uso (broncoscopios, cistoscopios, duodenoscopios). 6.037 M DKK en el ejercicio cerrado en septiembre de 2025, convertidos a 23,28 JPY/DKK; endoscopia creció un 15,4 % orgánico; el margen es el EBIT antes de partidas especiales [32,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SonoScape Medical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300633.SZ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51.672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fabricante chino de endoscopios. 2.309 M CNY de ingresos en 2025 (+14,65 %) y 197 M CNY de beneficio neto atribuido (8,5 % de margen neto; no se ha localizado el beneficio operativo), convertidos a 22,38 JPY/CNY [33, 35]; su línea de endoscopia digestiva creció un 30 % y ganó cuota en las licitaciones chinas del 1T 2026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Aohua Endoscopy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688212.SS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774 M CNY de ingresos en 2025 (+3,2 %) y 11 M CNY de beneficio neto, convertidos a 22,38 JPY/CNY [34, 35]. Las ventas en China cayeron un 22,3 % y las del exterior subieron un 94,3 %; tiene 230 procesadores de gama media-alta en 203 hospitales de tercer nivel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Karl Storz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Sociedad familiar no cotizada que no publica cuentas consolidadas accesibles; Stryker la cita entre los líderes mundiales de endoscopia [28]. Compite sobre todo en endoscopia rígida y quirúrgica, el terreno de la división SIS.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médicos se forman con equipos Olympus en unos 17 centros propios y en colaboración con hospitales de cerca de 20 provincias chinas, y las técnicas de disección (EMR, ESD) se desarrollaron con sus instrumentos [7]: es un efecto de aprendizaje más que una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Procesadores, endoscopios, reprocesadoras, accesorios y contratos de servicio forman un sistema; unos 70.000 procesadores de la generación anterior instalados son la base del ciclo de renovación a EVIS X1 [7]. La prueba: pese a la alerta de importación y las retenciones, GIS creció a doble dígito fuera de China en los dos últimos trimestres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alrededor del 70 % en endoscopios GI sostenida durante décadas desde el primer gastrocámara de 1950 [7]; más de 30 autorizaciones 510(k) de la FDA en los últimos 12 meses [1]. La marca regulatoria está dañada: tres cartas de advertencia y una alerta de importación vigente [9-12]. La carta del 7-oct-2026 a seis plantas confirma que el problema de calidad es de sistema, no de una planta [27, 28].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concentrada en plantas propias de Japón [7], que ahora pesa por los aranceles de EE. UU. (25.000 M JPY de impacto bruto en FY2026) [3]; frente a SonoScape y Aohua en China, Olympus no tiene ventaja de costes y responde fabricando en Suzhou [7, 22].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endoscopios GI es pequeño (≈ 7.700 M USD en 2025) [26] y exige una red de servicio mundial; Olympus tiene el mayor centro de servicio de endoscopios del mundo en California y siete centros de servicio en China [7]. Hoya registró en el ejercicio cerrado en marzo de 2025 deterioros en sus filiales de endoscopios en EE. UU. y Europa, señal de que el tercer actor no llega a la escala rentable [20].</w:t>
            </w:r>
          </w:p>
        </w:tc>
      </w:tr>
    </w:tbl>
    <w:p>
      <w:pPr>
        <w:spacing w:after="160" w:before="0"/>
      </w:pPr>
    </w:p>
    <w:p>
      <w:pPr>
        <w:pStyle w:val="Heading2"/>
      </w:pPr>
      <w:r>
        <w:t xml:space="preserve">Amenazas</w:t>
      </w:r>
    </w:p>
    <w:p>
      <w:pPr>
        <w:spacing w:after="100"/>
      </w:pPr>
      <w:r>
        <w:t xml:space="preserve">La más probable es China: los fabricantes locales han pasado de menos del 3 % a un 20-30 % del mercado nacional [36], la compra centralizada baja precios [15, 18] y SonoScape crece un 30 % en endoscopia digestiva [33]; China pesa alrededor del 10 % de las ventas de GIS [10]. La segunda es la regulatoria: si la alerta de importación de Aizu se prolonga o se extiende a otras plantas, los clientes estadounidenses de broncoscopia, urología y cirugía pueden pasar a Ambu, Boston Scientific o Karl Storz y no volver [13, 20]. A largo plazo, el desechable erosiona el negocio de servicio y reprocesado [32]. En endoscopia GI de EE. UU., Europa y Japón la amenaza es baja: Fujifilm crece, pero desde una base mucho menor [30].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750.123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925.752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997.332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1.010.676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160.875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spacing w:after="100"/>
      </w:pPr>
      <w:r>
        <w:t xml:space="preserve">Crecimiento anual compuesto FY2022-FY2026: ingresos </w:t>
      </w:r>
      <w:r>
        <w:rPr>
          <w:b/>
          <w:bCs/>
        </w:rPr>
        <w:t xml:space="preserve">7,7 %</w:t>
      </w:r>
      <w:r>
        <w:t xml:space="preserve">, EBITDA </w:t>
      </w:r>
      <w:r>
        <w:rPr>
          <w:b/>
          <w:bCs/>
        </w:rPr>
        <w:t xml:space="preserve">-4,6 %</w:t>
      </w:r>
      <w:r>
        <w:t xml:space="preserve">, BPA </w:t>
      </w:r>
      <w:r>
        <w:rPr>
          <w:b/>
          <w:bCs/>
        </w:rPr>
        <w:t xml:space="preserve">-9,2 %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de operaciones continuadas pasaron de 750.123 M JPY en FY2022 a 1.010.676 M en FY2026 [1, 4]. Buena parte del avance es divisa: el yen débil sumó 98.381 M a las ventas en FY2023, 50.793 M en FY2024 y 39.907 M en FY2025 [6, 7]; a tipo constante el negocio médico creció un 4 % en FY2025 y un 0 % en FY2026 [5]. El margen operativo publicado bajó del 21,2 % de FY2023 al 9,6 % de FY2026, y el ajustado de la empresa del 20,1 % al 14,2 % [5, 7]. En FY2026 el margen bruto perdió 3,9 puntos (del 68,6 % al 64,7 %) por los aranceles de EE. UU. (unos 25.000 M brutos y 18.000 M tras mitigación), por las alertas de importación y las retenciones de envíos ligadas a la FDA (unos 30.000 M de impacto neto) y por la mezcla [10]. FY2024 no es comparable: la retirada de los sistemas de navegación de Veran costó 51.886 M y el beneficio neto (242.566 M) lo infla la plusvalía de Evident [2]. FY2022 y FY2023 incluyen todavía el negocio de ortopedia, que es pequeño; FY2024-FY2026 ya no [2, 3]. Los ejercicios FY2017-FY2021 no se presentan: la empresa no los ha reexpresado sin Imaging ni Evident y mezclarían perímetros.</w:t>
      </w:r>
    </w:p>
    <w:p>
      <w:pPr>
        <w:pStyle w:val="Heading2"/>
      </w:pPr>
      <w:r>
        <w:t xml:space="preserve">Ajustes y partidas no recurrentes</w:t>
      </w:r>
    </w:p>
    <w:p>
      <w:pPr>
        <w:spacing w:after="100"/>
      </w:pPr>
      <w:r>
        <w:t xml:space="preserve">Olympus publica un beneficio operativo ajustado que excluye otros ingresos y otros gastos: 176.793 M en FY2023, 151.316 M en FY2024, 188.509 M en FY2025 y 143.310 M en FY2026 [5, 6, 7]. Lo excluido se repite cada año y aquí no se trata como no recurrente: costes de calidad del programa Elevate por las cartas de advertencia de la FDA (1.937 M en FY2023, 23.041 M en FY2024, 19.350 M en FY2025 y 10.781 M en FY2026), reestructuración y plantilla (8.836 M, 2.361 M, 5.851 M, 2.865 M y 26.872 M de FY2022 a FY2026) y deterioros de activos de desarrollo (1.630 M en FY2022, 12.913 M en FY2024, 2.558 M en FY2025 y 10.150 M en FY2026) [1, 2, 3, 4]. Sí se tratan como puntuales: en FY2022, 8.517 M de ganancias (adquisición por etapas de Medi-Tate, contraprestación contingente de Veran, reversión de una provisión fiscal y venta de activos); en FY2023, la venta del terreno de Hatagaya (16.395 M) y Medi-Tate (1.381 M); en FY2024, Veran (51.886 M) y Taewoong (unos 2.000 M) menos la venta del negocio de colágeno (1.127 M); en FY2025, 2.044 M de ingresos en Shenzhen; en FY2026, la licencia cobrada a Evident (5.995 M) y la venta de un edificio (1.166 M) [1, 2, 3, 4]. El beneficio neto incluye operaciones interrumpidas: 5.343 M en FY2022, 5.623 M en FY2023, 207.864 M en FY2024 (plusvalía de Evident de 349.037 M antes de impuestos) y 55 M en FY2025 [2, 3, 4].</w:t>
      </w:r>
    </w:p>
    <w:p>
      <w:pPr>
        <w:spacing w:after="100"/>
      </w:pPr>
      <w:r>
        <w:t xml:space="preserve">Efecto FDA cuantificado por la empresa: las alertas de importación del 24-jun-2025 (broncoscopios, laparoscopios, ureterorrenoscopios y lavadoras de endoscopios fabricados en Aizu) restaban unos 15.000 M de ventas en la guía de FY2026 [1, 15], cuando en mayo de 2025 la empresa aún esperaba cumplir todos sus compromisos con la FDA al cierre de FY2026 [16]; a nueve meses el efecto era de 6.000 M por las alertas y 9.000 M por retenciones de envíos, sobre todo en SIS [13]; en el 4T, 18.000 M; en el año, unos 30.000 M de impacto neto [10]; en el 1T FY2027, unos 13.000 M más [9]. Hubo además una provisión de unos 2.400 M por la retirada voluntaria de dispositivos quirúrgicos [13]. El programa de plantilla (unas 2.000 posiciones netas menos en FY2026-FY2027 y 24.000 M de ahorro anual en FY2028) costó 26.872 M en FY2026 [1, 9, 14]. El LTM a junio de 2026 lleva dentro esos costes de reestructuración, que no se ajustan.</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mayo de 2026 (resultados de FY2026) Bob White llamó a FY2026 un año de reconstrucción: la empresa absorbió unos 30.000 M JPY de impacto neto de las alertas de importación y de las retenciones voluntarias de envíos, cerró por encima de la guía revisada con un margen ajustado del 14,2 % y dio para FY2027 ventas de 1.055.000-1.076.000 M y margen ajustado del 15,2 %-16,7 % [10]. Anunció la revisión estratégica de la endoscopia quirúrgica y otras áreas de SIS, «sin descartar nada», y una recompra de hasta 60.000 M [10]. En agosto de 2026 (1T FY2027) el tono cambió de la defensa a la ejecución: ventas +16 % (+5 % a tipo constante), GIS +21 %, margen ajustado del 12,8 % frente al 6,4 %, y la guía se mantuvo [8, 9]. La FDA sigue sin cerrar el asunto: la empresa habla de relación «constructiva», espera que la mayoría de los productos retenidos vuelva en el segundo semestre y nombró un nuevo responsable de calidad; las retenciones restaron unos 13.000 M en el trimestre [9]. Del programa de plantilla dijo que casi ha terminado la optimización de puestos y que va camino de los 24.000 M de ahorro anual en FY2028 [9]. Margen y ahorro del trimestre se apoyaron también en menor I+D por calendario [9]. No dio plazo para las reinspecciones de la FDA ni cifra el coste pendiente de remediación. No se han encontrado transcripciones ni resúmenes de preguntas y respuestas publicados por la empresa.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1.508.701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1.534.216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299.616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757.186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1.433.273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1.537.162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295.270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363.279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239.576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812.040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(FY2024: Venta de Evident (negocio científico) a Bain Capital cerrada en abril de 2023: plusvalía en operaciones interrumpidas; FY2023 y anteriores reexpresados sin Evident.; FY2025: Negocio de ortopedia clasificado como operación interrumpida desde el 1T FY2025 y vendido; FY2024 reexpresado sin ortopedia, FY2022-FY2023 siguen incluyéndola (ingresos pequeños).).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bajó de 386.127 M JPY en FY2022 a 229.102 M en FY2025 y subió a 239.576 M en FY2026 (bonos de 134.716 M y préstamos de 104.860 M, a un tipo medio de entre el 0,95 % y el 2,14 %) [1, 4]. Con la caja de Evident la empresa llegó a tener caja neta (41.317 M en FY2024 y 23.430 M en FY2025), pero las recompras de 330.000 M en tres años y la caída del flujo operativo la devolvieron a deuda neta de 51.538 M en FY2026 y de 200.347 M en junio de 2026, sin arrendamientos [5, 8]. El bono en dólares de 79.876 M vence en diciembre de 2026 [1]. El circulante empeora: existencias de 187.145 M a 207.092 M y clientes de 204.183 M a 236.833 M en FY2026, más deprisa que las ventas (+1 %), en parte por el yen y por los productos retenidos [1]. El fondo de comercio de SIS (179.576 M, el 11,7 % del activo) es asunto clave de la auditoría por su sensibilidad a la FDA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159.647</w:t>
      </w:r>
      <w:r>
        <w:t xml:space="preserve">, conversión </w:t>
      </w:r>
      <w:r>
        <w:rPr>
          <w:b/>
          <w:bCs/>
        </w:rPr>
        <w:t xml:space="preserve">23 %</w:t>
      </w:r>
      <w:r>
        <w:t xml:space="preserve"> del beneficio neto; adquisiciones 81.759, dividendos 97.441, recompras 410.010.</w:t>
      </w:r>
    </w:p>
    <w:p>
      <w:pPr>
        <w:spacing w:after="100"/>
      </w:pPr>
      <w:r>
        <w:t xml:space="preserve">El flujo operativo lo deforman los impuestos: se pagaron 9.164 M JPY en FY2022, 97.567 M en FY2023 y 137.390 M en FY2024 (con la venta de Evident), hubo una devolución neta de 3.009 M en FY2025 y se pagaron 62.374 M en FY2026, de ellos 14.700 M por la venta de Evident en el extranjero [1, 3, 9]. Los flujos incluyen las operaciones interrumpidas hasta su venta. La empresa publica un flujo libre ajustado (sin otros ingresos y gastos, compras ni reestructuración) de 109.387 M en FY2025 y 53.465 M en FY2026 [5]. Las adquisiciones de FY2024 son el pago de 43.647 M por Taewoong, operación rescindida en marzo de 2024; se recuperaron 31.110 M en FY2024, 7.603 M en FY2025 y 3.032 M en FY2026, que van en desinversiones junto con los 379.091 M de Evident [1, 3]. El capex en caja subió a 82.423 M en FY2026 (1,2 veces la amortización), con 21.801 M de desarrollo capitalizado frente a 14.300 M un año antes [1, 5]. La empresa no separa mantenimiento y crecimiento; estimación propia: la amortización (67.216 M) aproxima el capex de mantenimiento. Los intereses pagados van en el flujo operativo.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ShinNihon LLC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El auditor da opinión favorable sobre FY2026 y señala como asunto clave el deterioro del fondo de comercio de SIS (179.576 M JPY), por la incertidumbre de las cartas de advertencia, las alertas de importación y las inspecciones de la FDA de finales de 2025 [1]. Tres hábitos piden vigilancia. Primero, «otros gastos» aparece todos los años con importes altos (31.293 M en FY2025 y 57.535 M en FY2026), y el beneficio ajustado que la empresa destaca los excluye siempre; calidad, reestructuración y deterioros de desarrollo son recurrentes [1]. Segundo, la capitalización de desarrollo sube del 13,8 % al 19,8 % del gasto en I+D (14.300 M a 21.801 M) en un año, y a la vez se deterioran cada año activos de desarrollo (10.150 M en FY2026) [1, 5]. Tercero, el tipo impositivo es irregular: 19,6 % en FY2024 y 27,5 % en FY2026, con pagos de impuestos por la venta de Evident que siguen saliendo en FY2026 [1, 2]. Hay reexpresiones frecuentes pero explicadas: ortopedia y Evident a interrumpidas, la reasignación de costes centrales a GIS y SIS y la valoración de la compra en Chile [1, 5]. El antecedente del escándalo contable de 2011 explica el estándar de exigencia del mercado con esta empresa.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gastos recurrentes excluidos del beneficio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13.890 M y 103.361 M al año desde FY2022; la diferencia entre beneficio operativo ajustado y publicado fue de 46.190 M en FY2026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desarrollo capitalizado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14.300 M a 21.801 M en FY2026 y 25.000 M previstos en FY2027; mejora el margen frente a quien lo lleva a gasto [5,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SIS sensible a la FDA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179.576 M, el 11,7 % del activo, con SIS en pérdidas operativas en FY2026 y en revisión estratégica [1,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activos de desarrollo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1.630 M en FY2022, 12.913 M en FY2024, 2.558 M en FY2025 y 10.150 M en FY2026 [1, 2,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Opciones de venta a favor del socio en Swan EndoSurgical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Pasivo de 4.445 M a valor razonable y compromiso de hasta 206 M USD condicionado a hitos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659.932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764.528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822.968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783.790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860.328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194.238 M en FY2026 (el 22 % del capital invertido medio); ha subido más de un 5 % en 2 de 4 años: compras pequeñas. ROIC publicado 7,9 %; sin fondo de comercio, 10,1 %.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-19,2 % · </w:t>
      </w:r>
      <w:r>
        <w:rPr>
          <w:b/>
          <w:bCs/>
        </w:rPr>
        <w:t xml:space="preserve">WACC</w:t>
      </w:r>
      <w:r>
        <w:t xml:space="preserve">: 6,9 %.</w:t>
      </w:r>
    </w:p>
    <w:p>
      <w:pPr>
        <w:spacing w:after="100"/>
      </w:pPr>
      <w:r>
        <w:t xml:space="preserve">Olympus creó valor con holgura mientras el negocio estuvo limpio: ROIC del 16,1 % en FY2022, 16,7 % en FY2023 y 15,1 % en FY2025, más del doble de un WACC del 6,90 %. FY2024 (10,2 %) y FY2026 (7,9 %) muestran el coste de los problemas de calidad: en FY2026 el ROIC apenas supera en un punto el coste de capital, porque el margen EBIT cayó al 9,6 % por los aranceles de EE. UU., unos 30.000 M de ventas retenidas por la FDA y el programa de plantilla [10]. El motor del ROIC es el margen, no la rotación: la rotación del capital es estable (0,55-0,68) y el circulante absorbe un 36 % de las ventas por el inventario de equipos y repuestos. El ROIC incremental de FY2022-FY2026 es negativo (−19,2 %): el capital invertido creció un 41 % y el NOPAT cayó un 36 %. Sin fondo de comercio el ROIC de FY2026 sería del 10,1 %. Frente a sus competidores, el margen es inferior al de Boston Scientific o Stryker en endoscopia (33 % y 30 % de EBIT) y superior al de Fujifilm Healthcare (5,8 %) [27, 28, 30]. La tesis exige volver a un ROIC del 13-15 %, que es lo que supone el margen EBITDA del 22,7 % del caso base, y la nueva carta de la FDA lo aleja.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266.656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271.170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188.038 M JPY a 31-mar-2026 y de 118.545 M a 30-jun-2026, tras pagar BioProtect (43.172 M), la recompra (60.000 M) y el dividendo (33.033 M) en el 1T FY2027; líneas de crédito comprometidas globales en varias divisas, sin importe publicado [1, 8,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R&amp;I A+ (perspectiva estable); S&amp;P BBB+ (perspectiva negativa); Moody's Baa1 (perspectiva estable), a 31-mar-2026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superávit neto de 31.170 M JPY (activo de 51.189 M frente a pasivo de 20.019 M) a 31-mar-2026 [1]. Provisiones de 25.950 M (16.318 M corrientes y 9.632 M no corrientes), entre ellas garantías de producto y litigios; la empresa declara que no tiene pasivos contingentes significativos [1]. En la sociedad conjunta Swan EndoSurgical (45 %) el socio, un fondo de Revival Healthcare Capital, tiene opciones de venta contra Olympus valoradas en 4.445 M, ejercitables en seis años, y Olympus puede aportar hasta 206 M USD más si se cumplen hitos [1]. La deuda no tiene covenants publicados. La política financiera admite apalancarse para compras sin bajar de BBB-; S&amp;P ya tiene la nota en perspectiva negativa [1]. Arrendamientos NIIF 16 de 66.309 M, fuera de la deuda financiera [1].</w:t>
      </w:r>
    </w:p>
    <w:p>
      <w:pPr>
        <w:pStyle w:val="Heading1"/>
      </w:pPr>
      <w:r>
        <w:t xml:space="preserve">12. Asignación de capital</w:t>
      </w:r>
    </w:p>
    <w:p>
      <w:pPr>
        <w:pStyle w:val="Confianza"/>
        <w:spacing w:after="100"/>
      </w:pPr>
      <w:r>
        <w:t xml:space="preserve">Confianza: Alta</w:t>
      </w:r>
    </w:p>
    <w:p>
      <w:pPr>
        <w:spacing w:after="100"/>
      </w:pPr>
      <w:r>
        <w:t xml:space="preserve">Hasta FY2026 la política era subir el dividendo de forma estable y gradual y recomprar de forma flexible, con prioridad para invertir en crecimiento [1]. El dividendo pasó de 14 JPY (FY2022) a 30 JPY (FY2026), que se mantiene en FY2027 [1, 10]. Desde FY2027 la empresa pasa a un marco «más flexible» que combina dividendo y recompras oportunistas [10]. Recompras: 30.001 M en FY2022, 50.003 M en FY2023, 180.002 M en FY2024, 100.002 M en FY2025 y 50.002 M en FY2026 (27,63 M de acciones); el programa de hasta 60.000 M de FY2027 se ejecutó entero en mayo de 2026 con 38,95 M de acciones [1]. Las acciones emitidas bajaron de 1.285,9 M a 1.114,5 M por amortización de autocartera; la autocartera era de 13,38 M acciones a 31-mar-2026 [1]. Prioridades declaradas: inversión en crecimiento (innovación, GIS, compras selectivas), dividendo, recompras y mantener grado de inversión [10]. Las participaciones cruzadas son irrelevantes (1.284 M en la matriz a marzo de 2024)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Veran Medical Technologies (EE. UU., navegación electromagnética para broncoscopia)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contraprestación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en FY2024 se dejaron de fabricar y vender sus sistemas, con una pérdida de 51.886 M (41.704 M de deterioro), más que el precio pagado [2,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Quest Photonic Devices (Países Bajos, imagen por fluorescencia)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SIS; sin deterioro específico publicado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Medi-Tate (Israel, urología), 81,54 %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 de 2.826 M por la participación previa y ajustes favorables de la contraprestación contingente en FY2023 (1.381 M)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Odin Medical (Reino Unido, inteligencia artificial para endoscopia)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GIS; sin efecto material publicado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Taewoong Medical (Corea del Sur, stents digestivos)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Rescindida en marzo de 2024 tras pagar; se recuperaron 41.745 M entre FY2024 y FY2026 y costó unos 2.000 M en gastos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distribución propio en Chile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del precio revisada en FY2026; importe pequeño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Swan EndoSurgical (EE. UU., robótica endoluminal), 45 % en sociedad conjunta con Revival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hasta 206 M USD más según hitos en seis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participadas de 3.700 M en FY2026 y efecto de 4.400 M en el beneficio ajustado; opciones cruzadas de compra y venta [1,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BioProtect (Israel, balón separador biodegradable para radioterapia de próstata)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270 M USD con pagos por hitos incluidos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1-jun-2026; ventas de 2.329 M y pérdida operativa de 2.589 M en 2025, unas 18,6 veces ventas; el fondo de comercio del grupo subió 45.900 M en el trimestre [8, 12, 17].</w:t>
            </w:r>
          </w:p>
        </w:tc>
      </w:tr>
    </w:tbl>
    <w:p>
      <w:pPr>
        <w:spacing w:after="160" w:before="0"/>
      </w:pPr>
    </w:p>
    <w:p>
      <w:pPr>
        <w:spacing w:after="100"/>
      </w:pPr>
      <w:r>
        <w:t xml:space="preserve">Desde la venta de Evident (379.091 M cobrados en FY2024) la dirección ha devuelto mucho y comprado poco: 410.010 M en recompras y 97.441 M en dividendos entre FY2022 y FY2026, frente a 81.759 M pagados por compras, de los que 41.745 M se recuperaron al rescindir Taewoong [1, 2, 3, 4]. Las recompras redujeron las acciones diluidas de 1.283,6 M a 1.113,9 M (-13 %), pero el BPA diluido de FY2026 (61,20 JPY) quedó por debajo del de FY2022 (90,17 JPY) porque el beneficio cayó más deprisa [1, 4]. Las compras propias tienen mal historial: Veran se perdió entera y Taewoong se rescindió después de pagar. Las nuevas (Swan, BioProtect) son apuestas tecnológicas sin beneficio, a múltiplos de ventas altos. En 2026 la empresa recompra con deuda: la deuda neta pasó de 51.538 M a 200.347 M en un trimestre y S&amp;P mantiene perspectiva negativa [1, 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Bob White (Robert John White)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Representative Executive Officer, 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Treinta años en tecnología médica: GE Healthcare, Covidien y Medtronic, donde fue vicepresidente ejecutivo y presidente del grupo de terapias mínimamente invasivas y de la cartera médico-quirúrgica; consejero de supervisión de Philips [41, 48]. El consejo lo nombró por unanimidad el 25 de abril de 2025, con efecto el 1 de junio, tras una búsqueda con cazatalentos iniciada en noviembre de 2024; había dejado Medtronic en abril de 2024 [48, 56]; en su primer ejercicio completo (FY2026) el beneficio operativo cayó un 40,2 % y el margen ajustado bajó al 14,2 %, con unos 30.000 millones de JPY de impacto neto de las alertas de importación de la FDA [10, 49]. Tiene 193.305 acciones, todas pendientes de entrega por el plan de acciones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Parenti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Officer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Carrera financiera en Johnson &amp; Johnson (Ethicon, DePuy, fusiones y adquisiciones, director financiero de J&amp;J en China y en Japón) y director financiero del grupo MedSurg y NeuroTech de Stryker; entró en Olympus en 2026 y es CFO desde el 1 de abril de 2026, en sustitución de Tatsuya Izumi [41, 45]. Sin historial medible en el cargo todavía.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Masato Iwasaki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 y presidente del comité de nombramientos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farmacéutico formado en Takeda; consejero de Olympus desde junio de 2024 y presidente del consejo desde junio de 2025, cuando sustituyó a Sumitaka Fujita [41, 45]. Dirigió la búsqueda que llevó a Bob White [48]. Su reelección de 2026 obtuvo un 91,63 % a favor, la más baja del consejo después de la de Hiroshi Ishino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Barry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Officer y director de calidad (Chief Quality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cuarenta años en calidad y asuntos regulatorios en C. R. Bard, Covidien y Medtronic; sustituyó el 1 de agosto de 2026 a Boris Shkolnik, que había montado la función global de calidad y la relación con la FDA [47]. Su cometido es cerrar las observaciones de la FDA y levantar las alertas de importación, de las que depende la recuperación del margen [40,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Gabriela Kaynor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Executive Officer, directora de estrategia (CSO) y responsable de ESG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Ingeniera y directiva de producto en Johnson &amp; Johnson, Covidien y Acclarent; en Olympus dirigió la división de soluciones terapéuticas antes de pasar a directora de estrategia, y suma la responsabilidad de ESG desde el 1 de abril de 2026 [41, 45]. Tiene 83.965 acciones y cobró 264 millones de JPY en FY2026 [45].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2021: ingresos de 806.000, beneficio operativo de 126.000 y beneficio atribuido de 89.000 millones de JPY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868.867, beneficio operativo de 153.898 y beneficio atribuido de 115.742 millones de JPY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2022: ingresos de 968.000 y beneficio operativo de 206.000 millones de JPY (margen del 21,3 %), con el negocio científico todavía dentro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 negocio científico, ya clasificado como discontinuado: ingresos de 881.923 y beneficio operativo de 186.609 millones de JPY, margen del 21,2 % [52]. El cambio de perímetro impide comparar los importes; el margen se cumplió.</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2023: ingresos de 914.000, beneficio operativo de 163.000 y beneficio atribuido de 336.000 millones de JPY (con la venta de Evident)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936.210, beneficio operativo de 43.598 (ajustado, 151.534) y beneficio atribuido de 242.566 millones de JPY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2024: ingresos de 1.021.000, beneficio operativo de 177.000, beneficio operativo ajustado de 198.500 y beneficio atribuido de 121.000 millones de JPY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997.332, beneficio operativo de 162.462, ajustado de 188.509 y beneficio atribuido de 117.855 millones de JPY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2025: ingresos de 999.000, beneficio operativo de 150.000, ajustado de 175.000 (margen del 17,5 %) y beneficio atribuido de 105.000 millones de JPY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1.010.676, beneficio operativo de 97.120, ajustado de 143.310 (margen del 14,2 %) y beneficio atribuido de 68.172 millones de JPY; la guía se rebajó durante el año [10,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2023 (FY2024-FY2026)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de mayo de 2023: ingresos +5 % anual a tipo constante desde FY2023, margen operativo ajustado de en torno al 20 % y BPA ajustado +8 % anual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ajustado del 14,2 % en FY2026; BPA ajustado de -12,7 %, +39,9 % y -21,4 % en los tres años; rentabilidad total relativa por debajo del percentil 25 de sus comparables. El plan de acciones por objetivos de ese periodo pagó el 48,1 % [41,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credibilidad de la guía es baja: solo FY2022 superó el objetivo inicial, y los tres últimos ejercicios quedaron por debajo en beneficio, dos de ellos con mucha distancia. El plan de 2023 (margen ajustado de en torno al 20 %) se abandonó en la práctica: FY2026 cerró en el 14,2 % y la guía de FY2027 es del 15,2-16,7 % [10, 48, 49]. </w:t>
      </w:r>
      <w:r>
        <w:rPr>
          <w:b/>
        </w:rPr>
        <w:t xml:space="preserve">El equipo es casi nuevo</w:t>
      </w:r>
      <w:r>
        <w:t xml:space="preserve">: consejero delegado desde junio de 2025, director financiero desde abril de 2026, director de calidad desde agosto de 2026, y el presidente ejecutivo Yasuo Takeuchi y otros cuatro ejecutivos salieron el 31 de marzo de 2026 [41, 45, 47]. Es el tercer consejero delegado en tres años, tras la salida forzada de Stefan Kaufmann [55]. La sucesión la decide un comité de nombramientos de solo independientes, sin sucesor interno visible [40].</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Masato Iwasaki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Robert Hale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(codirector general de ValueAct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Jimmy C. Beasley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Innovación y 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Sachiko Ichikawa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Kohei Kan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John Pruden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Luann Marie Pendy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Remuneración (desde el 29 de septiembre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Jean-Luc Butel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Costa Saroukos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Bob White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70,3 %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de fondos e inversores institucionales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agrupa clientes, no es un accionista único [40,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Japan y siete entidades vinculadas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aviso de participación significativa: 31 de diciembre de 2024; la empresa no puede confirmar el saldo a marzo de 2026 [40,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Sumitomo Mitsui Trust Asset Management y una entidad vinculada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15 de septiembre de 2025 [40,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Nomura Asset Management y una entidad vinculada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28 de abril de 2023, sin actualizar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Bank and Trust (cuenta 505001)</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 y una entidad vinculada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según el aviso de 13 de marzo de 2026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SMBC Trust Bank (fondo de pensiones de Sumitomo Mitsui Banking)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(participación de 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ValueAct Capital Master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con consejero (David Hale)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siendo accionista según la convocatoria de 2026; por debajo del 5 %, sin cifra publicada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13.383.184 acciones (1,20 %) a 31 de marzo de 2026; 52.327.484 tras la recompra de 38.948.300 acciones por 60.000 millones de JPY en mayo de 2026, de las que se amortizarán todas menos 9 millones antes del 30 de abril de 2027 [41, 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731,00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no se vota en junta: la fija una comisión de tres independientes [40, 41]. Para el consejero delegado, la mezcla objetivo es 15 % fijo, 23 % variable anual y 62 % a largo plazo, este último en un 60 % en acciones por objetivos [41]. </w:t>
      </w:r>
      <w:r>
        <w:rPr>
          <w:b/>
        </w:rPr>
        <w:t xml:space="preserve">El variable anual de FY2026</w:t>
      </w:r>
      <w:r>
        <w:t xml:space="preserve"> pesó ingresos (35 %), margen operativo ajustado (25 %) y calidad (40 %), y pagó el 48,6 % [41]. </w:t>
      </w:r>
      <w:r>
        <w:rPr>
          <w:b/>
        </w:rPr>
        <w:t xml:space="preserve">Las acciones por objetivos de FY2024-FY2026</w:t>
      </w:r>
      <w:r>
        <w:t xml:space="preserve"> midieron BPA (20 %), rentabilidad total relativa (40 %), calidad (30 %) y DJSI (10 %), y pagaron el 48,1 %, con cero en rentabilidad relativa [41]. No premia crecer a cualquier precio: hay </w:t>
      </w:r>
      <w:r>
        <w:rPr>
          <w:i/>
        </w:rPr>
        <w:t xml:space="preserve">clawback</w:t>
      </w:r>
      <w:r>
        <w:t xml:space="preserve"> por reformulación contable, adquisiciones excesivas o incumplimientos graves, y obligación de tener acciones por cinco veces el fijo [41]. Los 731 millones de JPY de Bob White incluyen ajustes fiscales por expatriación: unas 73 veces el salario medio de la matriz en Japón (estimación propia) [45].</w:t>
      </w:r>
    </w:p>
    <w:p>
      <w:pPr>
        <w:pStyle w:val="Heading2"/>
      </w:pPr>
      <w:r>
        <w:t xml:space="preserve">Operaciones vinculadas, estructura de control y defensas</w:t>
      </w:r>
    </w:p>
    <w:p>
      <w:pPr>
        <w:spacing w:after="100"/>
      </w:pPr>
      <w:r>
        <w:t xml:space="preserve">No hay accionista de control ni sociedad matriz: el capital está repartido entre custodios e inversores institucionales, con más del 30 % en manos extranjeras [40]. Una sola clase de acciones, un voto por acción y </w:t>
      </w:r>
      <w:r>
        <w:rPr>
          <w:b/>
        </w:rPr>
        <w:t xml:space="preserve">sin medidas antiopa</w:t>
      </w:r>
      <w:r>
        <w:t xml:space="preserve"> [40]. Es una «Company with Nominating Committee, etc.»: el consejo tiene 10 miembros, 9 de ellos externos e independientes; lo preside un independiente, y las tres comisiones legales están formadas solo por independientes [40, 46]. Los consejeros se eligen cada año [40]. La propia empresa no declara intereses especiales con los candidatos [41]. Un matiz: David Hale es codirector general de ValueAct, que conserva acciones; la empresa lo califica de independiente porque la participación no es significativa [40, 41]. Las participaciones cruzadas se limitan a siete valores por 2.600 millones de JPY [40].</w:t>
      </w:r>
    </w:p>
    <w:p>
      <w:pPr>
        <w:pStyle w:val="Heading2"/>
      </w:pPr>
      <w:r>
        <w:t xml:space="preserve">Señales de alerta</w:t>
      </w:r>
    </w:p>
    <w:p>
      <w:pPr>
        <w:pStyle w:val="ListParagraph"/>
        <w:numPr>
          <w:ilvl w:val="0"/>
          <w:numId w:val="2"/>
        </w:numPr>
        <w:spacing w:after="60"/>
      </w:pPr>
      <w:r>
        <w:t xml:space="preserve">Rotación de la cúpula: Stefan Kaufmann dimitió como consejero delegado el 28 de octubre de 2024 a petición del consejo, que concluyó por unanimidad que probablemente había incumplido el código de conducta, tras una investigación interna por la supuesta compra de drogas ilegales; Yasuo Takeuchi asumió el cargo de forma interina y Bob White llegó en junio de 2025 [48, 55]. La tabla de remuneraciones de FY2026 deja fuera un reembolso de 550 millones de JPY por los costes de ajuste fiscal de ese consejero delegado [41].</w:t>
      </w:r>
    </w:p>
    <w:p>
      <w:pPr>
        <w:pStyle w:val="ListParagraph"/>
        <w:numPr>
          <w:ilvl w:val="0"/>
          <w:numId w:val="2"/>
        </w:numPr>
        <w:spacing w:after="60"/>
      </w:pPr>
      <w:r>
        <w:t xml:space="preserve">Rotación del equipo: salieron el 31 de marzo de 2026 el presidente ejecutivo, el director financiero, el de fabricación, el de recursos humanos y el responsable del negocio gastrointestinal; el director de calidad se cambió en agosto de 2026 [41, 47].</w:t>
      </w:r>
    </w:p>
    <w:p>
      <w:pPr>
        <w:pStyle w:val="ListParagraph"/>
        <w:numPr>
          <w:ilvl w:val="0"/>
          <w:numId w:val="2"/>
        </w:numPr>
        <w:spacing w:after="60"/>
      </w:pPr>
      <w:r>
        <w:t xml:space="preserve">Regulación: la FDA publicó el 24 de junio de 2025 alertas de importación para broncoscopios, laparoscopios, ureterorrenoscopios y reprocesadores fabricados en Aizu, y sus inspecciones de finales de 2025 en ocho plantas dejaron observaciones [41]. El impacto neto en FY2026 fue de unos 30.000 millones de JPY [10]. El 7-oct-2026 la FDA envió una carta de advertencia a seis plantas (las tres japonesas de endoscopios, Hamburgo y Brooklyn Park) por respuestas insuficientes a esas inspecciones; Olympus responderá en 15 días hábiles y dice que no limita producción ni ventas [38].</w:t>
      </w:r>
    </w:p>
    <w:p>
      <w:pPr>
        <w:pStyle w:val="ListParagraph"/>
        <w:numPr>
          <w:ilvl w:val="0"/>
          <w:numId w:val="2"/>
        </w:numPr>
        <w:spacing w:after="60"/>
      </w:pPr>
      <w:r>
        <w:t xml:space="preserve">El presidente del consejo Sumitaka Fujita fue reelegido en junio de 2024 con solo un 70,27 % a favor (2.996.483 votos en contra), la votación más baja de las tres últimas juntas [44]; tenía 81 años, llevaba 12 como consejero externo y presidía el consejo desde junio de 2018, y la empresa no explicó el rechazo [58]. El consejero delegado obtuvo el 96,87 % en 2024 (Kaufmann), el 98,47 % en 2025 y el 97,34 % en 2026 (White), y el presidente Iwasaki el 95,85 % y el 91,63 % [42, 43, 44].</w:t>
      </w:r>
    </w:p>
    <w:p>
      <w:pPr>
        <w:pStyle w:val="ListParagraph"/>
        <w:numPr>
          <w:ilvl w:val="0"/>
          <w:numId w:val="2"/>
        </w:numPr>
        <w:spacing w:after="60"/>
      </w:pPr>
      <w:r>
        <w:t xml:space="preserve">Historia: en 2011 la empresa admitió haber ocultado unos 1.500 millones de USD de pérdidas durante casi dos décadas, después de despedir al consejero delegado Michael Woodford por denunciarlo; el presidente Tsuyoshi Kikukawa dimitió y la empresa tuvo que reformular sus cuentas para evitar la exclusión de cotización [57]. El consejo actual, con mayoría independiente y la estructura de tres comisiones legales desde junio de 2019, es la respuesta a aquella crisis [40, 58].</w:t>
      </w:r>
    </w:p>
    <w:p>
      <w:pPr>
        <w:pStyle w:val="ListParagraph"/>
        <w:numPr>
          <w:ilvl w:val="0"/>
          <w:numId w:val="2"/>
        </w:numPr>
        <w:spacing w:after="60"/>
      </w:pPr>
      <w:r>
        <w:t xml:space="preserve">Consejo: el consejero independiente Hiroshi Ishino, reelegido con el 88,21 % en junio de 2026, dimitió por motivos de salud el 29 de septiembre de 2026; el consejo pasa de 11 a 10 miembros [42, 46].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el ejercicio 2027 (abril de 2026 a marzo de 2027) Olympus prevé ingresos de 1.055.000-1.076.000 M JPY (+4,4 % a +6,5 %), beneficio operativo de 136.500-155.500 M JPY, beneficio operativo ajustado (sin otros ingresos y gastos) de 160.500-179.500 M JPY, beneficio atribuido de 95.500-109.000 M JPY y BPA de 89,59-102,26 JPY, con 155 JPY/USD y 181 JPY/EUR [11, 49]. La guía se publicó el 12 de mayo de 2026 y se mantuvo sin cambios en los resultados del primer trimestre, el 7 de agosto [11]. En la presentación del primer trimestre la empresa da además un BPA ajustado de 106-119 JPY, frente a 92 JPY en el ejercicio 2026 [9]. La mejora descansa en la desaparición gradual de los efectos puntuales de 2026, la eficiencia del nuevo modelo operativo y la contención de costes [49].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1.082.210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19-oct-2026 (sin cambios desde el 9-oct)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1.122.825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19-oct-2026 (sin cambios desde el 9-oct)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1.166.751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186.535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14 analistas, 19-oct-2026 (sin cambios desde el 9-oct) [61]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1.071.317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1.082.210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217.778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1.114.169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1.122.825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1.164.307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1.166.751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258.476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9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2.123,08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1.800,00 – 3.300,00</w:t>
            </w:r>
          </w:p>
        </w:tc>
      </w:tr>
    </w:tbl>
    <w:p>
      <w:pPr>
        <w:spacing w:after="160" w:before="0"/>
      </w:pPr>
    </w:p>
    <w:p>
      <w:pPr>
        <w:pStyle w:val="Heading2"/>
      </w:pPr>
      <w:r>
        <w:t xml:space="preserve">Revisiones de estimaciones</w:t>
      </w:r>
    </w:p>
    <w:p>
      <w:pPr>
        <w:spacing w:after="100"/>
      </w:pPr>
      <w:r>
        <w:t xml:space="preserve">No hay series gratuitas de revisiones con cifras: MarketScreener solo las muestra en gráficos [62] e Investing.com no publica la evolución de las estimaciones [63]. Lo verificable a 19-oct-2026: las estimaciones de BPA (98,04, 113,90 y 124,80 JPY para FY2027-FY2029) no se han movido desde el 9-oct, pese a la carta de advertencia de la FDA del 13-oct [38, 61]; lo que sí ha cambiado es el precio objetivo medio, de 2.184,62 a 2.123,08 JPY, y el reparto de recomendaciones, de 5/8/1 a 4/9/1 (comprar/mantener/vender), por la rebaja de Nomura del 15-oct de Comprar a Neutral, con objetivo de 2.700 a 1.900 JPY [62, 63, 84]. Jefferies mantenía Comprar con 3.300 JPY desde el 27-ago, pero calificó la carta de «decepcionante» y los problemas de calidad de sistémicos [39, 62]. El BPA del ejercicio 2027 del consenso (98,04 JPY) queda en la mitad alta de la guía (89,59-102,26 JPY) [11, 61].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Olympus ha rentado un −7,0 % anual en cinco años frente al +17,7 % del TOPIX y el −2,9 % del ETF de tecnología médica de EE. UU. (IHI) [60]: el castigo es de la empresa y, en parte, del sector, pero en Tokio el diferencial es de casi 25 puntos al año. La caída máxima, del 57,7 %, va del 12-sep-2022 al 13-mar-2026 (mínimo de 52 semanas, 1.302,5 JPY) [60], con las cartas de advertencia de 2022-2023, la alerta de importación de junio de 2025 y los aranceles. Desde marzo subió hasta 2.210,5 JPY el 20-ago, tras un primer trimestre con ventas +16,4 % [11], y en octubre devolvió buena parte: −13,5 % el 14-oct por la nueva carta de la FDA, la mayor caída diaria desde 2011 [38, 39], hasta 1.685 JPY el 19-oct. La beta mensual de cinco años frente al TOPIX (0,57) es baja, pero la volatilidad de un año (44,4 %) es la de un valor con riesgo propio, no la de un defensivo [60].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 / -4,8 % / +6,4 % / -8,6 %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-22,7 % / +29,0 %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cierre de septiembre (2.014,5 JPY) al 19-oct (1.685): carta de advertencia de la FDA del 7-oct a seis plantas, publicada el 13-oct tras el cierre, −13,5 % el 14-oct con 13,4 M de acciones (tres veces el volumen medio), y rebaja de Nomura de Comprar a Neutral (objetivo 2.700 → 1.900 JPY) el 15-oct [38, 39, 60, 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 (7-ago): ventas +16,4 % y beneficio operativo ajustado de 30.676 M, más del doble; Jefferies sube el objetivo de 2.300 a 3.300 JPY el 27-ago [11, 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guía de recuperación de FY2027 (12-may) y recompra de 60.000 M JPY por ToSTNeT-3 el 13-may [10, 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la guía de beneficio operativo de FY2026 por las retenciones de la FDA y los aranceles en los resultados del 3T (13-feb): −5,2 % el 13-feb y −12,9 % el 16-feb [13, 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los resultados del 2T FY2026 (7-nov-2025) [14, 60]; no hay otro hecho relevante publicado ese mes.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Nomura rebaja Olympus de Comprar a Neutral y el objetivo de 2.700 a 1.900 JPY; el objetivo medio de 14 analistas baja de 2.184,62 a 2.123,08 JPY (4 comprar, 9 mantener, 1 vender) [62, 63, 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Carta de advertencia de la FDA (7-oct) a Olympus Medical Systems (Hachioji e Hinode), Aomori, Shirakawa, Olympus Winter &amp; Ibe (Hamburgo) y Gyrus ACMI (Brooklyn Park): respuestas insuficientes a los formularios 483 de finales de 2025. No limita producción ni ventas ni las solicitudes 510(k); respuesta en 15 días hábiles (hacia el 4-nov); sin impacto previsto en resultados. Jefferies: los problemas son sistémicos y su resolución llevará años [38, 39, 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recogemos en el bajista (30 %) y en el margen; pasaría a «descarta» si la FDA anuncia un decreto de consentimiento, nuevas alertas de importación o una restricción de ventas.</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colocaciones ni accionistas de control: el último informe mensual de recompra en EDINET confirma que la de mayo (38.948.300 acciones, 59.999,85 M JPY) terminó; no hay recompra nueva en marcha [59, 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Dimisión por salud del consejero independiente Hiroshi Ishino; el consejo queda con 9 independientes de 10 [46]. Japón no tiene registro público de operaciones de directivos.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demandas en EE. UU. por infecciones tras CPRE con duodenoscopios reutilizables (julio y septiembre) y retiradas de agujas de endoscopia (enero) y de ShockPulse (marzo) [90].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BioProtect (espaciador de balón para radioterapia de próstata) por unos 270 M USD, cerrada el 2-jun [12,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 FY2027 (abril-septiembre) el 10-nov-2026 [85].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cae un 16,4 % desde el cierre de septiembre por un hecho regulatorio concreto (la carta de la FDA del 7-oct) y una rebaja de Nomura, no por un deterioro de ventas: el 1T creció un 16,4 % y la guía sigue en pie. La carta no es un hecho pendiente con fecha que pueda mover más de un 5 % en contra por sí solo: su efecto ya está en el precio (−13,5 % en un día) y el informe la recoge en el margen y en la probabilidad del bajista. Los resultados del 10-nov no retrasan (regla 11). El veredicto global es «no cambia»; pasaría a «descarta» con un decreto de consentimiento o una restricción de ventas. Tendencia lateral (5,3 % por debajo de la media de 200 sesiones), sin avisos P1-P5 [60].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Se excluye el ejercicio 2024: su beneficio atribuido incluye la plusvalía de la venta de Evident (transferida el 3 de abril de 2023 por 427.674 M JPY, con una ganancia prevista de 347.900 M JPY antes de impuestos) y su EBIT recoge los costes de la rescisión de Taewoong Medical, así que ni el PER ni el EV/EBITDA de ese año miden el negocio [3, 4]. El ejercicio 2026 también está deprimido, aunque se mantiene: unos 4.400 M JPY de gastos de Swan EndoSurgical, 14.100 M JPY de reestructuración y 3.400 M JPY más de deterioros de activos de desarrollo [1]. El precio de cierre ha caído de 2.339 JPY en marzo de 2022 a 1.488,5 JPY en marzo de 2026 [60]: la desvalorización viene del precio y no solo de los beneficios.</w:t>
      </w:r>
    </w:p>
    <w:p>
      <w:pPr>
        <w:pStyle w:val="Heading1"/>
      </w:pPr>
      <w:r>
        <w:t xml:space="preserve">18. Comparables cotizados</w:t>
      </w:r>
    </w:p>
    <w:p>
      <w:pPr>
        <w:pStyle w:val="Confianza"/>
        <w:spacing w:after="100"/>
      </w:pPr>
      <w:r>
        <w:t xml:space="preserve">Confianza: Media</w:t>
      </w:r>
    </w:p>
    <w:p>
      <w:pPr>
        <w:spacing w:after="100"/>
      </w:pPr>
      <w:r>
        <w:t xml:space="preserve">Fabricantes de tecnología médica con equipos de capital y consumibles para hospitales. Hoya (endoscopios Pentax), Fujifilm (endoscopia, aunque es un conglomerado con solo una parte en salud) y Terumo son los competidores japoneses directos. Boston Scientific y Medtronic compiten en endoterapia, y Stryker en visualización quirúrgica. Intuitive Surgical es la referencia en cirugía robótica, pero su crecimiento y sus márgenes la sacan del grupo central. Sysmex y Smith &amp; Nephew completan el tamaño medio. Karl Storz, el rival más directo en endoscopia quirúrgica, no cotiza [66, 67, 68, 69, 70, 71, 72, 73, 74].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Olympus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1.790.852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8.546.405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Fujifilm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4.044.673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Terumo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3.488.485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Sysmex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1.128.255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10.033.594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19.011.887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17.852.675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 Surgical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23.452.448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Smith &amp; Nephew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1.875.691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10,6x / 14,5x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 / 12,2x / 16,4x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19,3x / 25,0x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1.044.564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3,4x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2.036,57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3.058,71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4.316,72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(9 comparables): múltiplo = 0,8 + 1,59 × crecimiento; R² = 0,75. Para el crecimiento esperado de la empresa (4,4 %), el múltiplo ajustado es 7,7x y el valor por acción, 1.428,54.</w:t>
      </w:r>
    </w:p>
    <w:p>
      <w:pPr>
        <w:spacing w:after="100"/>
      </w:pPr>
      <w:r>
        <w:t xml:space="preserve">Olympus cotiza a 8,9x EV/EBITDA a 12 meses vista y 15,8x PER, frente a medianas de 10,6x y 19,3x: un descuento del 16 % y el 18 % tras la caída de octubre, cuando el 9-oct estaba en la mediana. Parte del descuento está justificado: crece menos (5,8 % entre los últimos y los próximos 12 meses, frente al 5-9 % de la mayoría), su margen EBITDA del 17,5 % es el más bajo del grupo salvo Fujifilm y lleva un riesgo regulatorio abierto. Dos sesgos: el EBITDA y el BPA de las de EE. UU. y Reino Unido son ajustados, lo que abarata a los comparables; y Hoya (36 % de margen) e Intuitive (44 %) están en otra liga. Con los más parecidos por margen y crecimiento (Fujifilm, Terumo, Sysmex, Smith &amp; Nephew) el EV/EBITDA mediano baja a 9,1x, en línea con Olympus. Usamos la mediana del grupo completo (2.061,84 JPY) con un peso del 30 % [60, 66, 67, 68, 69, 70, 71, 72, 73, 74].</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Evident (negocio científico de Olympus)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Capital (K.K. BCJ-66)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427.674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transferencia sujeto a ajustes, sobre unos ingresos de 135.421 M JPY del ejercicio 2023; microscopía e inspección industrial, no tecnología médica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Cantel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STERIS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728.162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4.600 M USD sobre unos ingresos de unos 1.000 M USD y un EBIT ajustado de 134 M USD del ejercicio a julio de 2020; líder en reprocesamiento de endoscopios [75].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538.206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 USD por acción; valor empresa de unos 3.400 M USD sobre unos ingresos previstos de 366 M USD en 2023 (+34 %); neuromodulación urológica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Shockwave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2.073.678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13.100 M USD sobre unos ingresos de 730,2 M USD en 2023 (+49 %) y un EBITDA ajustado de 242,7 M USD; se excluye por su crecimiento [79,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Inari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Stryker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757.921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USD por acción, valor del capital de unos 4.900 M USD. El valor empresa es una estimación propia: resta 112 M USD de caja e inversiones a septiembre de 2024. Los ingresos son el punto medio de la guía de 2024 (601,5-604,5 M USD) [77, 78].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2.896.817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79 USD por acción (76 USD en efectivo y un derecho contingente de hasta 3 USD); valor empresa de hasta 18.300 M USD sobre unos ingresos de 4.100,5 M USD y un EBITDA ajustado de 1.339,7 M USD del ejercicio 2025 [81, 82].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BioProtect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270 M USD con hitos incluidos (43.380 M JPY pagados en caja) sobre unas ventas de 2.329 M JPY en 2025 y pérdidas operativas; se excluye por estar en fase inicial [11, 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4.267,58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4.129,98 – 7.550,21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Los compradores pagan por la tecnología médica de crecimiento alto entre 8 y 18 veces las ventas (Inari, Axonics, Shockwave) y por los negocios maduros entre 3 y 5 veces (Cantel, Evident, Hologic) [4, 75, 76, 77, 78, 79, 80, 81, 82]. Hologic es la única referencia reciente de capital privado sobre una cotizada grande de tecnología médica: 13,7 veces el EBITDA ajustado, con una prima del 46 % [81, 82]. Olympus se parece más a este segundo grupo, por crecimiento (+4 % a +6 % guiado) y por tamaño. Con un valor empresa cercano a 2,4 billones de yenes, un 95 % de capital flotante y un consejo de 10 miembros, 9 de ellos externos [46, 83], no tiene accionista de control que facilite una operación. La compra de Taewoong Medical, firmada en febrero de 2023, se rescindió en marzo de 2024 y no se incluye [3].</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crece un 6,0 %, dentro de la guía (4,4 %-6,5 %, con 155 JPY/USD) y por debajo del consenso (7,1 %), porque el primer trimestre creció un 16,4 % con el yen débil y solo un 5 % a tipo constante [9, 11, 61]. FY2028e-FY2030e: 4,0-4,5 %, entre el consenso (3,8 % y 3,9 %) y la aspiración de la empresa a tipo constante (3 %, 4 % y 5 % en FY2027-FY2029) [10, 61]; la vuelta de los productos retenidos y la renovación con EVIS X1 lo sostienen, China lo frena. La carta de la FDA del 7-oct no limita producción ni ventas ni las solicitudes 510(k) [38], así que no tocamos las ventas. Después converge al 2,0 % en FY2036e. El crecimiento medio (3,7 %) queda por encima del 3,4 % del mercado de endoscopios GI [37] y por debajo del 7,7 % anual de FY2022-FY2026, que llevaba dentro el efecto del yen.</w:t>
      </w:r>
    </w:p>
    <w:p>
      <w:pPr>
        <w:keepNext/>
        <w:spacing w:after="100"/>
      </w:pPr>
      <w:r>
        <w:rPr>
          <w:b/>
          <w:bCs/>
        </w:rPr>
        <w:t xml:space="preserve">Márgenes.</w:t>
      </w:r>
    </w:p>
    <w:p>
      <w:pPr>
        <w:spacing w:after="100"/>
      </w:pPr>
      <w:r>
        <w:t xml:space="preserve">Margen EBITDA (sin participadas ni partidas puntuales, con los gastos de calidad y reestructuración dentro) del 20,4 % en FY2027e: la guía de beneficio operativo (136.500-155.500 M, con 31.500 M de otros gastos) más 68.000 M de amortizaciones da un 20,1 % en el punto medio, y en torno al 20,5 % sin las pérdidas de Swan EndoSurgical [10, 11]. Sube al 21,5 % en FY2028e y al 22,2 % en FY2029e (el 9-oct, 21,8 % y 22,6 %): retrasamos medio año la mejora porque la carta de la FDA a seis plantas alarga la remediación, y Olympus ya gastó unos 80.000 M en calidad tras las cartas de 2022-2023 [18, 88]. Desde FY2030e se queda en el 22,7 % de FY2025, el último ejercicio limpio (límite de la prueba de sostenibilidad). Es inferior al 26,3 % de FY2023 por los aranceles de EE. UU. (unos 18.000 M netos al año) y la presión de precios en China [10, 13]. El consenso, sin revisar desde el 9-oct, da un 20,1 %, 21,7 % y 22,3 % en FY2027e-FY2029e [61].</w:t>
      </w:r>
    </w:p>
    <w:p>
      <w:pPr>
        <w:keepNext/>
        <w:spacing w:after="100"/>
      </w:pPr>
      <w:r>
        <w:rPr>
          <w:b/>
          <w:bCs/>
        </w:rPr>
        <w:t xml:space="preserve">Inversión y circulante.</w:t>
      </w:r>
    </w:p>
    <w:p>
      <w:pPr>
        <w:spacing w:after="100"/>
      </w:pPr>
      <w:r>
        <w:t xml:space="preserve">Inversión del 8,9 % de las ventas en FY2027e: es la guía de la empresa (95.000 M, con 13.000 M de altas de derechos de uso y 25.000 M de desarrollo capitalizado) [10]. Baja al 7,2 % en FY2036e, siempre por encima de la amortización (6,4-6,6 %), que incluye la de los derechos de uso: con NIIF 16 los arrendamientos están en la deuda del puente y su renovación se paga en el capex. En FY2022-FY2026 el capex del estado de flujos fue del 6,5 % al 8,2 % de las ventas, más un 2 % de pagos de arrendamientos. El circulante se mantiene en el 35 % de las ventas, la media de FY2022-FY2026 (31-38 %). Tipo impositivo del 28 %: el efectivo fue del 25,9 % en FY2025 y del 27,5 % en FY2026, y el legal japonés ronda el 30 %.</w:t>
      </w:r>
    </w:p>
    <w:p>
      <w:pPr>
        <w:keepNext/>
        <w:spacing w:after="100"/>
      </w:pPr>
      <w:r>
        <w:rPr>
          <w:b/>
          <w:bCs/>
        </w:rPr>
        <w:t xml:space="preserve">Coste del capital.</w:t>
      </w:r>
    </w:p>
    <w:p>
      <w:pPr>
        <w:spacing w:after="100"/>
      </w:pPr>
      <w:r>
        <w:t xml:space="preserve">Todo en JPY. Tasa libre: bono japonés a 10 años al 2,958 % el 16-oct-2026 (Ministerio de Finanzas; último dato publicado; el 8-oct estaba al 3,089 %) [64]. </w:t>
      </w:r>
      <w:r>
        <w:rPr>
          <w:b/>
        </w:rPr>
        <w:t xml:space="preserve">Beta de 0,99</w:t>
      </w:r>
      <w:r>
        <w:t xml:space="preserve">: media de la propia semanal de cinco años frente al TOPIX, ajustada de Blume (0,89), y la sectorial de Damodaran para productos sanitarios en Japón, 0,96 desapalancada y reapalancada con la deuda de Olympus (1,08) [60, 96]. La mensual frente al TOPIX (0,57 hoy) está deprimida por caídas propias de la FDA que no se mueven con el mercado [60]. Prima madura de 4,23 % y </w:t>
      </w:r>
      <w:r>
        <w:rPr>
          <w:b/>
        </w:rPr>
        <w:t xml:space="preserve">prima país de 0,75 %</w:t>
      </w:r>
      <w:r>
        <w:t xml:space="preserve">: la de Damodaran ponderada por dónde vende Olympus (Japón 10,3 % × 0,91; Norteamérica 40,1 % × 0,23; Europa 27,8 % × 1,04; China 8,2 % × 0,91; Asia-Pacífico 10,2 % × 1,49; otros 3,4 % × 1,40) [1, 95]. Coste de los fondos propios 7,90 %. Deuda al 3,3 % antes de impuestos (bono más el diferencial de un BBB+) y peso del 18 % a valor de mercado (385.201 M de deuda y arrendamientos frente a 1.790.852 M de capitalización). WACC: 6,90 %.</w:t>
      </w:r>
    </w:p>
    <w:p>
      <w:pPr>
        <w:keepNext/>
        <w:spacing w:after="100"/>
      </w:pPr>
      <w:r>
        <w:rPr>
          <w:b/>
          <w:bCs/>
        </w:rPr>
        <w:t xml:space="preserve">Valor terminal.</w:t>
      </w:r>
    </w:p>
    <w:p>
      <w:pPr>
        <w:spacing w:after="100"/>
      </w:pPr>
      <w:r>
        <w:t xml:space="preserve">Gordon con un crecimiento del 2,0 % en JPY: entre la inflación esperada en Japón (en torno al 2 %) y la tasa libre menos medio punto (2,46 %). El valor terminal pesa un 68 % del valor empresa. El múltiplo de salida de contraste es 10,5x EBITDA, en línea con la mediana de los comparables a 12 meses vista (10,6x) [61]; el Gordon implica 9,4x, más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1.382.670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1.445.581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81.986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3.099.805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3.445.543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1.649.913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2.426.898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2.157.573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2.030,05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1.881,41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2.510,44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2.660,49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322.304 M (22 %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(ROIC 7,9 %)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frente al 3,6 %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 parte: el capital nuevo tendría que rendir más de 1,25 veces el histórico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 (histórico: -19,2 %)</w:t>
            </w:r>
          </w:p>
        </w:tc>
      </w:tr>
    </w:tbl>
    <w:p>
      <w:pPr>
        <w:spacing w:after="160" w:before="0"/>
      </w:pPr>
    </w:p>
    <w:p>
      <w:pPr>
        <w:spacing w:after="100"/>
      </w:pPr>
      <w:r>
        <w:t xml:space="preserve">La proyección reinvierte el 22 % del NOPAT. Con el ROIC del último ejercicio (7,9 %), eso financia un crecimiento del 1,8 % anual, frente al 3,6 % de ingresos proyectado. Supone que el capital nuevo rinde un 30,9 %, frente a un ROIC incremental histórico del -19,2 %.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aspiración de la empresa a tipo constante es del 3 % en FY2027 [10]; el resto es divisa: la guía (+4,4 % a +6,5 %) usa 155 JPY/USD y el 1T creció un 16,4 % publicado frente a un 5 % a tipo constante [9, 11]. Reparto entre volumen (vuelta de los productos retenidos, EVIS X1) y precio (China a la baja), estimación propia. La carta de la FDA del 7-oct no limita ventas [38].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Aspiración del 4 % a tipo constante [10]: renovación de la base instalada con EVIS X1 [18]; precio positivo fuera de China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Aspiración del 5 % a tipo constante [10]; dejamos un 4,5 % por la presión de la compra centralizada en China [14] y por si la remediación de la FDA retrasa lanzamientos.</w:t>
            </w:r>
          </w:p>
        </w:tc>
      </w:tr>
    </w:tbl>
    <w:p>
      <w:pPr>
        <w:spacing w:after="160" w:before="0"/>
      </w:pPr>
    </w:p>
    <w:p>
      <w:pPr>
        <w:spacing w:after="100"/>
      </w:pPr>
      <w:r>
        <w:t xml:space="preserve">En parte. El foso sostiene el crecimiento: en torno al 70 % de los endoscopios GI del mundo, con costes de cambio altos (procesador, endoscopios, reprocesado y servicio forman un sistema) [18], y un 3,7 % anual de media, apenas por encima del 3,4 % del mercado [37], así que la cuota casi no se mueve (prueba a mano: la cuota publicada es de un segmento y el mercado final va en blanco). Con el ROIC de FY2025 (15,1 %), la reinversión financia un 3,3 % anual y el precio aporta el resto; con el de FY2026 (7,9 %), solo un 1,7 %: el crecimiento depende de que el margen vuelva. La carta de la FDA del 7-oct a seis plantas añade riesgo a esa vuelta [38]: por eso el margen final se queda en el 22,7 % de FY2025 y la subida se retrasa medio año.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 (base: 22,7 %)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 (WACC: 6,9 %)</w:t>
            </w:r>
          </w:p>
        </w:tc>
      </w:tr>
    </w:tbl>
    <w:p>
      <w:pPr>
        <w:spacing w:after="160" w:before="0"/>
      </w:pPr>
    </w:p>
    <w:p>
      <w:pPr>
        <w:spacing w:after="100"/>
      </w:pPr>
      <w:r>
        <w:rPr>
          <w:b/>
        </w:rPr>
        <w:t xml:space="preserve">El DCF da 2.030,05 JPY por acción, un 20,5 % por encima del precio</w:t>
      </w:r>
      <w:r>
        <w:t xml:space="preserve">, con un WACC del 6,90 % y un valor terminal que pesa el 68 %. El 9-oct daba 1.905,08 JPY (v2): sube 125 JPY por la tasa libre más baja y el mayor peso de la deuda, que bajan el WACC desde el 7,18 %, y pese a retrasar medio año la mejora del margen. </w:t>
      </w:r>
      <w:r>
        <w:rPr>
          <w:b/>
        </w:rPr>
        <w:t xml:space="preserve">Lo importante es el DCF inverso: el precio de 1.685 JPY descuenta un crecimiento anual del 0,4 % en FY2027e-FY2036e</w:t>
      </w:r>
      <w:r>
        <w:t xml:space="preserve"> (nuestra base, 3,7 %; el mercado de endoscopios GI, 3,4 %) o, con nuestro crecimiento, un margen EBITDA estable del 20,7 % (base 22,7 %); la rentabilidad implícita es del 7,7 %, 0,8 puntos por encima del WACC. Tras la carta de la FDA el mercado ya no paga la recuperación: paga un Olympus que se queda cerca de los márgenes de FY2027e. Es una exigencia baja, pero la dirección incumplió la guía de beneficio en FY2024, FY2025 y FY2026 y la FDA decide sola. Sensibilidades: un punto menos de margen en todos los años lleva el valor a 1.861,61 JPY; medio punto más de WACC, a 1.809,42; un punto menos de crecimiento, a 1.919,17.</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1.257,43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no da por buena la respuesta a la carta del 7-oct: la convierte en un decreto de consentimiento (como el de Philips Respironics) o amplía las alertas de importación a otras plantas japonesas, y China sigue cambiando endoscopios de Olympus por locales. El margen EBITDA se queda en el 17-20 % (FY2026 fue del 15,9 %), el crecimiento en un 2,2 % anual y el mercado exige medio punto más de rentabilidad.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2.030,05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responde a la FDA en noviembre y la remediación dura hasta FY2028 sin restricciones de venta; los productos retenidos vuelven en el segundo semestre de FY2027, el programa de plantilla da sus 24.000 M de ahorro y el margen EBITDA sube del 20,4 % al 22,7 % en FY2030e, medio año más tarde de lo previsto el 9-oct. Las ventas crecen un 3,7 % anual de media, algo más que el mercado.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2.510,44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FDA acepta la respuesta y levanta la alerta de Aizu en 2027, la endoscopia quirúrgica deja de restar y EVIS X1 y los desechables aceleran la renovación; el margen EBITDA llega al 24,7 %, cerca del nivel previo a la crisis de calidad. El crecimiento medio sube al 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JPY) · precio actual 1.68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1.894,34 JPY (+12,4 %).</w:t>
      </w:r>
    </w:p>
    <w:p>
      <w:pPr>
        <w:spacing w:after="100"/>
      </w:pPr>
      <w:r>
        <w:t xml:space="preserve">La asimetría ha cambiado de signo con la caída del precio: el alcista vale 2.510,44 JPY (+49,0 %) y el bajista 1.257,43 JPY (−25,4 %), una asimetría de 1,93x (el 9-oct era de 0,44x a 2.000 JPY). El bajista no es cosmético: el margen EBITDA de FY2026 ya fue del 15,9 % y el bajista solo supone que no pasa del 20 %. Tras la carta de la FDA le damos un 30 % de probabilidad (antes 25 %) y un 20 % al alcista; aun así el valor ponderado es de 1.894,34 JPY, un 12,4 % por encima del precio. Compensa a largo plazo, pero el bajista depende de una decisión de la FDA sin fecha.</w:t>
      </w:r>
    </w:p>
    <w:p>
      <w:pPr>
        <w:pStyle w:val="Heading1"/>
      </w:pPr>
      <w:r>
        <w:t xml:space="preserve">22. Suma de partes</w:t>
      </w:r>
    </w:p>
    <w:p>
      <w:pPr>
        <w:pStyle w:val="Confianza"/>
        <w:spacing w:after="100"/>
      </w:pPr>
      <w:r>
        <w:t xml:space="preserve">Confianza: Media</w:t>
      </w:r>
    </w:p>
    <w:p>
      <w:pPr>
        <w:spacing w:after="100"/>
      </w:pPr>
      <w:r>
        <w:t xml:space="preserve">No se hace. GIS y SIS tienen perfiles muy distintos (FY2026: margen operativo del 19,6 % en GIS y pérdidas de 14.986 M en SIS), pero la empresa no publica el EBITDA de cada segmento, SIS lleva el efecto puntual de las retenciones de la FDA y su endoscopia quirúrgica está en revisión estratégica sin conclusiones [10]. Una valoración por partes dependería de supuestos sobre el reparto de costes centrales (24.253 M en FY2026) que no podemos contrastar.</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JPY) · precio actual 1.68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1.693,42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2.012,45 JPY (+19,4 % sobre 1.685,00).</w:t>
      </w:r>
    </w:p>
    <w:p>
      <w:pPr>
        <w:spacing w:after="100"/>
      </w:pPr>
      <w:r>
        <w:t xml:space="preserve">El DCF pesa un 50 %: los flujos de Olympus son previsibles una vez limpios de la FDA y la proyección queda cerca del consenso (EBITDA de FY2029e un 0,7 % por debajo: 258.476 M frente a 260.290 M). Los comparables pesan un 30 % y dan 2.061,84 JPY (media de EV/EBITDA y PER a 12 meses vista: 10,6x y 19,3x de mediana, frente a 8,9x y 15,8x de Olympus), con un sesgo a la baja porque el EBITDA y el BPA de los de EE. UU. y Reino Unido son ajustados frente al NIIF de Olympus, y otro al alza por Hoya e Intuitive, con márgenes del 36 % y el 44 %. Los escenarios pesan un 20 % (1.894,34 JPY) para recoger la asimetría y la mayor probabilidad del bajista. Las transacciones no se usan: su mediana (4.267,58 JPY) mezcla compras de crecimiento alto con prima de control. La dispersión es baja (1.894-2.062 JPY) y todos los métodos quedan entre un 12 % y un 22 % por encima del precio: el valor objetivo es de 2.012,45 JPY.</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(15.9x) × 1.1 (tope: la mediana de 5 años, 20.7x,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2.857,03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+71,3 %</w:t>
            </w:r>
          </w:p>
        </w:tc>
      </w:tr>
    </w:tbl>
    <w:p>
      <w:pPr>
        <w:spacing w:after="160" w:before="0"/>
      </w:pPr>
    </w:p>
    <w:p>
      <w:pPr>
        <w:spacing w:after="100"/>
      </w:pPr>
      <w:r>
        <w:rPr>
          <w:b/>
          <w:bCs/>
        </w:rPr>
        <w:t xml:space="preserve">Objetivo a 12 meses (ponderado):</w:t>
      </w:r>
      <w:r>
        <w:t xml:space="preserve"> 1.968,08 JPY · rentabilidad +18,6 % (base +23,2 %) · señal Comprar.</w:t>
      </w:r>
    </w:p>
    <w:p>
      <w:pPr>
        <w:spacing w:after="100"/>
      </w:pPr>
      <w:r>
        <w:t xml:space="preserve">Para comparar, con la regla v2 (historia al cierre, mismo precio): 13,5x / 15,9x / 20,7x, 11,9 % Mantener; con el tope anterior del base (×1,3, 14-oct mediodía): 21,5 %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FY2029e (116,9 JPY) queda un 6,3 % por debajo del consenso (124,8 JPY, 14 analistas, sin cambios desde el 9-oct) por tres motivos: el resultado financiero tras la recompra con deuda (−6.500 M), las pérdidas de Swan EndoSurgical (−3.700 M) y medio año más de remediación de la FDA en el margen, que el consenso aún no ha incorporado. El precio base a 12 meses queda cerca del objetivo medio de los analistas (2.123,08 JPY, con recortes tras la carta: Nomura a 1.900). No acercamos la cifra.</w:t>
      </w:r>
    </w:p>
    <w:p>
      <w:pPr>
        <w:keepNext/>
        <w:spacing w:after="100"/>
      </w:pPr>
      <w:r>
        <w:rPr>
          <w:b/>
          <w:bCs/>
        </w:rPr>
        <w:t xml:space="preserve">Del valor intrínseco al objetivo a 12 meses.</w:t>
      </w:r>
    </w:p>
    <w:p>
      <w:pPr>
        <w:spacing w:after="100"/>
      </w:pPr>
      <w:r>
        <w:t xml:space="preserve">El valor intrínseco (2.012,45 JPY, +19,4 %) y el objetivo a 12 meses ponderado (1.968,08 JPY, +18,6 % con dividendo; base +23,2 %) están cerca: la distancia es menor del 25 % y la tesis es a 12 meses. Para que el precio vaya hacia el objetivo en un año hace falta que la respuesta a la FDA (hacia el 4-nov) no traiga restricciones y que los resultados del 2T (10-nov) y del 3T confirmen la guía y la vuelta de los productos retenidos: el BPA de FY2028e tiene que acercarse a 106 JPY. El PER base (17,5x) es el actual (15,9x) más el tope de ×1,1, por debajo de la mediana adelantada de 20,7x. Con la regla v2 la ponderada baja al 11,9 %, y con un BPA un 10 % peor la de v3 se queda en torno al 7 %: el objetivo depende de que el BPA se cumpla.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4-nov-2026 (15 días hábiles desde la recepción)</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Respuesta de Olympus a la carta de advertencia de la FDA del 7-oct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indicio de si la FDA acepta las medidas correctoras; un decreto de consentimiento o nuevas alertas llevarían al bajista [38].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 (abril-septiembre)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tras la carta: margen ajustado frente al 15,2-16,7 % guiado y vuelta de los productos retenidos [9, 85].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FY2027 (oct-2026 a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al mercado de la mayoría de los productos retenidos voluntariamente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parte de los 13.000 M de ventas trimestrales perdidas en SIS; si se retrasa, la guía no se cumple [9].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Reinspección de la FDA en Aizu y levantamiento de la alerta de importación 89-04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Devuelve a EE. UU. broncoscopios, ureteroscopios, laparoscopios y lavadoras; la alerta sigue en la versión de la FDA del 19-ago-2026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Conclusión de la revisión estratégica de la endoscopia quirúrgica (SIS)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venta o un cierre quitaría un negocio con pérdidas; un deterioro del fondo de comercio de SIS (179.576 M) restaría beneficio contable, no caja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FY2027, guía de FY2028 y posible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del objetivo de 100 puntos básicos de mejora anual del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FDA no acepta la respuesta a la carta del 7-oct: decreto de consentimiento, nuevas alertas de importación sobre las plantas japonesas o restricción de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en el escenario bajista (1.257,43 JPY); −8 % por cada punto de margen perdido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carta no limita producción, ventas ni solicitudes 510(k) y la empresa dice haber aplicado ya medidas correctoras sustanciales [38]; cambio del responsable de calidad en el verano de 2026 [47].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Publicación de la carta en la base de la FDA con observaciones de diseño o reclamaciones; anuncio de reinspección; cualquier mención a un decreto de consentimiento.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sustituye endoscopios importados por locales (compras centralizadas)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(China es el 8,2 % de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Gastroscopio fabricado en Suzhou registrado en agosto de 2025 [14,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China por debajo del −3 % interanual del 1T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que no recupera: aranceles de EE. UU. y costes de calidad permanentes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punto de margen EBITDA (1.861,61 JPY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plantilla con 24.000 M de ahorro anual en FY2028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del año por debajo del 15,2 % de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por infecciones con duodenoscopios y retiradas de producto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−3 % (provisiones)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de 2.400 M por retiradas y seguros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demandas colectivas o retiradas de clase I [90].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 recompras con deuda y compras fallidas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Una compra cara como Veran restaría un 3-5 %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A+ de R&amp;I y BBB+ de S&amp;P; deuda neta ajustada de 1,5x EBITDA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S&amp;P (perspectiva negativa) o nueva compra grande a múltiplos de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endoscopia GI: Fujifilm, Pentax y fabricantes chinos; desechables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el crecimiento baja un punto en todos los años (1.919,17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70 %, base instalada y servicio recurrente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concursos en EE. UU. o Europa aprovechando la carta de la FDA.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yen de apreciación resta al año 2.900 M de ventas y 500 M de beneficio operativo frente al dólar, y 1.700 M y 500 M frente al euro [10]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los costes está en dólares y euros.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JPY/USD por debajo de 140.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de la cúpula y credibilidad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Indirecto: prima de riesgo más alta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con 9 de 10 independientes [40].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otro alto directivo antes de mayo de 2027.</w:t>
            </w:r>
          </w:p>
        </w:tc>
      </w:tr>
    </w:tbl>
    <w:p>
      <w:pPr>
        <w:spacing w:after="160" w:before="0"/>
      </w:pPr>
    </w:p>
    <w:p>
      <w:pPr>
        <w:pStyle w:val="Heading2"/>
      </w:pPr>
      <w:r>
        <w:t xml:space="preserve">Pre-mortem</w:t>
      </w:r>
    </w:p>
    <w:p>
      <w:pPr>
        <w:spacing w:after="100"/>
      </w:pPr>
      <w:r>
        <w:t xml:space="preserve">Es octubre de 2029 y la acción vale 1.000 JPY. La respuesta de noviembre de 2026 a la carta de la FDA no convenció: en 2027 la FDA reinspeccionó Hachioji y Aomori, emitió nuevos formularios 483 y, en 2028, Olympus firmó un decreto de consentimiento que exigía certificar cada planta antes de exportar a EE. UU. (40 % de las ventas). Las retenciones voluntarias se alargaron a FY2029 y Fujifilm y Pentax ganaron concursos en hospitales estadounidenses. En China las compras centralizadas dieron el 40 % de los concursos a fabricantes locales. El margen ajustado se quedó en el 13-14 % y la dirección, por quinto año seguido, no cumplió la guía; S&amp;P la bajó a BBB tras las recompras con deuda, y el mercado pasó a pagar 8x EBITDA, como Fujifilm. Lo habría anticipado: que la FDA publicara la carta con observaciones de diseño y reclamaciones, que no anunciara reinspecciones en el primer semestre de 2027 y que el margen ajustado del 2T FY2027 quedara por debajo del 15 %.</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+3 % a −5 % a 3-5 años</w:t>
      </w:r>
    </w:p>
    <w:p>
      <w:pPr>
        <w:spacing w:after="100"/>
      </w:pPr>
      <w:r>
        <w:t xml:space="preserve">A favor: la detección asistida por IA en colonoscopia y gastroscopia (CADe/CADx) aumenta el valor de cada procesador y fideliza la base instalada; Olympus la integra en EVIS X1 y en su plataforma de nube, y sus millones de imágenes endoscópicas son un activo de datos difícil de copiar [18]. En contra: la IA rebaja la barrera de entrada de los fabricantes chinos y de los rivales de bajo coste (el valor se desplaza al software, que se puede licenciar sobre otro hardware), y los algoritmos de terceros pueden instalarse en endoscopios de la competencia. En costes, la IA puede automatizar tramitación de reclamaciones y documentación de calidad, justo el área de la carta de la FDA. Señal: cuota de los locales chinos y precio de los procesadores en los concursos; autorizaciones FDA de IA de la competencia.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(Dow Jones Sustainability World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Incluida en el índice DJSI World en FY2023, FY2024 y FY2025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(Dow Jones Sustainability Asia Pacific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FTSE Russell (FTSE4Good Index Series)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 Russell (FTSE Blossom Japan Index y Sector Relative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2025-07</w:t>
            </w:r>
          </w:p>
        </w:tc>
      </w:tr>
    </w:tbl>
    <w:p>
      <w:pPr>
        <w:spacing w:after="160" w:before="0"/>
      </w:pPr>
    </w:p>
    <w:p>
      <w:pPr>
        <w:pStyle w:val="Heading2"/>
      </w:pPr>
      <w:r>
        <w:t xml:space="preserve">Asuntos materiales</w:t>
      </w:r>
    </w:p>
    <w:p>
      <w:pPr>
        <w:spacing w:after="100"/>
      </w:pPr>
      <w:r>
        <w:rPr>
          <w:b/>
        </w:rPr>
        <w:t xml:space="preserve">Seguridad del paciente y calidad del producto</w:t>
      </w:r>
      <w:r>
        <w:t xml:space="preserve"> es el asunto que mueve las cifras: el proyecto Elevate prevé unos 80.000 M JPY de inversión entre FY2024 y FY2026 para cumplir los compromisos con la FDA [18] (solo en el 1T FY2026, 2.425 M JPY de gastos de calidad en tramitación de reclamaciones, notificación de incidentes y validación de procesos [11]), y las alertas de importación y retenciones voluntarias costaron unos 30.000 M JPY de ventas netas en FY2026 y 13.000 M JPY en el 1T FY2027 [9, 10]. El segundo es el </w:t>
      </w:r>
      <w:r>
        <w:rPr>
          <w:b/>
        </w:rPr>
        <w:t xml:space="preserve">riesgo de infección del reprocesado</w:t>
      </w:r>
      <w:r>
        <w:t xml:space="preserve"> de endoscopios reutilizables, origen de las sanciones por duodenoscopios y del empuje del desechable [26, 32]. El tercero es la </w:t>
      </w:r>
      <w:r>
        <w:rPr>
          <w:b/>
        </w:rPr>
        <w:t xml:space="preserve">ética comercial</w:t>
      </w:r>
      <w:r>
        <w:t xml:space="preserve">: el acuerdo de 2016 con el Departamento de Justicia por pagos a médicos y la campaña anticorrupción en hospitales chinos desde 2023 [18, 25]. La remuneración variable de los directivos incluye la inclusión en el DJSI como indicador [18].</w:t>
      </w:r>
    </w:p>
    <w:p>
      <w:pPr>
        <w:pStyle w:val="Heading2"/>
      </w:pPr>
      <w:r>
        <w:t xml:space="preserve">Controversias</w:t>
      </w:r>
    </w:p>
    <w:p>
      <w:pPr>
        <w:spacing w:after="100"/>
      </w:pPr>
      <w:r>
        <w:t xml:space="preserve">Cartas de advertencia de la FDA a Aizu (2-nov-2022), Hachioji (12-dic-2022) e Hinode (15-mar-2023) [21, 22, 23]; alerta de importación 89-04 sobre productos de Aizu desde el 24-jun-2025, vigente en la versión del 19-ago-2026 [19, 20]; inspecciones de ocho plantas a finales de 2025, retenciones voluntarias y una provisión de 2.400 M JPY por la retirada de ciertos dispositivos quirúrgicos [13]. No consta un decreto de consentimiento. Antes: culpabilidad en 2018 por no notificar infecciones de duodenoscopios (80 M USD de multa y 5 M USD de decomiso) [26] y acuerdo de enjuiciamiento diferido de 2016 por sobornos a médicos y hospitales (612 M USD más intereses en la parte estadounidense) [25]. El 7-oct-2026 la FDA envió una nueva carta de advertencia a seis plantas de Japón, Alemania y EE. UU. sobre el sistema de gestión de calidad [38].</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observaciones concretas recoge la carta del 7-oct (diseño, reclamaciones, acciones correctoras) y qué calendario de reinspección espera? ¿Ha planteado la FDA un decreto de consentimiento?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base del bajista (−25 %).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productos siguen retenidos a 30 de septiembre y cambia la carta la fecha de su vuelta?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supone su vuelta en el segundo semestre.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31.500 M de otros gastos guiados para FY2027 es el programa de plantilla y cuánto gasto de calidad añade la nueva carta?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otros gastos se repiten cada año (57.535 M en FY2026); el margen del DCF los incluye.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opciones contempla la revisión estratégica de la endoscopia quirúrgica y cuál es su margen sin las retenciones?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 perdió 14.986 M en FY2026 y su fondo de comercio (179.576 M) es el asunto clave de la auditoría.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efecto bruto de los aranceles de EE. UU. se puede trasladar a precios o mitigar con producción local en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casi 2 puntos de margen entre FY2023 y el estado estacionario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las compras centralizadas de endoscopios ha ganado o perdido en 2026 y con qué descuento?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8,2 % de las ventas y los locales ya tienen el 20-30 % de su mercado.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¿Mantendrá recompras con deuda con S&amp;P en perspectiva negativa y la remediación por delante?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deuda neta pasó de 51.538 M a 200.347 M en un trimestre por la recompra de mayo.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Yahoo!ファイナンス, foro de 7733 (オリンパス)</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72 mensajes del 15 al 20 de octubre, casi todos sobre la carta de advertencia de la FDA: dudas sobre la calidad y sobre la respuesta de relación con inversores, críticas a la remuneración de la cúpula y al programa de bajas voluntarias, y recuerdos del escándalo de 2011; una minoría ve la caída como ocasión de compra. La encuesta del foro marca en torno a un 69 % «vender» frente a un 19 % «comprar» [91].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OCPNY (ADR sin patrocinar)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mensajes desde 2015: la acción no tiene seguimiento de particulares en EE. UU. No cuenta como debate [92].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comentarios de 7733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página de comentarios está vacía; solo muestra la cotización. No cuenta como debate [93].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Kabutan (株探), noticias de 7733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comentarios de lectores; sus notas del 14-oct (Fisco y Minkabu Press) atribuyen la caída a que Olympus ya invirtió unos 80.000 M JPY en calidad tras las cartas de 2022-2023 y aun así recibe otra [88].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carta de la FDA demuestra que la calidad no está resuelta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base: es la cuarta carta en cuatro años y cubre seis plantas, incluidas las tres que fabrican endoscopios en Japón; pero no limita producción ni ventas y la empresa no prevé impacto en resultados [38]. El informe lo recoge en el bajista (30 %) y en el retraso del margen.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Cúpula y remuneración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tres cambios de primer ejecutivo en 24 meses y casi todo el equipo es nuevo; la remuneración se vota en la junta del país y no hay voto consultivo [40, 41]. Gobierno con mayoría independiente: la crítica exagera el riesgo de control, no el de ejecución.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 de plantilla y litigio laboral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programa de plantilla costó 26.872 M en FY2026 y debe ahorrar 24.000 M al año [9, 10]; el litigio que citan los foros no consta en los documentos de la empresa: no se usa.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Ocasión de compra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rentabilidad a 12 meses del informe es positiva, pero no pasa la compra robusta (BPA −10 %, v2, sostenibilidad y ROIC − WACC).</w:t>
            </w:r>
          </w:p>
        </w:tc>
      </w:tr>
    </w:tbl>
    <w:p>
      <w:pPr>
        <w:spacing w:after="160" w:before="0"/>
      </w:pPr>
    </w:p>
    <w:p>
      <w:pPr>
        <w:spacing w:after="100"/>
      </w:pPr>
      <w:r>
        <w:t xml:space="preserve">El foro japonés, el único con debate real, ha pasado a capitulación tras la carta de la FDA: casi siete de cada diez votos piden vender y el tono es de desconfianza, alimentado por el escándalo de 2011. No aporta un riesgo nuevo que el informe no recoja (FDA, rotación de la cúpula, reestructuración), pero confirma que el mercado de particulares en Tokio castiga ya la peor lectura. Ese pesimismo va algo más allá que el de los analistas (de 14, solo uno recomienda vender y el objetivo medio es 2.123 JPY) y podría servir de contrapeso si los resultados del 10-nov confirman la guía. Ninguna cifra de los foros entra en el informe.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24 controles correctos y 6 explicados. Fuentes: 96 (61 primarias); citas distintas en el texto: 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-5.343 (¿operaciones interrumpidas?). Explicación: La diferencia (5.343 M) es el resultado de operaciones interrumpidas (negocio científico y ortopedia), que la empresa suma al beneficio atribuido; la cuenta recoge solo operaciones continuadas.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-5.623 (¿operaciones interrumpidas?). Explicación: La diferencia (5.623 M) es el resultado de operaciones interrumpidas, como en FY2022.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-207.864 (¿operaciones interrumpidas?). Explicación: La diferencia (207.864 M) es el resultado de operaciones interrumpidas, casi todo la plusvalía de la venta de Evident a Bain (349.037 M antes de impuestos); por eso FY2024 se excluye de los múltiplos históricos.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«En parte» (el capital nuevo tendría que rendir más de 1,25 veces el histórico):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30,9 % frente a un ROIC de 7,9 % y un incremental histórico de -19,2 %: crecimiento que la empresa no ha demostrado poder comprar. Explicación: El motor mide el aumento del NOPAT desde FY2026, un año deprimido por partidas que no se repiten (26.872 M del programa de plantilla, unos 30.000 M de ventas retenidas por la FDA, 18.000 M de aranceles y las pérdidas de SIS), y el ROIC incremental histórico es negativo por la venta de Evident y esas mismas partidas. La vuelta del margen hasta el 20,4 % de FY2027e es la guía de la empresa y el consenso [10, 11, 61], no rendimiento de capital nuevo. Medido desde FY2025 (NOPAT de unos 118.500 M y ROIC del 15,1 %), el capital nuevo rinde en torno al 16 %, por debajo de 1,25 veces ese ROIC. El margen final se limita al 22,7 % de FY2025 y su subida se retrasa medio año por la carta de la FDA del 7-oct.</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35,0 % frente a 35,9 % real: genera una variación de circulante de 11.682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80.374 M de flujo libre medio en sus tres primeros años, frente a 20.809 M de media real en los tres últimos: justifica el salto (circulante, inversión, márgenes) o ajusta los supuestos. Explicación: El flujo libre medio de FY2024-FY2026 está hundido por partidas que no se repiten al mismo ritmo: la retirada de Veran (51.886 M), los impuestos de la venta de Evident, el programa de plantilla (26.872 M en FY2026), unos 30.000 M de ventas perdidas por la FDA y los aranceles. En FY2022 y FY2025, sin esas partidas, el flujo libre fue de 90.267 M y 105.952 M; la proyección de los tres primeros años (80.374 M de media) está por debajo de esa franja.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11,9 %: para comprar o ampliar hace falta motivo de negocio propio; para mantener basta la vigente. Explicación: Es justo lo que explica la recomendación: con la v2 la ponderada es del 11,9 % y no se compra. El informe recomienda Mantener (justificación en el resumen).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96 fuentes (61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65, 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GIS y SIS de FY2022 a 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Cuadernos de datos de FY2024 a FY2026: solo FY2025 reexpresado en GIS y SIS; 2) Annual Securities Report FY2026: nota de segmentos con FY2025 y FY2026; 3) informe integrado 2025: segmentos antiguos ESD y TSD, sin reexpresar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resultados: no citan consenso; 2) web de inversores: sin página de consenso; 3) búsqueda web descartada para ahorrar el cupo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los trimestres intermedios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Cuadernos de datos: no dan BPA; 2) presentaciones: dan BPA ajustado acumulado, no trimestral publicado; 3) solo se descargaron los tanshin del 4T FY2026 y 1T FY2027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analistas en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resultados de la web de inversores: solo tanshin, datos y presentación; 2) rutas habituales de preguntas y respuestas en la web: no existen; 3) búsqueda web descartada para ahorrar el cupo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 media de la deuda y calendario detallado de préstamos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18 del Annual Securities Report FY2026: préstamos de 104.860 M con vencimientos de agosto de 2027 a mayo de 2035, sin desglose; 2) nota de riesgo de liquidez: solo menos y más de un año; 3) no se puede derivar sin el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Arc Medical y múltiplos de las compras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Annual Securities Report FY2023-FY2026: no aparece Arc Medical; 2) los anuncios de compra no publican EBITDA; 3) las adquiridas tenían EBITDA negativo o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conjunta de los cinco primeros (CR5) en endoscopia GI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integrado 2025 de Olympus: solo da su propia cuota (alrededor del 70 %); 2) iData Research y búsqueda de informes sectoriales: ordenan a los tres primeros sin porcentajes; 3) cuentas de Fujifilm y Hoya: no publican cuota en endoscopia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histórico del mercado de endoscopia GI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integrado 2025 de Olympus: solo previsión 4-6 % para FY2025-FY2028; 2) iData Research: solo tamaño de 2025 y previsión al 3,4 %; 3) búsqueda de series históricas de mercado: las fuentes gratuitas no publican la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Karl Storz</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Stryker: solo la cita entre los líderes de endoscopia; 2) sociedad no cotizada, sin cuentas en registros bursátiles; 3) iData Research: no la incluye entre los tres primeros en endoscopia GI ni da sus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de SonoScape y Aohua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Huachuang Securities sobre sus cuentas de 2025: solo ingresos y beneficio neto; 2) búsqueda del informe anual en chino: resultados de prensa y analistas sin beneficio operativo; 3) no se puede derivar sin la cuenta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iData Research: ordena sin porcentajes; 2) cuentas de Fujifilm, Hoya y Boston Scientific: no publican cuota en endoscopia GI; 3) prensa china: solo la cuota conjunta de los fabricantes nacionales (20-30 %)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con nota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integrado 2025: solo la inclusión en índices DJSI y FTSE; 2) sección de gobierno del mismo informe: la remuneración variable usa solo el DJSI; 3) presentaciones de resultados de FY2026 y del 1T FY2027: no citan calificaciones ESG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en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Japón no tiene un registro público de operaciones de directivos equivalente al de la CNMV o al Form 4; 2) los avisos de participación significativa solo afectan a tenedores de más del 5 %, y el informe de valores de FY2026 y la convocatoria de 2026 solo dan las acciones de cada consejero a 31 de marzo de 2026, sin movimientos; 3) las únicas entregas documentadas son las del plan de acciones (403.525 acciones a ejecutivos y 21.050 a consejeros externos en FY2026), que no son compras ni ventas en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actual de ValueAct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Convocatoria de 2026 y lista de los diez mayores accionistas: confirma que ValueAct Capital Master Fund es accionista, sin porcentaje; 2) informe de gobierno corporativo e informe de valores: ningún aviso vigente de participación significativa de ValueAct; 3) búsqueda en prensa: solo hay datos de 2018-2021 (5,04 % al entrar y ventas parciales a finales de 2020)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a favor y en contra de la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extraordinarios de resultados de las juntas de 2024, 2025 y 2026: el único punto del orden del día fue la elección de consejeros; 2) convocatorias de 2024 y 2026: la remuneración la fija la comisión de remuneración, sin voto consultivo; 3) en su lugar se usa el voto más bajo a la elección del presidente o del consejero delegado (70,27 % a Sumitaka Fujita en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las estimaciones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consenso de MarketScreener: solo recomendación y precios objetivo; 2) página de revisiones de MarketScreener: solo gráficos sin cifras; 3) Minkabu (consenso japonés): acceso denegado, e Investing.com no publica la evolución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Tablas financieras de MarketScreener de cada empresa: solo ROE y ROA; 2) fichas de cotización de MarketScreener: sin ROIC; 3) derivarlo exige capital invertido de cada balance, no disponible con el mismo criterio para las nueve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de EBITDA de Evident, Cantel, Axonics e Inari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la operación (Olympus, STERIS, Boston Scientific, Stryker): no dan EBITDA; 2) informe anual de Olympus de 2023: resultado de la actividad interrumpida sin amortizaciones; 3) resultados trimestrales de Inari: EBITDA no relevante (pérdidas operativas)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en inglés y otros foros japoneses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(búsqueda JSON): 403; 2) Minkabu (掲示板) y Seeking Alpha: 403; 3) Stocktwits e Investing: sin debate desde 2015 o sin comentarios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Securities Report FY2026 (158.º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https://www.olympus-global.com/ir/data/pdf/annual_fy2026_en.pdf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Securities Report FY2025 (157.º ejercicio,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https://www.olympus-global.com/ir/data/pdf/annual_fy2025_en.pdf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Securities Report FY2024 (156.º ejercicio, cerrado el 31-mar-2024)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https://www.olympus-global.com/ir/data/pdf/annual_fy2024_en.pdf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Securities Report FY2023 (155.º ejercicio), versión corregida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https://www.olympus-global.com/ir/data/pdf/annual155PA_en.pdf?230919a.pdf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FY2026 (cuaderno de datos del 4T)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https://www.olympus-global.com/ir/data/brief/pdf/02_data_Q4FY2026_en.pdf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FY2025 (cuaderno de datos del 4T)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https://www.olympus-global.com/ir/data/brief/pdf/02_data_Q4FY2025_en.pdf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FY2024 (cuaderno de datos del 4T)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https://www.olympus-global.com/ir/data/brief/pdf/02_data_Q4FY2024_en.pdf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the 1st Quarter of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https://www.olympus-global.com/ir/data/brief/pdf/02_data_Q1FY2027_en.pdf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1st Quarter of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https://www.olympus-global.com/ir/data/brief/pdf/03_presentation_Q1FY2027_en.pdf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FY2026 (resultados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https://www.olympus-global.com/ir/data/brief/pdf/03_presentation_Q4FY2026_en.pdf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1st Quarter of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https://www.olympus-global.com/ir/data/brief/pdf/01_tanshin_Q1FY2027_en.pdf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Acquisition of BioProtect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3rd Quarter of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https://www.olympus-global.com/ir/data/brief/pdf/03_presentation_Q3FY2026_en.pdf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2nd Quarter of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https://www.olympus-global.com/ir/data/brief/pdf/03_presentation_Q2FY2026_en.pdf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1st Quarter of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https://www.olympus-global.com/ir/data/brief/pdf/03_presentation_Q1FY2026_en.pdf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FY2025 (resultados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https://www.olympus-global.com/ir/data/brief/pdf/03_presentation_Q4FY2025_en.pdf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Completion of Acquisition of BioProtect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https://www.olympus-global.com/ir/data/integratedreport/pdf/integrated_report_2025e_web.pdf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 Alerts for Certain Olympus Medical Devices Manufactured in Japan - Letter to Health Care Providers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https://www.fda.gov/medical-devices/letters-health-care-providers/import-alerts-certain-olympus-medical-devices-manufactured-japan-letter-health-care-providers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 Alert 89-04 (versión publicada el 19-ago-2026, consultada el 19-oct-2026): Aizu Olympus sigue en la lista roja desde el 24-jun-2025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https://www.accessdata.fda.gov/cms_ia/importalert_241.html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Warning Letter, Aizu Olympus Co., Ltd. (MARCS-CMS 643172)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https://www.fda.gov/inspections-compliance-enforcement-and-criminal-investigations/warning-letters/aizu-olympus-co-ltd-643172-11022022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Warning Letter, Olympus Medical Systems Corporation, Hachioji (MARCS-CMS 649726)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https://www.fda.gov/inspections-compliance-enforcement-and-criminal-investigations/warning-letters/olympus-medical-systems-corporation-649726-12122022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Warning Letter, Olympus Medical Systems Corp., Hinode (MARCS-CMS 654013)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https://www.fda.gov/inspections-compliance-enforcement-and-criminal-investigations/warning-letters/olympus-medical-systems-corp-654013-03152023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says it will 'promptly address' FDA import alert concerns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MedTech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https://www.medtechdive.com/news/Olympus-response-FDA-endoscopy-import-alert/751973/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Deferred Prosecution Agreement, United States v. Olympus Corporation of the Americas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Attorney's Office, District of New Jersey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https://www.justice.gov/usao-nj/file/867021/dl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Plea Agreement with Olympus Medical Systems Corporation (caso 2:18-cr-00727)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Attorney's Office, District of New Jersey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https://www.justice.gov/usao-nj/press-release/file/1118431/dl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https://www.sec.gov/Archives/edgar/data/885725/000088572526000010/bsx-20251231.htm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https://www.sec.gov/Archives/edgar/data/310764/000031076426000010/syk-20251231.htm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https://www.sec.gov/Archives/edgar/data/1035267/000103526726000010/isrg-20251231.htm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FUJIFILM Holdings, 1st Quarter ended June 30, 2026 Earnings Presentation (incluye los trimestres del ejercicio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FUJIFILM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https://ir.fujifilm.com/en/investors/ir-materials/earnings-presentations/main/01114/teaserItems2/0/linkList/0/link/ff_fy2026q1_001e.pdf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Consolidated Financial Statements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https://www.hoya.com/wp-content/uploads/2026/07/Annual-Report-Final.pdf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Ambu A/S, Annual Report 2024/25 (anuncio a la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Ambu A/S (vía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https://www.inderes.fi/releases/annual-report-202425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开立医疗(300633) 2025年报&amp;2026年一季报点评</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Huachuang Securities (vía Gelonghui)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https://m.gelonghui.com/news/5239871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澳华内镜(688212) 2025年报&amp;2026年一季报点评</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Huachuang Securities (vía Gelonghui)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https://m.gelonghui.com/news/5239870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(JPY, USD, DKK y CNY a 30-sep-2025, 31-dic-2025 y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(ECB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Medical progress rises to meet global standards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Government Online (China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https://www.sz.gov.cn/en_szgov/business/news/content/post_12283546.html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Gastrointestinal Endoscope Market Size, Share &amp; Trends Analysis, Global, 2025-2032 (MedCore)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iData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https://idataresearch.com/product/gastrointestinal-endoscopes-market-report/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Receipt of Warning Letter from FDA (carta del 7-oct-2026 a seis plantas)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Shares Drop by Most Since 2011 After New FDA Warning (Bloomberg)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https://www.marketscreener.com/news/olympus-shares-drop-by-most-since-2011-after-new-fda-warning-ce785dd2dc8df42d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(actualizado a 29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https://www.olympus-global.com/company/governance/pdf/governance_report_sep_29_2026_en.pdf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Convocation of the General Meeting of Shareholders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https://www.olympus-global.com/ir/stock/pdf/meetingFY2026_01.pdf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the Exercise of Voting Rights), junta de 25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https://www.olympus-global.com/ir/stock/pdf/meetingFY2026_03.pdf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the Exercise of Voting Rights), junta de 26 de junio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https://www.olympus-global.com/ir/stock/pdf/meetingFY2025_03.pdf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the Exercise of Voting Rights), junta de 26 de junio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https://www.olympus-global.com/ir/stock/pdf/meetingFY2024_03.pdf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valores (有価証券報告書), 158.º ejercicio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https://www.olympus.co.jp/ir/data/pdf/annual_fy2026_jp.pdf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Resignation of an Outside Director and a Change in the Composition of the Compensation Committee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Change of Executive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https://www.olympus-global.com/ir/data/integratedreport/pdf/integrated_report_2025e_web.pdf?pd=f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https://www.olympus-global.com/ir/data/brief/pdf/Olympus_FY2021_Consolidated_Financial_Results_E.pdf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https://www.olympus-global.com/ir/data/brief/pdf/01_tanshin_Q4FY2023_en.pdf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CEO resigns over alleged purchase of illegal drugs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Jazeera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https://www.aljazeera.com/economy/2024/10/28/olympus-ceo-resigns-over-alleged-purchase-of-illegal-drugs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Appoints New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https://medical.olympusamerica.com/node/3583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files revised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Jazeera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https://www.aljazeera.com/economy/2011/12/14/olympus-files-revised-earnings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Convocation of the General Meeting of Shareholders for the Fiscal Year Ended March 31,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https://www.olympus-global.com/ir/stock/pdf/meetingFY2024_01.pdf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Result of Share Repurchase through ToSTNeT-3, Completion of Share Repurchase and Cancellation of Treasury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históricas diarias de 7733.T, 1305.T (ETF del TOPIX) e IHI (ETF de tecnología médica de EE. UU.), hasta el 19-oct-2026 (cierre de Tokio del 19-oct: 1.685 JPY, dato de la API de gráficos a las 15:30 JST)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https://finance.yahoo.com/quote/7733.T/history/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https://www.marketscreener.com/quote/stock/OLYMPUS-CORPORATION-6491236/finances/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https://www.marketscreener.com/quote/stock/OLYMPUS-CORPORATION-6491236/consensus/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 (7733) analyst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https://www.investing.com/equities/olympus-corp.-consensus-estimates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(October 2026): JGB yield curve (último dato publicado: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USD/JPY (JPY=X): cotizaciones diarias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https://finance.yahoo.com/quote/JPY=X/history/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https://www.marketscreener.com/quote/stock/HOYA-CORPORATION-6491345/finances/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FUJIFILM Holdings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https://www.marketscreener.com/quote/stock/FUJIFILM-HOLDINGS-CORPORA-6492326/finances/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Terumo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https://www.marketscreener.com/quote/stock/TERUMO-CORPORATION-6491240/finances/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Sysmex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https://www.marketscreener.com/quote/stock/SYSMEX-CORPORATION-6492200/finances/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https://www.marketscreener.com/quote/stock/BOSTON-SCIENTIFIC-CORPORA-11935/finances/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https://www.marketscreener.com/quote/stock/MEDTRONIC-PLC-20661655/finances/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https://www.marketscreener.com/quote/stock/STRYKER-CORPORATION-14536/finances/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Smith &amp; Nephew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https://www.marketscreener.com/quote/stock/SMITH-NEPHEW-PLC-9590181/finances/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STERIS to Combine with Cantel Medical (press release,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STERIS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https://www.sec.gov/Archives/edgar/data/1757898/000114036121000965/nc10018867x1_ex99-1.htm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announces agreement to acquire Axonics, Inc.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https://www.sec.gov/Archives/edgar/data/885725/000088572524000003/pressreleasedatedjanuary82.htm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to acquire Inari Medical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Inari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https://www.sec.gov/Archives/edgar/data/1531048/000119312525002249/d871947dex991.htm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Inari Medical reports third quarter 2024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Inari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https://www.sec.gov/Archives/edgar/data/1531048/000153104824000058/nari-20240930xex991xpressr.htm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Shockwave Medical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https://www.sec.gov/Archives/edgar/data/1642545/000119312524087890/d819714dex991.htm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Reports Fourth Quarter and Full Year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https://www.sec.gov/Archives/edgar/data/1642545/000117184324000832/exh_991.htm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enters into definitive agreement to be acquired by Blackstone and TPG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Announces Financial Results for Fourth Quarter of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https://www.sec.gov/Archives/edgar/data/859737/000114036125040182/ef20058177_ex99-1.htm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 Stock (7733) - Quote Japan Exchange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https://www.marketscreener.com/quote/stock/OLYMPUS-CORPORATION-6491236/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レーティング日報【格下げ↓】(10月15日): Nomura rebaja Olympus de Comprar a Neutral, objetivo 2.700 → 1.900 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 (株探)</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https://kabutan.jp/stock/news?code=7733&amp;b=n202610151022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 Calendar: Announcement of Consolidated Financial Results for the 2nd Quarter of Fiscal Year 2027 (10-nov-2026)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shares hit 12-week low after FDA warning over quality systems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https://www.investing.com/news/stock-market-news/olympus-shares-hit-12week-low-after-fda-warning-over-quality-systems-4947987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EDINET: 自己株券買付状況報告書 (informes mensuales de recompra, el último del 7-oct-2026) e informe de valores del 158.º ejercicio (18-jun-2026), listado de documentos de E02272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 BANK (copia de EDINET, Agencia de Servicios Financieros)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https://irbank.net/E02272/edinet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オリンパス---大幅反落、米FDAから品質管理に関する警告書を受領 (Fisco) y オリンパスが急反落 (Minkabu Press)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 (株探)</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https://kabutan.jp/stock/news?code=7733&amp;b=n202610140719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shares plunge following FDA warning letter over manufacturing failures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(Medical Device Network)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https://finance.yahoo.com/news/olympus-shares-plunge-following-fda-112427067.html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12 meses de Olympus (Google Noticias y Yahoo Finance): retirada de agujas de endoscopia (22-ene-2026), retirada de ShockPulse (10-mar-2026), demandas por infecciones en CPRE (7-jul y 3-sep-2026), compra de BioProtect (26-may-2026)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herramientas/noticias.mjs (AboutLawsuits, AHA, MassDevice, MDDI)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https://news.google.com/search?q=Olympus%20Corporation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オリンパス(株)【7733】掲示板</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Yahoo!ファイナンス</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https://finance.yahoo.co.jp/quote/7733.T/bbs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OCPNY stream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https://api.stocktwits.com/api/2/streams/symbol/OCPNY.json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 (7733) Comments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https://www.investing.com/equities/olympus-corp.-commentary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(ctryprem.xlsx),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https://pages.stern.nyu.edu/~adamodar/pc/datasets/ctryprem.xlsx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Japan y Global (betaJapan.xls, betaGlobal.xls),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https://pages.stern.nyu.edu/~adamodar/pc/datasets/betaJapan.xls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89,8 %</w:t>
      </w:r>
      <w:r>
        <w:t xml:space="preserve"> · Secciones con menos del 60 % de campos cubiertos: </w:t>
      </w:r>
      <w:r>
        <w:rPr>
          <w:b/>
          <w:bCs/>
        </w:rPr>
        <w:t xml:space="preserve">ninguna</w:t>
      </w:r>
      <w:r>
        <w:t xml:space="preserve"> · Generado el 19 oct 2026.</w:t>
      </w:r>
    </w:p>
    <w:p>
      <w:pPr>
        <w:pStyle w:val="Nota"/>
        <w:spacing w:after="100"/>
      </w:pPr>
      <w:r>
        <w:t xml:space="preserve">Línea cotizada: Bolsa de Tokio (TSE Prime, 7733); el ADR sin patrocinar (OCPNY) no se usa. Precio: cierre de Tokio del 19-oct-2026 (1.685 JPY, sesión ya cerrada a la hora de corte; la serie diaria de Yahoo aún no lo tenía y bolsa.mjs y movimiento.mjs se calcularon con el del 16-oct, 1.690). Todo en millones de JPY; los comparables en otras divisas se pasan a yenes a 158,52 JPY/USD (19-oct) y los competidores al tipo de cierre de su ejercicio. Olympus nombra el ejercicio por el año en que termina: FY2026 va de abril de 2025 a marzo de 2026 y el último trimestre publicado es el 1T FY2027 (abril-junio de 2026, 7-ago). Japón no tiene XBRL en cuentas.mjs: las cuentas salen del informe de valores (yuho) de FY2026 presentado en EDINET el 18-jun-2026 (versión inglesa de la empresa) y del tanshin del 1T. La cuenta empieza en FY2022: la empresa no ha reexpresado FY2017-FY2021 sin cámaras ni Evident. FY2022 y FY2023 son operaciones continuadas reexpresadas; el beneficio atribuido incluye las interrumpidas (sobre todo la plusvalía de Evident en FY2024). Los segmentos vigentes (GIS y SIS) solo tienen FY2025 y FY2026 reexpresados. Olympus no publica transcripciones y en Japón no hay registro público de operaciones de directivos. Consenso de MarketScreener (14 analistas), contrastado con Investing. Comparables: estimaciones del 8-9-oct llevadas al cierre del 19-oct (Tokio) o del 16-oct (EE. UU. y Londres) con la variación de cada precio. Este informe es la segunda iteración: la anterior es la del 9-oct-2026 (con sus versiones v2-v4).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Olympus Corporation (7733)</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1.685,00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(1.302,50 – 2.210,50)</c:v>
                </c:pt>
                <c:pt idx="1">
                  <c:v>Precio objetivo de los analistas (1.800,00 – 3.300,00)</c:v>
                </c:pt>
                <c:pt idx="2">
                  <c:v>Comparables: EV/EBITDA NTM (1.887,26 – 2.913,90)</c:v>
                </c:pt>
                <c:pt idx="3">
                  <c:v>Comparables: PER NTM (1.826,66 – 2.670,55)</c:v>
                </c:pt>
                <c:pt idx="4">
                  <c:v>DCF (WACC y g ± 0,5) (1.689,18 – 2.542,94)</c:v>
                </c:pt>
                <c:pt idx="5">
                  <c:v>Escenarios (bajista – alcista) (1.257,43 – 2.510,44)</c:v>
                </c:pt>
                <c:pt idx="6">
                  <c:v>DCF con la prima implícita del mercado (4,2 %)</c:v>
                </c:pt>
                <c:pt idx="7">
                  <c:v>Precio actual (1.685,00)</c:v>
                </c:pt>
              </c:strCache>
            </c:strRef>
          </c:cat>
          <c:val>
            <c:numRef>
              <c:f>Hoja1!$B$2:$B$9</c:f>
              <c:numCache>
                <c:formatCode>#,##0</c:formatCode>
                <c:ptCount val="8"/>
                <c:pt idx="0">
                  <c:v>1302.5</c:v>
                </c:pt>
                <c:pt idx="1">
                  <c:v>1800</c:v>
                </c:pt>
                <c:pt idx="2">
                  <c:v>1887.26</c:v>
                </c:pt>
                <c:pt idx="3">
                  <c:v>1826.66</c:v>
                </c:pt>
                <c:pt idx="4">
                  <c:v>1689.18</c:v>
                </c:pt>
                <c:pt idx="5">
                  <c:v>1257.43</c:v>
                </c:pt>
                <c:pt idx="6">
                  <c:v>1819.2</c:v>
                </c:pt>
                <c:pt idx="7">
                  <c:v>1676.58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(1.302,50 – 2.210,50)</c:v>
                </c:pt>
                <c:pt idx="1">
                  <c:v>Precio objetivo de los analistas (1.800,00 – 3.300,00)</c:v>
                </c:pt>
                <c:pt idx="2">
                  <c:v>Comparables: EV/EBITDA NTM (1.887,26 – 2.913,90)</c:v>
                </c:pt>
                <c:pt idx="3">
                  <c:v>Comparables: PER NTM (1.826,66 – 2.670,55)</c:v>
                </c:pt>
                <c:pt idx="4">
                  <c:v>DCF (WACC y g ± 0,5) (1.689,18 – 2.542,94)</c:v>
                </c:pt>
                <c:pt idx="5">
                  <c:v>Escenarios (bajista – alcista) (1.257,43 – 2.510,44)</c:v>
                </c:pt>
                <c:pt idx="6">
                  <c:v>DCF con la prima implícita del mercado (4,2 %)</c:v>
                </c:pt>
                <c:pt idx="7">
                  <c:v>Precio actual (1.685,00)</c:v>
                </c:pt>
              </c:strCache>
            </c:strRef>
          </c:cat>
          <c:val>
            <c:numRef>
              <c:f>Hoja1!$C$2:$C$9</c:f>
              <c:numCache>
                <c:formatCode>#,##0</c:formatCode>
                <c:ptCount val="8"/>
                <c:pt idx="0">
                  <c:v>908</c:v>
                </c:pt>
                <c:pt idx="1">
                  <c:v>1500</c:v>
                </c:pt>
                <c:pt idx="2">
                  <c:v>1026.64</c:v>
                </c:pt>
                <c:pt idx="3">
                  <c:v>843.8900000000001</c:v>
                </c:pt>
                <c:pt idx="4">
                  <c:v>853.76</c:v>
                </c:pt>
                <c:pt idx="5">
                  <c:v>1253.01</c:v>
                </c:pt>
                <c:pt idx="6">
                  <c:v>497.03</c:v>
                </c:pt>
                <c:pt idx="7">
                  <c:v>16.840000000000146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GIS (Gastrointestinal Solutions)</c:v>
                </c:pt>
              </c:strCache>
            </c:strRef>
          </c:tx>
          <c:spPr>
            <a:solidFill>
              <a:srgbClr val="2A78D6"/>
            </a:solidFill>
            <a:ln w="12700">
              <a:solidFill>
                <a:srgbClr val="FFFFFF"/>
              </a:solidFill>
            </a:ln>
          </c:spPr>
          <c:invertIfNegative val="0"/>
          <c:cat>
            <c:strRef>
              <c:f>Hoja1!$A$2:$A$3</c:f>
              <c:strCache>
                <c:ptCount val="2"/>
                <c:pt idx="0">
                  <c:v>FY2025</c:v>
                </c:pt>
                <c:pt idx="1">
                  <c:v>FY2026</c:v>
                </c:pt>
              </c:strCache>
            </c:strRef>
          </c:cat>
          <c:val>
            <c:numRef>
              <c:f>Hoja1!$B$2:$B$3</c:f>
              <c:numCache>
                <c:formatCode>#,##0</c:formatCode>
                <c:ptCount val="2"/>
                <c:pt idx="0">
                  <c:v>674043</c:v>
                </c:pt>
                <c:pt idx="1">
                  <c:v>697359</c:v>
                </c:pt>
              </c:numCache>
            </c:numRef>
          </c:val>
        </c:ser>
        <c:ser>
          <c:idx val="1"/>
          <c:order val="1"/>
          <c:tx>
            <c:strRef>
              <c:f>Hoja1!$C$1</c:f>
              <c:strCache>
                <c:ptCount val="1"/>
                <c:pt idx="0">
                  <c:v>SIS (Surgical and Interventional Solutions)</c:v>
                </c:pt>
              </c:strCache>
            </c:strRef>
          </c:tx>
          <c:spPr>
            <a:solidFill>
              <a:srgbClr val="EB6834"/>
            </a:solidFill>
            <a:ln w="12700">
              <a:solidFill>
                <a:srgbClr val="FFFFFF"/>
              </a:solidFill>
            </a:ln>
          </c:spPr>
          <c:invertIfNegative val="0"/>
          <c:cat>
            <c:strRef>
              <c:f>Hoja1!$A$2:$A$3</c:f>
              <c:strCache>
                <c:ptCount val="2"/>
                <c:pt idx="0">
                  <c:v>FY2025</c:v>
                </c:pt>
                <c:pt idx="1">
                  <c:v>FY2026</c:v>
                </c:pt>
              </c:strCache>
            </c:strRef>
          </c:cat>
          <c:val>
            <c:numRef>
              <c:f>Hoja1!$C$2:$C$3</c:f>
              <c:numCache>
                <c:formatCode>#,##0</c:formatCode>
                <c:ptCount val="2"/>
                <c:pt idx="0">
                  <c:v>322759</c:v>
                </c:pt>
                <c:pt idx="1">
                  <c:v>313109</c:v>
                </c:pt>
              </c:numCache>
            </c:numRef>
          </c:val>
        </c:ser>
        <c:ser>
          <c:idx val="2"/>
          <c:order val="2"/>
          <c:tx>
            <c:strRef>
              <c:f>Hoja1!$D$1</c:f>
              <c:strCache>
                <c:ptCount val="1"/>
                <c:pt idx="0">
                  <c:v>Corporativo, otros y eliminaciones</c:v>
                </c:pt>
              </c:strCache>
            </c:strRef>
          </c:tx>
          <c:spPr>
            <a:solidFill>
              <a:srgbClr val="1BAF7A"/>
            </a:solidFill>
            <a:ln w="12700">
              <a:solidFill>
                <a:srgbClr val="FFFFFF"/>
              </a:solidFill>
            </a:ln>
          </c:spPr>
          <c:invertIfNegative val="0"/>
          <c:cat>
            <c:strRef>
              <c:f>Hoja1!$A$2:$A$3</c:f>
              <c:strCache>
                <c:ptCount val="2"/>
                <c:pt idx="0">
                  <c:v>FY2025</c:v>
                </c:pt>
                <c:pt idx="1">
                  <c:v>FY2026</c:v>
                </c:pt>
              </c:strCache>
            </c:strRef>
          </c:cat>
          <c:val>
            <c:numRef>
              <c:f>Hoja1!$D$2:$D$3</c:f>
              <c:numCache>
                <c:formatCode>#,##0</c:formatCode>
                <c:ptCount val="2"/>
                <c:pt idx="0">
                  <c:v>530</c:v>
                </c:pt>
                <c:pt idx="1">
                  <c:v>208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GIS (Gastrointestinal Solutions)</c:v>
                </c:pt>
                <c:pt idx="1">
                  <c:v>SIS (Surgical and Interventional Solutions)</c:v>
                </c:pt>
                <c:pt idx="2">
                  <c:v>Corporativo, otros y eliminaciones</c:v>
                </c:pt>
              </c:strCache>
            </c:strRef>
          </c:cat>
          <c:val>
            <c:numRef>
              <c:f>Hoja1!$B$2:$B$4</c:f>
              <c:numCache>
                <c:formatCode>General</c:formatCode>
                <c:ptCount val="3"/>
                <c:pt idx="0">
                  <c:v>69</c:v>
                </c:pt>
                <c:pt idx="1">
                  <c:v>31</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Japón</c:v>
                </c:pt>
                <c:pt idx="1">
                  <c:v>Norteamérica</c:v>
                </c:pt>
                <c:pt idx="2">
                  <c:v>Europa</c:v>
                </c:pt>
                <c:pt idx="3">
                  <c:v>China</c:v>
                </c:pt>
                <c:pt idx="4">
                  <c:v>Asia-Pacífico</c:v>
                </c:pt>
                <c:pt idx="5">
                  <c:v>Otros</c:v>
                </c:pt>
              </c:strCache>
            </c:strRef>
          </c:cat>
          <c:val>
            <c:numRef>
              <c:f>Hoja1!$B$2:$B$7</c:f>
              <c:numCache>
                <c:formatCode>0"%"</c:formatCode>
                <c:ptCount val="6"/>
                <c:pt idx="0">
                  <c:v>10.3</c:v>
                </c:pt>
                <c:pt idx="1">
                  <c:v>40.1</c:v>
                </c:pt>
                <c:pt idx="2">
                  <c:v>27.8</c:v>
                </c:pt>
                <c:pt idx="3">
                  <c:v>8.2</c:v>
                </c:pt>
                <c:pt idx="4">
                  <c:v>10.2</c:v>
                </c:pt>
                <c:pt idx="5">
                  <c:v>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(2025, dato de iData; 2026e-2030e, estimación propia con la TCAC del 3,4 % que publica iData))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7700</c:v>
                </c:pt>
                <c:pt idx="1">
                  <c:v>7962</c:v>
                </c:pt>
                <c:pt idx="2">
                  <c:v>8233</c:v>
                </c:pt>
                <c:pt idx="3">
                  <c:v>8512</c:v>
                </c:pt>
                <c:pt idx="4">
                  <c:v>8802</c:v>
                </c:pt>
                <c:pt idx="5">
                  <c:v>9101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Olympus</c:v>
                </c:pt>
                <c:pt idx="1">
                  <c:v>Fujifilm (Medical Systems)</c:v>
                </c:pt>
                <c:pt idx="2">
                  <c:v>Hoya (Pentax Medical)</c:v>
                </c:pt>
                <c:pt idx="3">
                  <c:v>Boston Scientific (Endoscopy)</c:v>
                </c:pt>
                <c:pt idx="4">
                  <c:v>Stryker (Endoscopy)</c:v>
                </c:pt>
                <c:pt idx="5">
                  <c:v>Intuitive Surgical</c:v>
                </c:pt>
                <c:pt idx="6">
                  <c:v>Ambu</c:v>
                </c:pt>
                <c:pt idx="7">
                  <c:v>SonoScape Medical</c:v>
                </c:pt>
                <c:pt idx="8">
                  <c:v>Aohua Endoscopy</c:v>
                </c:pt>
                <c:pt idx="9">
                  <c:v>Karl Storz</c:v>
                </c:pt>
              </c:strCache>
            </c:strRef>
          </c:cat>
          <c:val>
            <c:numRef>
              <c:f>Hoja1!$B$2:$B$11</c:f>
              <c:numCache>
                <c:formatCode>0.0"%"</c:formatCode>
                <c:ptCount val="10"/>
                <c:pt idx="0">
                  <c:v>9.3</c:v>
                </c:pt>
                <c:pt idx="1">
                  <c:v>5.8</c:v>
                </c:pt>
                <c:pt idx="2">
                  <c:v>21.9</c:v>
                </c:pt>
                <c:pt idx="3">
                  <c:v>33.2</c:v>
                </c:pt>
                <c:pt idx="4">
                  <c:v>29.9</c:v>
                </c:pt>
                <c:pt idx="5">
                  <c:v>29.3</c:v>
                </c:pt>
                <c:pt idx="6">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750123</c:v>
                </c:pt>
                <c:pt idx="1">
                  <c:v>881923</c:v>
                </c:pt>
                <c:pt idx="2">
                  <c:v>925752</c:v>
                </c:pt>
                <c:pt idx="3">
                  <c:v>997332</c:v>
                </c:pt>
                <c:pt idx="4">
                  <c:v>1010676</c:v>
                </c:pt>
                <c:pt idx="5">
                  <c:v>1071317</c:v>
                </c:pt>
                <c:pt idx="6">
                  <c:v>1114169</c:v>
                </c:pt>
                <c:pt idx="7">
                  <c:v>1164307</c:v>
                </c:pt>
                <c:pt idx="8">
                  <c:v>1216701</c:v>
                </c:pt>
                <c:pt idx="9">
                  <c:v>1265369</c:v>
                </c:pt>
                <c:pt idx="10">
                  <c:v>1309657</c:v>
                </c:pt>
                <c:pt idx="11">
                  <c:v>1348946</c:v>
                </c:pt>
                <c:pt idx="12">
                  <c:v>1382670</c:v>
                </c:pt>
                <c:pt idx="13">
                  <c:v>1417237</c:v>
                </c:pt>
                <c:pt idx="14">
                  <c:v>1445581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194030</c:v>
                </c:pt>
                <c:pt idx="1">
                  <c:v>231934</c:v>
                </c:pt>
                <c:pt idx="2">
                  <c:v>169697</c:v>
                </c:pt>
                <c:pt idx="3">
                  <c:v>226302</c:v>
                </c:pt>
                <c:pt idx="4">
                  <c:v>160875</c:v>
                </c:pt>
                <c:pt idx="5">
                  <c:v>218549</c:v>
                </c:pt>
                <c:pt idx="6">
                  <c:v>239546</c:v>
                </c:pt>
                <c:pt idx="7">
                  <c:v>258476</c:v>
                </c:pt>
                <c:pt idx="8">
                  <c:v>276191</c:v>
                </c:pt>
                <c:pt idx="9">
                  <c:v>287239</c:v>
                </c:pt>
                <c:pt idx="10">
                  <c:v>297292</c:v>
                </c:pt>
                <c:pt idx="11">
                  <c:v>306211</c:v>
                </c:pt>
                <c:pt idx="12">
                  <c:v>313866</c:v>
                </c:pt>
                <c:pt idx="13">
                  <c:v>321713</c:v>
                </c:pt>
                <c:pt idx="14">
                  <c:v>328147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67.5</c:v>
                </c:pt>
                <c:pt idx="1">
                  <c:v>67.7</c:v>
                </c:pt>
                <c:pt idx="2">
                  <c:v>66.8</c:v>
                </c:pt>
                <c:pt idx="3">
                  <c:v>68.6</c:v>
                </c:pt>
                <c:pt idx="4">
                  <c:v>64.7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25.9</c:v>
                </c:pt>
                <c:pt idx="1">
                  <c:v>26.3</c:v>
                </c:pt>
                <c:pt idx="2">
                  <c:v>18.3</c:v>
                </c:pt>
                <c:pt idx="3">
                  <c:v>22.7</c:v>
                </c:pt>
                <c:pt idx="4">
                  <c:v>15.9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18.2</c:v>
                </c:pt>
                <c:pt idx="1">
                  <c:v>19.1</c:v>
                </c:pt>
                <c:pt idx="2">
                  <c:v>11.3</c:v>
                </c:pt>
                <c:pt idx="3">
                  <c:v>16</c:v>
                </c:pt>
                <c:pt idx="4">
                  <c:v>9.3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15.4</c:v>
                </c:pt>
                <c:pt idx="1">
                  <c:v>16.3</c:v>
                </c:pt>
                <c:pt idx="2">
                  <c:v>26.2</c:v>
                </c:pt>
                <c:pt idx="3">
                  <c:v>11.8</c:v>
                </c:pt>
                <c:pt idx="4">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Hoja1!$B$2:$B$9</c:f>
              <c:numCache>
                <c:formatCode>0.0"%"</c:formatCode>
                <c:ptCount val="8"/>
                <c:pt idx="0">
                  <c:v>5.6</c:v>
                </c:pt>
                <c:pt idx="1">
                  <c:v>6.2</c:v>
                </c:pt>
                <c:pt idx="2">
                  <c:v>5.6</c:v>
                </c:pt>
                <c:pt idx="3">
                  <c:v>-12.1</c:v>
                </c:pt>
                <c:pt idx="4">
                  <c:v>3.6</c:v>
                </c:pt>
                <c:pt idx="5">
                  <c:v>3.9</c:v>
                </c:pt>
                <c:pt idx="6">
                  <c:v>8.5</c:v>
                </c:pt>
                <c:pt idx="7">
                  <c:v>16.4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Hoja1!$C$2:$C$9</c:f>
              <c:numCache>
                <c:formatCode>0.0"%"</c:formatCode>
                <c:ptCount val="8"/>
                <c:pt idx="0">
                  <c:v>2</c:v>
                </c:pt>
                <c:pt idx="1">
                  <c:v>4</c:v>
                </c:pt>
                <c:pt idx="2">
                  <c:v>4</c:v>
                </c:pt>
                <c:pt idx="3">
                  <c:v>-7</c:v>
                </c:pt>
                <c:pt idx="4">
                  <c:v>4</c:v>
                </c:pt>
                <c:pt idx="5">
                  <c:v>0</c:v>
                </c:pt>
                <c:pt idx="6">
                  <c:v>3</c:v>
                </c:pt>
                <c:pt idx="7">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87</c:v>
                </c:pt>
                <c:pt idx="1">
                  <c:v>72</c:v>
                </c:pt>
                <c:pt idx="2">
                  <c:v>78</c:v>
                </c:pt>
                <c:pt idx="3">
                  <c:v>75</c:v>
                </c:pt>
                <c:pt idx="4">
                  <c:v>86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251</c:v>
                </c:pt>
                <c:pt idx="1">
                  <c:v>209</c:v>
                </c:pt>
                <c:pt idx="2">
                  <c:v>226</c:v>
                </c:pt>
                <c:pt idx="3">
                  <c:v>218</c:v>
                </c:pt>
                <c:pt idx="4">
                  <c:v>212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91</c:v>
                </c:pt>
                <c:pt idx="1">
                  <c:v>81</c:v>
                </c:pt>
                <c:pt idx="2">
                  <c:v>73</c:v>
                </c:pt>
                <c:pt idx="3">
                  <c:v>71</c:v>
                </c:pt>
                <c:pt idx="4">
                  <c:v>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90267</c:v>
                </c:pt>
                <c:pt idx="1">
                  <c:v>6953</c:v>
                </c:pt>
                <c:pt idx="2">
                  <c:v>-41777</c:v>
                </c:pt>
                <c:pt idx="3">
                  <c:v>105952</c:v>
                </c:pt>
                <c:pt idx="4">
                  <c:v>-1748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115742</c:v>
                </c:pt>
                <c:pt idx="1">
                  <c:v>143432</c:v>
                </c:pt>
                <c:pt idx="2">
                  <c:v>242566</c:v>
                </c:pt>
                <c:pt idx="3">
                  <c:v>117855</c:v>
                </c:pt>
                <c:pt idx="4">
                  <c:v>68172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16.1</c:v>
                </c:pt>
                <c:pt idx="1">
                  <c:v>16.7</c:v>
                </c:pt>
                <c:pt idx="2">
                  <c:v>10.2</c:v>
                </c:pt>
                <c:pt idx="3">
                  <c:v>15.1</c:v>
                </c:pt>
                <c:pt idx="4">
                  <c:v>7.9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6.9</c:v>
                </c:pt>
                <c:pt idx="1">
                  <c:v>6.9</c:v>
                </c:pt>
                <c:pt idx="2">
                  <c:v>6.9</c:v>
                </c:pt>
                <c:pt idx="3">
                  <c:v>6.9</c:v>
                </c:pt>
                <c:pt idx="4">
                  <c:v>6.9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22.7</c:v>
                </c:pt>
                <c:pt idx="1">
                  <c:v>24.9</c:v>
                </c:pt>
                <c:pt idx="2">
                  <c:v>34.7</c:v>
                </c:pt>
                <c:pt idx="3">
                  <c:v>15.6</c:v>
                </c:pt>
                <c:pt idx="4">
                  <c:v>8.7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0.77</c:v>
                </c:pt>
                <c:pt idx="1">
                  <c:v>0.98</c:v>
                </c:pt>
                <c:pt idx="2">
                  <c:v>0.12</c:v>
                </c:pt>
                <c:pt idx="3">
                  <c:v>0.17</c:v>
                </c:pt>
                <c:pt idx="4">
                  <c:v>0.73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(JPY,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2028</c:v>
                </c:pt>
                <c:pt idx="2">
                  <c:v>2030</c:v>
                </c:pt>
                <c:pt idx="3">
                  <c:v>2027-2035</c:v>
                </c:pt>
              </c:strCache>
            </c:strRef>
          </c:cat>
          <c:val>
            <c:numRef>
              <c:f>Hoja1!$B$2:$B$5</c:f>
              <c:numCache>
                <c:formatCode>#,##0</c:formatCode>
                <c:ptCount val="4"/>
                <c:pt idx="0">
                  <c:v>79876</c:v>
                </c:pt>
                <c:pt idx="1">
                  <c:v>14956</c:v>
                </c:pt>
                <c:pt idx="2">
                  <c:v>39884</c:v>
                </c:pt>
                <c:pt idx="3">
                  <c:v>104860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21837</c:v>
                </c:pt>
                <c:pt idx="1">
                  <c:v>4465</c:v>
                </c:pt>
                <c:pt idx="2">
                  <c:v>46613</c:v>
                </c:pt>
                <c:pt idx="3">
                  <c:v>8674</c:v>
                </c:pt>
                <c:pt idx="4">
                  <c:v>170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15616</c:v>
                </c:pt>
                <c:pt idx="1">
                  <c:v>18048</c:v>
                </c:pt>
                <c:pt idx="2">
                  <c:v>20240</c:v>
                </c:pt>
                <c:pt idx="3">
                  <c:v>20981</c:v>
                </c:pt>
                <c:pt idx="4">
                  <c:v>22556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30001</c:v>
                </c:pt>
                <c:pt idx="1">
                  <c:v>50003</c:v>
                </c:pt>
                <c:pt idx="2">
                  <c:v>180002</c:v>
                </c:pt>
                <c:pt idx="3">
                  <c:v>100002</c:v>
                </c:pt>
                <c:pt idx="4">
                  <c:v>50002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The Master Trust Bank of Japan (cuenta fiduciaria)</c:v>
                </c:pt>
                <c:pt idx="1">
                  <c:v>Custody Bank of Japan (cuenta fiduciaria)</c:v>
                </c:pt>
                <c:pt idx="2">
                  <c:v>BlackRock Japan y siete entidades vinculadas</c:v>
                </c:pt>
                <c:pt idx="3">
                  <c:v>Sumitomo Mitsui Trust Asset Management y una entidad vinculada</c:v>
                </c:pt>
                <c:pt idx="4">
                  <c:v>Nomura Asset Management y una entidad vinculada</c:v>
                </c:pt>
                <c:pt idx="5">
                  <c:v>State Street Bank and Trust (cuenta 505001)</c:v>
                </c:pt>
                <c:pt idx="6">
                  <c:v>Massachusetts Financial Services y una entidad vinculada</c:v>
                </c:pt>
                <c:pt idx="7">
                  <c:v>SMBC Trust Bank (fondo de pensiones de Sumitomo Mitsui Banking)</c:v>
                </c:pt>
                <c:pt idx="8">
                  <c:v>ValueAct Capital Master Fund</c:v>
                </c:pt>
                <c:pt idx="9">
                  <c:v>Autocartera</c:v>
                </c:pt>
              </c:strCache>
            </c:strRef>
          </c:cat>
          <c:val>
            <c:numRef>
              <c:f>Hoja1!$B$2:$B$11</c:f>
              <c:numCache>
                <c:formatCode>0.0"%"</c:formatCode>
                <c:ptCount val="10"/>
                <c:pt idx="0">
                  <c:v>19.14</c:v>
                </c:pt>
                <c:pt idx="1">
                  <c:v>6.71</c:v>
                </c:pt>
                <c:pt idx="2">
                  <c:v>7.25</c:v>
                </c:pt>
                <c:pt idx="3">
                  <c:v>6.2</c:v>
                </c:pt>
                <c:pt idx="4">
                  <c:v>5.05</c:v>
                </c:pt>
                <c:pt idx="5">
                  <c:v>5.21</c:v>
                </c:pt>
                <c:pt idx="6">
                  <c:v>3.83</c:v>
                </c:pt>
                <c:pt idx="7">
                  <c:v>3.59</c:v>
                </c:pt>
                <c:pt idx="9">
                  <c:v>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-15.5</c:v>
                </c:pt>
                <c:pt idx="1">
                  <c:v>7.6</c:v>
                </c:pt>
                <c:pt idx="2">
                  <c:v>-21.3</c:v>
                </c:pt>
                <c:pt idx="3">
                  <c:v>101.4</c:v>
                </c:pt>
                <c:pt idx="4">
                  <c:v>34.4</c:v>
                </c:pt>
                <c:pt idx="5">
                  <c:v>18</c:v>
                </c:pt>
                <c:pt idx="6">
                  <c:v>-10.7</c:v>
                </c:pt>
                <c:pt idx="7">
                  <c:v>-12.6</c:v>
                </c:pt>
                <c:pt idx="8">
                  <c:v>17.1</c:v>
                </c:pt>
                <c:pt idx="9">
                  <c:v>-15.4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22.2</c:v>
                </c:pt>
                <c:pt idx="2">
                  <c:v>-16.1</c:v>
                </c:pt>
                <c:pt idx="3">
                  <c:v>17.9</c:v>
                </c:pt>
                <c:pt idx="4">
                  <c:v>7.3</c:v>
                </c:pt>
                <c:pt idx="5">
                  <c:v>12.7</c:v>
                </c:pt>
                <c:pt idx="6">
                  <c:v>-2.3</c:v>
                </c:pt>
                <c:pt idx="7">
                  <c:v>27.9</c:v>
                </c:pt>
                <c:pt idx="8">
                  <c:v>20.3</c:v>
                </c:pt>
                <c:pt idx="9">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16.2</c:v>
                </c:pt>
                <c:pt idx="1">
                  <c:v>13.7</c:v>
                </c:pt>
                <c:pt idx="2">
                  <c:v>16</c:v>
                </c:pt>
                <c:pt idx="3">
                  <c:v>10</c:v>
                </c:pt>
                <c:pt idx="4">
                  <c:v>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12.4</c:v>
                </c:pt>
                <c:pt idx="1">
                  <c:v>12.4</c:v>
                </c:pt>
                <c:pt idx="2">
                  <c:v>12.4</c:v>
                </c:pt>
                <c:pt idx="3">
                  <c:v>12.4</c:v>
                </c:pt>
                <c:pt idx="4">
                  <c:v>12.4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Olympus</c:v>
                </c:pt>
                <c:pt idx="1">
                  <c:v>Hoya</c:v>
                </c:pt>
                <c:pt idx="2">
                  <c:v>Fujifilm</c:v>
                </c:pt>
                <c:pt idx="3">
                  <c:v>Terumo</c:v>
                </c:pt>
                <c:pt idx="4">
                  <c:v>Sysmex</c:v>
                </c:pt>
                <c:pt idx="5">
                  <c:v>Boston Scientific</c:v>
                </c:pt>
                <c:pt idx="6">
                  <c:v>Medtronic</c:v>
                </c:pt>
                <c:pt idx="7">
                  <c:v>Stryker</c:v>
                </c:pt>
                <c:pt idx="8">
                  <c:v>Intuitive Surgical</c:v>
                </c:pt>
                <c:pt idx="9">
                  <c:v>Smith &amp; Nephew</c:v>
                </c:pt>
              </c:strCache>
            </c:strRef>
          </c:cat>
          <c:val>
            <c:numRef>
              <c:f>Hoja1!$B$2:$B$11</c:f>
              <c:numCache>
                <c:formatCode>0.0"x"</c:formatCode>
                <c:ptCount val="10"/>
                <c:pt idx="0">
                  <c:v>8.9</c:v>
                </c:pt>
                <c:pt idx="1">
                  <c:v>18.9</c:v>
                </c:pt>
                <c:pt idx="2">
                  <c:v>8</c:v>
                </c:pt>
                <c:pt idx="3">
                  <c:v>10.2</c:v>
                </c:pt>
                <c:pt idx="4">
                  <c:v>9.8</c:v>
                </c:pt>
                <c:pt idx="5">
                  <c:v>10.6</c:v>
                </c:pt>
                <c:pt idx="6">
                  <c:v>12.6</c:v>
                </c:pt>
                <c:pt idx="7">
                  <c:v>14.5</c:v>
                </c:pt>
                <c:pt idx="8">
                  <c:v>24.7</c:v>
                </c:pt>
                <c:pt idx="9">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Olympus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4.4</c:v>
                </c:pt>
              </c:numCache>
            </c:numRef>
          </c:xVal>
          <c:yVal>
            <c:numRef>
              <c:f>Hoja1!$C$2</c:f>
              <c:numCache>
                <c:formatCode>0.0"x"</c:formatCode>
                <c:ptCount val="1"/>
                <c:pt idx="0">
                  <c:v>8.9</c:v>
                </c:pt>
              </c:numCache>
            </c:numRef>
          </c:yVal>
          <c:smooth val="0"/>
        </c:ser>
        <c:ser>
          <c:idx val="1"/>
          <c:order val="1"/>
          <c:tx>
            <c:strRef>
              <c:f>Hoja1!$A$3</c:f>
              <c:strCache>
                <c:ptCount val="1"/>
                <c:pt idx="0">
                  <c:v>Hoya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9.5</c:v>
                </c:pt>
              </c:numCache>
            </c:numRef>
          </c:xVal>
          <c:yVal>
            <c:numRef>
              <c:f>Hoja1!$C$3</c:f>
              <c:numCache>
                <c:formatCode>0.0"x"</c:formatCode>
                <c:ptCount val="1"/>
                <c:pt idx="0">
                  <c:v>18.9</c:v>
                </c:pt>
              </c:numCache>
            </c:numRef>
          </c:yVal>
          <c:smooth val="0"/>
        </c:ser>
        <c:ser>
          <c:idx val="2"/>
          <c:order val="2"/>
          <c:tx>
            <c:strRef>
              <c:f>Hoja1!$A$4</c:f>
              <c:strCache>
                <c:ptCount val="1"/>
                <c:pt idx="0">
                  <c:v>Fujifilm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5.1</c:v>
                </c:pt>
              </c:numCache>
            </c:numRef>
          </c:xVal>
          <c:yVal>
            <c:numRef>
              <c:f>Hoja1!$C$4</c:f>
              <c:numCache>
                <c:formatCode>0.0"x"</c:formatCode>
                <c:ptCount val="1"/>
                <c:pt idx="0">
                  <c:v>8</c:v>
                </c:pt>
              </c:numCache>
            </c:numRef>
          </c:yVal>
          <c:smooth val="0"/>
        </c:ser>
        <c:ser>
          <c:idx val="3"/>
          <c:order val="3"/>
          <c:tx>
            <c:strRef>
              <c:f>Hoja1!$A$5</c:f>
              <c:strCache>
                <c:ptCount val="1"/>
                <c:pt idx="0">
                  <c:v>Terumo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c:v>
                </c:pt>
              </c:numCache>
            </c:numRef>
          </c:xVal>
          <c:yVal>
            <c:numRef>
              <c:f>Hoja1!$C$5</c:f>
              <c:numCache>
                <c:formatCode>0.0"x"</c:formatCode>
                <c:ptCount val="1"/>
                <c:pt idx="0">
                  <c:v>10.2</c:v>
                </c:pt>
              </c:numCache>
            </c:numRef>
          </c:yVal>
          <c:smooth val="0"/>
        </c:ser>
        <c:ser>
          <c:idx val="4"/>
          <c:order val="4"/>
          <c:tx>
            <c:strRef>
              <c:f>Hoja1!$A$6</c:f>
              <c:strCache>
                <c:ptCount val="1"/>
                <c:pt idx="0">
                  <c:v>Sysmex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7.9</c:v>
                </c:pt>
              </c:numCache>
            </c:numRef>
          </c:xVal>
          <c:yVal>
            <c:numRef>
              <c:f>Hoja1!$C$6</c:f>
              <c:numCache>
                <c:formatCode>0.0"x"</c:formatCode>
                <c:ptCount val="1"/>
                <c:pt idx="0">
                  <c:v>9.8</c:v>
                </c:pt>
              </c:numCache>
            </c:numRef>
          </c:yVal>
          <c:smooth val="0"/>
        </c:ser>
        <c:ser>
          <c:idx val="5"/>
          <c:order val="5"/>
          <c:tx>
            <c:strRef>
              <c:f>Hoja1!$A$7</c:f>
              <c:strCache>
                <c:ptCount val="1"/>
                <c:pt idx="0">
                  <c:v>Boston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5.1</c:v>
                </c:pt>
              </c:numCache>
            </c:numRef>
          </c:xVal>
          <c:yVal>
            <c:numRef>
              <c:f>Hoja1!$C$7</c:f>
              <c:numCache>
                <c:formatCode>0.0"x"</c:formatCode>
                <c:ptCount val="1"/>
                <c:pt idx="0">
                  <c:v>10.6</c:v>
                </c:pt>
              </c:numCache>
            </c:numRef>
          </c:yVal>
          <c:smooth val="0"/>
        </c:ser>
        <c:ser>
          <c:idx val="6"/>
          <c:order val="6"/>
          <c:tx>
            <c:strRef>
              <c:f>Hoja1!$A$8</c:f>
              <c:strCache>
                <c:ptCount val="1"/>
                <c:pt idx="0">
                  <c:v>Medtronic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5.5</c:v>
                </c:pt>
              </c:numCache>
            </c:numRef>
          </c:xVal>
          <c:yVal>
            <c:numRef>
              <c:f>Hoja1!$C$8</c:f>
              <c:numCache>
                <c:formatCode>0.0"x"</c:formatCode>
                <c:ptCount val="1"/>
                <c:pt idx="0">
                  <c:v>12.6</c:v>
                </c:pt>
              </c:numCache>
            </c:numRef>
          </c:yVal>
          <c:smooth val="0"/>
        </c:ser>
        <c:ser>
          <c:idx val="7"/>
          <c:order val="7"/>
          <c:tx>
            <c:strRef>
              <c:f>Hoja1!$A$9</c:f>
              <c:strCache>
                <c:ptCount val="1"/>
                <c:pt idx="0">
                  <c:v>Stryker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8.5</c:v>
                </c:pt>
              </c:numCache>
            </c:numRef>
          </c:xVal>
          <c:yVal>
            <c:numRef>
              <c:f>Hoja1!$C$9</c:f>
              <c:numCache>
                <c:formatCode>0.0"x"</c:formatCode>
                <c:ptCount val="1"/>
                <c:pt idx="0">
                  <c:v>14.5</c:v>
                </c:pt>
              </c:numCache>
            </c:numRef>
          </c:yVal>
          <c:smooth val="0"/>
        </c:ser>
        <c:ser>
          <c:idx val="8"/>
          <c:order val="8"/>
          <c:tx>
            <c:strRef>
              <c:f>Hoja1!$A$10</c:f>
              <c:strCache>
                <c:ptCount val="1"/>
                <c:pt idx="0">
                  <c:v>Intuitive Surgical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14.2</c:v>
                </c:pt>
              </c:numCache>
            </c:numRef>
          </c:xVal>
          <c:yVal>
            <c:numRef>
              <c:f>Hoja1!$C$10</c:f>
              <c:numCache>
                <c:formatCode>0.0"x"</c:formatCode>
                <c:ptCount val="1"/>
                <c:pt idx="0">
                  <c:v>24.7</c:v>
                </c:pt>
              </c:numCache>
            </c:numRef>
          </c:yVal>
          <c:smooth val="0"/>
        </c:ser>
        <c:ser>
          <c:idx val="9"/>
          <c:order val="9"/>
          <c:tx>
            <c:strRef>
              <c:f>Hoja1!$A$11</c:f>
              <c:strCache>
                <c:ptCount val="1"/>
                <c:pt idx="0">
                  <c:v>Smith &amp; Nephew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5.1</c:v>
                </c:pt>
              </c:numCache>
            </c:numRef>
          </c:xVal>
          <c:yVal>
            <c:numRef>
              <c:f>Hoja1!$C$11</c:f>
              <c:numCache>
                <c:formatCode>0.0"x"</c:formatCode>
                <c:ptCount val="1"/>
                <c:pt idx="0">
                  <c:v>8.4</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Evident (negocio científico de Olympus)</c:v>
                </c:pt>
                <c:pt idx="1">
                  <c:v>Cantel Medical</c:v>
                </c:pt>
                <c:pt idx="2">
                  <c:v>Axonics</c:v>
                </c:pt>
                <c:pt idx="3">
                  <c:v>Shockwave Medical</c:v>
                </c:pt>
                <c:pt idx="4">
                  <c:v>Inari Medical</c:v>
                </c:pt>
                <c:pt idx="5">
                  <c:v>Hologic</c:v>
                </c:pt>
                <c:pt idx="6">
                  <c:v>BioProtect</c:v>
                </c:pt>
              </c:strCache>
            </c:strRef>
          </c:cat>
          <c:val>
            <c:numRef>
              <c:f>Hoja1!$B$2:$B$8</c:f>
              <c:numCache>
                <c:formatCode>0.0"x"</c:formatCode>
                <c:ptCount val="7"/>
                <c:pt idx="3">
                  <c:v>54</c:v>
                </c:pt>
                <c:pt idx="5">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69524</c:v>
                </c:pt>
                <c:pt idx="1">
                  <c:v>80820</c:v>
                </c:pt>
                <c:pt idx="2">
                  <c:v>90779</c:v>
                </c:pt>
                <c:pt idx="3">
                  <c:v>101678</c:v>
                </c:pt>
                <c:pt idx="4">
                  <c:v>110313</c:v>
                </c:pt>
                <c:pt idx="5">
                  <c:v>119289</c:v>
                </c:pt>
                <c:pt idx="6">
                  <c:v>127780</c:v>
                </c:pt>
                <c:pt idx="7">
                  <c:v>136032</c:v>
                </c:pt>
                <c:pt idx="8">
                  <c:v>142267</c:v>
                </c:pt>
                <c:pt idx="9">
                  <c:v>148978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776985</c:v>
                </c:pt>
                <c:pt idx="1">
                  <c:v>1649913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1.685,00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1257.43</c:v>
                </c:pt>
                <c:pt idx="1">
                  <c:v>2030.05</c:v>
                </c:pt>
                <c:pt idx="2">
                  <c:v>2510.44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1.685,00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(1.302,50 – 2.210,50)</c:v>
                </c:pt>
                <c:pt idx="1">
                  <c:v>Precio objetivo de los analistas (1.800,00 – 3.300,00)</c:v>
                </c:pt>
                <c:pt idx="2">
                  <c:v>Comparables: EV/EBITDA NTM (1.887,26 – 2.913,90)</c:v>
                </c:pt>
                <c:pt idx="3">
                  <c:v>Comparables: PER NTM (1.826,66 – 2.670,55)</c:v>
                </c:pt>
                <c:pt idx="4">
                  <c:v>DCF (WACC y g ± 0,5) (1.689,18 – 2.542,94)</c:v>
                </c:pt>
                <c:pt idx="5">
                  <c:v>Escenarios (bajista – alcista) (1.257,43 – 2.510,44)</c:v>
                </c:pt>
                <c:pt idx="6">
                  <c:v>DCF con la prima implícita del mercado (4,2 %)</c:v>
                </c:pt>
                <c:pt idx="7">
                  <c:v>Precio actual (1.685,00)</c:v>
                </c:pt>
              </c:strCache>
            </c:strRef>
          </c:cat>
          <c:val>
            <c:numRef>
              <c:f>Hoja1!$B$2:$B$9</c:f>
              <c:numCache>
                <c:formatCode>#,##0</c:formatCode>
                <c:ptCount val="8"/>
                <c:pt idx="0">
                  <c:v>1302.5</c:v>
                </c:pt>
                <c:pt idx="1">
                  <c:v>1800</c:v>
                </c:pt>
                <c:pt idx="2">
                  <c:v>1887.26</c:v>
                </c:pt>
                <c:pt idx="3">
                  <c:v>1826.66</c:v>
                </c:pt>
                <c:pt idx="4">
                  <c:v>1689.18</c:v>
                </c:pt>
                <c:pt idx="5">
                  <c:v>1257.43</c:v>
                </c:pt>
                <c:pt idx="6">
                  <c:v>1819.2</c:v>
                </c:pt>
                <c:pt idx="7">
                  <c:v>1676.58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(1.302,50 – 2.210,50)</c:v>
                </c:pt>
                <c:pt idx="1">
                  <c:v>Precio objetivo de los analistas (1.800,00 – 3.300,00)</c:v>
                </c:pt>
                <c:pt idx="2">
                  <c:v>Comparables: EV/EBITDA NTM (1.887,26 – 2.913,90)</c:v>
                </c:pt>
                <c:pt idx="3">
                  <c:v>Comparables: PER NTM (1.826,66 – 2.670,55)</c:v>
                </c:pt>
                <c:pt idx="4">
                  <c:v>DCF (WACC y g ± 0,5) (1.689,18 – 2.542,94)</c:v>
                </c:pt>
                <c:pt idx="5">
                  <c:v>Escenarios (bajista – alcista) (1.257,43 – 2.510,44)</c:v>
                </c:pt>
                <c:pt idx="6">
                  <c:v>DCF con la prima implícita del mercado (4,2 %)</c:v>
                </c:pt>
                <c:pt idx="7">
                  <c:v>Precio actual (1.685,00)</c:v>
                </c:pt>
              </c:strCache>
            </c:strRef>
          </c:cat>
          <c:val>
            <c:numRef>
              <c:f>Hoja1!$C$2:$C$9</c:f>
              <c:numCache>
                <c:formatCode>#,##0</c:formatCode>
                <c:ptCount val="8"/>
                <c:pt idx="0">
                  <c:v>908</c:v>
                </c:pt>
                <c:pt idx="1">
                  <c:v>1500</c:v>
                </c:pt>
                <c:pt idx="2">
                  <c:v>1026.64</c:v>
                </c:pt>
                <c:pt idx="3">
                  <c:v>843.8900000000001</c:v>
                </c:pt>
                <c:pt idx="4">
                  <c:v>853.76</c:v>
                </c:pt>
                <c:pt idx="5">
                  <c:v>1253.01</c:v>
                </c:pt>
                <c:pt idx="6">
                  <c:v>497.03</c:v>
                </c:pt>
                <c:pt idx="7">
                  <c:v>16.840000000000146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