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TUI AG</w:t>
      </w:r>
    </w:p>
    <w:p>
      <w:pPr>
        <w:spacing w:after="60"/>
        <w:rPr>
          <w:color w:val="52514E"/>
          <w:sz w:val="22"/>
          <w:szCs w:val="22"/>
        </w:rPr>
      </w:pPr>
      <w:r>
        <w:rPr>
          <w:color w:val="52514E"/>
          <w:sz w:val="22"/>
          <w:szCs w:val="22"/>
        </w:rPr>
        <w:t xml:space="preserve">TUI1 · Xetra (Deutsche Börse) · ISIN DE000TUAG505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9,13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+36,7 % (base +30,4 %)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19,26 EUR · mercado 22,19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3.425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TUI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TUI1 / DE000TUAG505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(Deutsche Börse)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Hotels, Resorts &amp; Cruise Lines / Travel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Hannover, Alemania · 1923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https://www.tuigroup.com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 – 9,56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20,5 M EUR/día (3 meses; 2,9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9,13 EUR</w:t>
      </w:r>
      <w:r>
        <w:t xml:space="preserve"> frente a 6,75 · Rentabilidad a 12 meses </w:t>
      </w:r>
      <w:r>
        <w:rPr>
          <w:b/>
          <w:bCs/>
        </w:rPr>
        <w:t xml:space="preserve">+36,7 % (base +30,4 %)</w:t>
      </w:r>
      <w:r>
        <w:t xml:space="preserve"> · Valor intrínseco 19,26 EUR · con la prima implícita del mercado: 22,19 (+228,7 %) · Alcista / bajista +306,5 % / +66,8 %</w:t>
      </w:r>
    </w:p>
    <w:p>
      <w:pPr>
        <w:spacing w:after="100"/>
      </w:pPr>
      <w:r>
        <w:rPr>
          <w:b/>
        </w:rPr>
        <w:t xml:space="preserve">La recomendación y por qué.</w:t>
      </w:r>
      <w:r>
        <w:t xml:space="preserve"> Comprar, con convicción media. La regla a 12 meses da un objetivo ponderado de 9,13 € (+36,7 % con dividendo; +30,4 % el base) frente a un precio de 6,75 € (cierre del 16-oct-2026 en Xetra; hoy, 19-oct, 6,66 € a las 15:57 CEST (Yahoo, 6,656)) [28]. El base es un PER de 6,8x, el de siempre desde el rescate, por un BPA de FY2028e de 1,28 €, igual que el de FY2025: no pedimos un múltiplo mayor ni un beneficio de pico. Con un BPA un 10 % menor el base sigue por encima del 12 %. La convicción subiría con una guía de FY2027 de diciembre por encima de 1.300 M de EBIT subyacente; bajaría con el queroseno por encima de 150 USD/barril en primavera.</w:t>
      </w:r>
    </w:p>
    <w:p>
      <w:pPr>
        <w:spacing w:after="100"/>
      </w:pPr>
      <w:r>
        <w:rPr>
          <w:b/>
        </w:rPr>
        <w:t xml:space="preserve">Por qué ha caído un 30 %.</w:t>
      </w:r>
      <w:r>
        <w:t xml:space="preserve"> Del máximo de 9,56 € (9-feb) a 6,75 € [28]. La guerra de Irán desde el 2-mar disparó el queroseno (192 USD/barril en octubre frente a ≈ 90 en 2025) y vació destinos del Mediterráneo oriental [18]; TUI rebajó la guía de FY2026 el 22-abr y la estrechó a 1.200-1.300 M de EBIT subyacente el 22-sep (FY2025: 1.413 M) [9, 14]; las reservas de verano bajaron un 5 % y las del invierno 2026/27 van un 7 % por debajo [9]. No hay escisión de cruceros u hoteles anunciada ni ventas de directivos: solo compras [26].</w:t>
      </w:r>
    </w:p>
    <w:p>
      <w:pPr>
        <w:spacing w:after="100"/>
      </w:pPr>
      <w:r>
        <w:rPr>
          <w:b/>
        </w:rPr>
        <w:t xml:space="preserve">El negocio.</w:t>
      </w:r>
      <w:r>
        <w:t xml:space="preserve"> TUI es el mayor grupo de vacaciones de Europa: vende paquetes con vuelo a 20 M de clientes con su propia aerolínea, y tiene 463 hoteles (Riu, Robinson, TUI Blue) y 19 barcos de crucero (TUI Cruises con Royal Caribbean, Marella) [1, 13]. El turoperador da el 87 % de las ventas y el 14 % del beneficio; hoteles y cruceros, el 86 % [1]. </w:t>
      </w:r>
      <w:r>
        <w:rPr>
          <w:b/>
        </w:rPr>
        <w:t xml:space="preserve">Calidad: Sí</w:t>
      </w:r>
      <w:r>
        <w:t xml:space="preserve">: ROIC sin participadas del 20,2 % frente a un WACC del 8,83 % (11,4 puntos) y la sostenibilidad del crecimiento es «Sí»: el 2,4 % anual proyectado es menor que el del mercado y casi no pide capital, con poder de precios demostrado en hoteles y cruceros [9]. El riesgo es cíclico, no estructural.</w:t>
      </w:r>
    </w:p>
    <w:p>
      <w:pPr>
        <w:spacing w:after="100"/>
      </w:pPr>
      <w:r>
        <w:rPr>
          <w:b/>
        </w:rPr>
        <w:t xml:space="preserve">Finanzas.</w:t>
      </w:r>
      <w:r>
        <w:t xml:space="preserve"> Ventas de 24.179 M en FY2025 y EBIT subyacente récord de 1.413 M, con 464 M de participadas [1]. BPA de 1,25 € y primer dividendo desde 2019 (0,10 €). Deuda neta con arrendamientos de 1.305 M a sep-25 (0,6 veces el EBITDA) y de 2.348 M a jun-26 [1, 2]; rating BB-/Ba3/BB con Moody's en positivo. Resultados de FY2026 el 9-dic-2026.</w:t>
      </w:r>
    </w:p>
    <w:p>
      <w:pPr>
        <w:spacing w:after="100"/>
      </w:pPr>
      <w:r>
        <w:rPr>
          <w:b/>
        </w:rPr>
        <w:t xml:space="preserve">Equipo y gobierno.</w:t>
      </w:r>
      <w:r>
        <w:t xml:space="preserve"> Sebastian Ebel, consejero delegado desde 2022, cumplió la guía en FY2023-FY2025 y devolvió el rescate [9]. Sin accionista de control; el bloque de Mordashov está congelado y la familia Riu es socia en los hoteles con derecho de cambio de control [27]. El informe de remuneraciones tuvo un 16 % en contra [24]. En abril salieron los dos responsables de Markets + Airline [14].</w:t>
      </w:r>
    </w:p>
    <w:p>
      <w:pPr>
        <w:spacing w:after="100"/>
      </w:pPr>
      <w:r>
        <w:rPr>
          <w:b/>
        </w:rPr>
        <w:t xml:space="preserve">Valoración.</w:t>
      </w:r>
      <w:r>
        <w:t xml:space="preserve"> El DCF da 20,18 € con el Bund al 3,48 % y una beta de 1,30 [32]; el precio equivale a un margen EBITDA sin participadas del 5,3 % para siempre (FY2023-FY2025: 7,0-7,6 %). El valor intrínseco ponderado (19,26 €) triplica el precio, pero el DCF no modela una crisis como la de 2020: la decisión la da la regla a 12 meses. Nuestro BPA de FY2027e (0,97 €) está un 27 % por debajo del consenso (1,33 €) [29].</w:t>
      </w:r>
    </w:p>
    <w:p>
      <w:pPr>
        <w:spacing w:after="100"/>
      </w:pPr>
      <w:r>
        <w:rPr>
          <w:b/>
        </w:rPr>
        <w:t xml:space="preserve">Riesgos y catalizadores.</w:t>
      </w:r>
      <w:r>
        <w:t xml:space="preserve"> El riesgo principal es el queroseno en el verano 2027 con solo el 39 % cubierto (bajista: −39 %) [9]; le siguen la demanda de Reino Unido y Alemania y la geopolítica en destinos. </w:t>
      </w:r>
      <w:r>
        <w:rPr>
          <w:b/>
        </w:rPr>
        <w:t xml:space="preserve">Riesgo de IA: medio</w:t>
      </w:r>
      <w:r>
        <w:t xml:space="preserve">, negativo para el turoperador. Catalizadores: resultados y guía de FY2027 el 9-dic [9], dividendo en febrero y los 250 M de ahorros de Markets + Airline [11]. Veredicto de precio y noticias: no cambia. Sentimiento en redes: dividido [35, 36].</w:t>
      </w:r>
    </w:p>
    <w:p>
      <w:pPr>
        <w:spacing w:after="100"/>
      </w:pPr>
      <w:r>
        <w:rPr>
          <w:b/>
        </w:rPr>
        <w:t xml:space="preserve">Qué cambiaría la decisión.</w:t>
      </w:r>
      <w:r>
        <w:t xml:space="preserve"> La regla compra por debajo de 7,86 € y vende por encima de 10,25 €. Una guía de FY2027 por debajo de 1.150 M de EBIT subyacente nos haría bajar el base; la vuelta del queroseno a 100 USD/barril, subirlo.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9,13 EUR</w:t>
      </w:r>
      <w:r>
        <w:t xml:space="preserve"> (rentabilidad +36,7 % (base +30,4 %)) · Valor intrínseco: 19,26 EUR (+185,3 % sobre 6,75) · con la prima implícita del mercado: 22,19 (+228,7 %)</w:t>
      </w:r>
    </w:p>
    <w:p>
      <w:pPr>
        <w:spacing w:after="100"/>
      </w:pPr>
      <w:r>
        <w:t xml:space="preserve">TUI es un turoperador de margen bajo pegado a un negocio de hoteles y cruceros de margen alto, y el mercado lo paga como si todo fuera turoperador: 2,5 veces el EBITDA y 5 veces el beneficio de consenso [31].</w:t>
      </w:r>
    </w:p>
    <w:p>
      <w:pPr>
        <w:spacing w:after="100"/>
      </w:pPr>
      <w:r>
        <w:t xml:space="preserve">FY2026-FY2027 son años flojos (guerra de Irán, queroseno, reservas tardías), pero los hoteles suben precios y TUI Cruises añade barcos [9]. Si FY2028 vuelve al beneficio de FY2025 (1,28 € por acción), a 6,8 veces la acción vale 8,70 € más dividendo.</w:t>
      </w:r>
    </w:p>
    <w:p>
      <w:pPr>
        <w:spacing w:after="100"/>
      </w:pPr>
      <w:r>
        <w:t xml:space="preserve">El riesgo es el de siempre en TUI: una crisis que obligue a devolver los cobros anticipados. Hoy la deuda es baja (0,6 veces el EBITDA) y los directivos compran [1, 26].</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 × 0,79 = 4,11 · 6,8x × 1,28 = 8,70 · 9,2x × 1,63 = 15,00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 / 30,4 %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 (nuestro base -11,7 %)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306,5 % / 66,8 %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7,86 y 10,25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10,25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objetivo ponderado de 9,13 € (+36,7 % con dividendo; base +30,4 %) y valor intrínseco de 19,26 €, muy por encima del precio. El base no necesita que el mercado pague más (6,8 veces, el PER de hoy y la mediana de FY2022-FY2025) ni un beneficio de pico: el BPA de FY2028e (1,28 €) es el de FY2025 (1,25 €). La convicción es media, no alta: FY2027 depende del queroseno (solo el 39 % del verano 2027 cubierto) y el bajista (−39 %) es verosímil en una empresa que ya necesitó un rescate.</w:t>
      </w:r>
    </w:p>
    <w:p>
      <w:pPr>
        <w:pStyle w:val="Heading2"/>
      </w:pPr>
      <w:r>
        <w:t xml:space="preserve">Qué cambiaría la recomendación</w:t>
      </w:r>
    </w:p>
    <w:p>
      <w:pPr>
        <w:pStyle w:val="ListParagraph"/>
        <w:numPr>
          <w:ilvl w:val="0"/>
          <w:numId w:val="2"/>
        </w:numPr>
        <w:spacing w:after="60"/>
      </w:pPr>
      <w:r>
        <w:t xml:space="preserve">Guía de EBIT subyacente de FY2027 por debajo de 1.150 M: bajaríamos el base.</w:t>
      </w:r>
    </w:p>
    <w:p>
      <w:pPr>
        <w:pStyle w:val="ListParagraph"/>
        <w:numPr>
          <w:ilvl w:val="0"/>
          <w:numId w:val="2"/>
        </w:numPr>
        <w:spacing w:after="60"/>
      </w:pPr>
      <w:r>
        <w:t xml:space="preserve">Queroseno por encima de 150 USD/barril en marzo de 2027 con el verano poco cubierto: pasaríamos al bajista.</w:t>
      </w:r>
    </w:p>
    <w:p>
      <w:pPr>
        <w:pStyle w:val="ListParagraph"/>
        <w:numPr>
          <w:ilvl w:val="0"/>
          <w:numId w:val="2"/>
        </w:numPr>
        <w:spacing w:after="60"/>
      </w:pPr>
      <w:r>
        <w:t xml:space="preserve">Precio por encima de 10,25 €: Vender.</w:t>
      </w:r>
    </w:p>
    <w:p>
      <w:pPr>
        <w:pStyle w:val="ListParagraph"/>
        <w:numPr>
          <w:ilvl w:val="0"/>
          <w:numId w:val="2"/>
        </w:numPr>
        <w:spacing w:after="60"/>
      </w:pPr>
      <w:r>
        <w:t xml:space="preserve">Una escisión o venta de cruceros u hoteles: rehacer la suma de partes.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FY2023-FY2025 fue de pico: el precio equivale a un margen EBITDA sin participadas del 5,3 % para siempre o a 2,5 veces el EBITDA.</w:t>
      </w:r>
    </w:p>
    <w:p>
      <w:pPr>
        <w:keepNext/>
        <w:spacing w:after="100"/>
      </w:pPr>
      <w:r>
        <w:rPr>
          <w:b/>
          <w:bCs/>
        </w:rPr>
        <w:t xml:space="preserve">Lo que creemos nosotros.</w:t>
      </w:r>
    </w:p>
    <w:p>
      <w:pPr>
        <w:spacing w:after="100"/>
      </w:pPr>
      <w:r>
        <w:t xml:space="preserve">FY2027 será flojo (nuestro BPA, 0,97 €, está un 27 % por debajo del consenso), pero FY2028 vuelve al nivel de FY2025 porque hoteles y cruceros siguen creciendo con precio. No hace falta un PER mayor.</w:t>
      </w:r>
    </w:p>
    <w:p>
      <w:pPr>
        <w:keepNext/>
        <w:spacing w:after="100"/>
      </w:pPr>
      <w:r>
        <w:rPr>
          <w:b/>
          <w:bCs/>
        </w:rPr>
        <w:t xml:space="preserve">Por qué podemos tener razón.</w:t>
      </w:r>
    </w:p>
    <w:p>
      <w:pPr>
        <w:spacing w:after="100"/>
      </w:pPr>
      <w:r>
        <w:t xml:space="preserve">Precio por noche de los hoteles +4 % y días de crucero +12-17 % con precio al alza [9]; deuda neta de 0,6 veces el EBITDA y RCF sin disponer [1, 2]; inversión en barcos dentro de la sociedad conjunta [21].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Barata</w:t>
      </w:r>
      <w:r>
        <w:t xml:space="preserve">: 6,9 veces nuestro BPA de FY2027e y 2,5 veces el EBITDA de los últimos 12 meses [31].</w:t>
      </w:r>
    </w:p>
    <w:p>
      <w:pPr>
        <w:pStyle w:val="ListParagraph"/>
        <w:numPr>
          <w:ilvl w:val="0"/>
          <w:numId w:val="2"/>
        </w:numPr>
        <w:spacing w:after="60"/>
      </w:pPr>
      <w:r>
        <w:rPr>
          <w:b/>
        </w:rPr>
        <w:t xml:space="preserve">El beneficio está en hoteles y cruceros</w:t>
      </w:r>
      <w:r>
        <w:t xml:space="preserve">: 86 % del EBIT subyacente de FY2025, con precios al alza [1, 9].</w:t>
      </w:r>
    </w:p>
    <w:p>
      <w:pPr>
        <w:pStyle w:val="ListParagraph"/>
        <w:numPr>
          <w:ilvl w:val="0"/>
          <w:numId w:val="2"/>
        </w:numPr>
        <w:spacing w:after="60"/>
      </w:pPr>
      <w:r>
        <w:rPr>
          <w:b/>
        </w:rPr>
        <w:t xml:space="preserve">Balance saneado</w:t>
      </w:r>
      <w:r>
        <w:t xml:space="preserve">: deuda neta de 0,6 veces el EBITDA a sep-25 y Moody's en positivo [1].</w:t>
      </w:r>
    </w:p>
    <w:p>
      <w:pPr>
        <w:pStyle w:val="ListParagraph"/>
        <w:numPr>
          <w:ilvl w:val="0"/>
          <w:numId w:val="2"/>
        </w:numPr>
        <w:spacing w:after="60"/>
      </w:pPr>
      <w:r>
        <w:rPr>
          <w:b/>
        </w:rPr>
        <w:t xml:space="preserve">Directivos comprando</w:t>
      </w:r>
      <w:r>
        <w:t xml:space="preserve">: solo compras en 2026, la última el 22-sep a 6,40-6,53 € [26].</w:t>
      </w:r>
    </w:p>
    <w:p>
      <w:pPr>
        <w:pStyle w:val="Heading2"/>
      </w:pPr>
      <w:r>
        <w:t xml:space="preserve">En contra</w:t>
      </w:r>
    </w:p>
    <w:p>
      <w:pPr>
        <w:pStyle w:val="ListParagraph"/>
        <w:numPr>
          <w:ilvl w:val="0"/>
          <w:numId w:val="2"/>
        </w:numPr>
        <w:spacing w:after="60"/>
      </w:pPr>
      <w:r>
        <w:rPr>
          <w:b/>
        </w:rPr>
        <w:t xml:space="preserve">Queroseno</w:t>
      </w:r>
      <w:r>
        <w:t xml:space="preserve">: solo el 39 % del verano 2027 cubierto con el combustible a 192 USD/barril [9, 18].</w:t>
      </w:r>
    </w:p>
    <w:p>
      <w:pPr>
        <w:pStyle w:val="ListParagraph"/>
        <w:numPr>
          <w:ilvl w:val="0"/>
          <w:numId w:val="2"/>
        </w:numPr>
        <w:spacing w:after="60"/>
      </w:pPr>
      <w:r>
        <w:rPr>
          <w:b/>
        </w:rPr>
        <w:t xml:space="preserve">Reservas a la baja</w:t>
      </w:r>
      <w:r>
        <w:t xml:space="preserve">: invierno 2026/27 −7 % [9].</w:t>
      </w:r>
    </w:p>
    <w:p>
      <w:pPr>
        <w:pStyle w:val="ListParagraph"/>
        <w:numPr>
          <w:ilvl w:val="0"/>
          <w:numId w:val="2"/>
        </w:numPr>
        <w:spacing w:after="60"/>
      </w:pPr>
      <w:r>
        <w:rPr>
          <w:b/>
        </w:rPr>
        <w:t xml:space="preserve">Historial</w:t>
      </w:r>
      <w:r>
        <w:t xml:space="preserve">: rescate público en 2020 y 75 % de caída máxima [28].</w:t>
      </w:r>
    </w:p>
    <w:p>
      <w:pPr>
        <w:pStyle w:val="ListParagraph"/>
        <w:numPr>
          <w:ilvl w:val="0"/>
          <w:numId w:val="2"/>
        </w:numPr>
        <w:spacing w:after="60"/>
      </w:pPr>
      <w:r>
        <w:rPr>
          <w:b/>
        </w:rPr>
        <w:t xml:space="preserve">Minoritarios</w:t>
      </w:r>
      <w:r>
        <w:t xml:space="preserve">: ≈ 200 M al año del beneficio es de la familia Riu [1].</w:t>
      </w:r>
    </w:p>
    <w:p>
      <w:pPr>
        <w:pStyle w:val="Heading2"/>
      </w:pPr>
      <w:r>
        <w:t xml:space="preserve">Qué tiene que pasar para que la tesis funcione</w:t>
      </w:r>
    </w:p>
    <w:p>
      <w:pPr>
        <w:spacing w:after="100"/>
      </w:pPr>
      <w:r>
        <w:t xml:space="preserve">La guía de FY2027 del 9-dic y la cobertura del verano 2027. La tesis aguanta si la guía de EBIT subyacente de FY2027 está en 1.250 M o más y el invierno mejora del −7 %; falla si la guía baja de 1.150 M o el queroseno sigue por encima de 150 USD/barril al cierre de marzo.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reservados de Markets + Airline (invierno 2026/27 y verano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Invierno −7 %; últimas 4 semanas −1 %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−7 % en diciembre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del negocio más cíclico.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combustible del verano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60 % en febrero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margen de FY2027.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noche de Hoteles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4T FY2026; +1 % en el 1S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del negocio que da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 de TUI Cruises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puntos en el 1S FY2027 con capacidad +17 %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−6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TUI Cruises es la mayor participada.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 a sep-25 [1]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1,0x a sep-26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colchón para una crisis.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 / 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TUI nace de Preussag, un grupo industrial y minero alemán de 1923 que entre 1997 y 2002 vendió la industria y compró Hapag-Lloyd y el turoperador TUI [1]. En 2007 fusionó su negocio de viajes con First Choice en TUI Travel, cotizada en Londres, y en 2014 TUI AG y TUI Travel se fusionaron [1]. En la pandemia TUI casi quiebra: recibió 4.300 M de ayudas del Estado alemán (WSF) y préstamos de KfW, que devolvió en 2023 con una ampliación de capital [7]. Desde 2023 la estrategia es pasar de turoperador a grupo de «experiencias» (hoteles, cruceros, actividades) con poco capital propio («asset-right»)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Preussag (minería e industria)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Preussag pasa a llamarse TUI AG tras vender la industria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First Choice: TUI Travel en Londres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TUI AG y TUI Travel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4.300 M de ayuda del Estado alemán; pérdida de 3.100 M en FY2020 y 2.467 M en FY2021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Agrupación 10:1, ampliación de 1.800 M y devolución completa de la ayuda; cotización principal vuelve a Fráncfort (2024)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récord de 1.413 M y primer dividendo desde 2019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de Irán: queroseno disparado, guía de FY2026 rebajada a 1.100-1.400 M (abril) y estrechada a 1.200-1.300 M (septiembre) [9].</w:t>
            </w:r>
          </w:p>
        </w:tc>
      </w:tr>
    </w:tbl>
    <w:p>
      <w:pPr>
        <w:spacing w:after="160" w:before="0"/>
      </w:pPr>
    </w:p>
    <w:p>
      <w:pPr>
        <w:pStyle w:val="Heading1"/>
      </w:pPr>
      <w:r>
        <w:t xml:space="preserve">2. Modelo de negocio</w:t>
      </w:r>
    </w:p>
    <w:p>
      <w:pPr>
        <w:spacing w:after="100"/>
      </w:pPr>
      <w:r>
        <w:t xml:space="preserve">TUI es el mayor grupo de viajes de vacaciones de Europa: vende paquetes (vuelo, hotel y traslado) a 20 M de clientes de Alemania, Reino Unido, Benelux, Nórdicos, Francia y Polonia, con su propia aerolínea (125 aviones) [1, 13]. Además tiene el negocio de destino, que da la mayor parte del beneficio: 463 hoteles (Riu, Robinson, TUI Blue), 19 barcos de crucero (TUI Cruises con Royal Caribbean y Marella) y TUI Musement (excursiones y traslados) [13]. Los hoteles y cruceros se llenan en parte con los clientes de los turoperadores del grupo («integración vertical») [13]. En FY2025, con 24.179 M de ventas, Markets + Airline generó el 87 % de las ventas pero solo el 14 % del EBIT subyacente; Hoteles y Cruceros, el 86 % [1].</w:t>
      </w:r>
    </w:p>
    <w:p>
      <w:pPr>
        <w:pStyle w:val="Heading2"/>
      </w:pPr>
      <w:r>
        <w:t xml:space="preserve">Cómo gana dinero</w:t>
      </w:r>
    </w:p>
    <w:p>
      <w:pPr>
        <w:spacing w:after="100"/>
      </w:pPr>
      <w:r>
        <w:t xml:space="preserve">El turoperador cobra el viaje por adelantado y paga a hoteles y proveedores después: gana un margen pequeño (1 % de EBIT en FY2025) y genera caja con el circulante negativo [1]. Hoteles y cruceros ganan con la ocupación y el precio por noche o por día de crucero, con márgenes altos (ROIC del 18-26 % según el factbook) [13]. El resultado es muy estacional: TUI pierde dinero de octubre a marzo y gana en julio-septiembre (el 4T aporta ≈ 90 % del EBIT anual) [1]. El combustible y el dólar pesan en la aerolínea; TUI cubre la mayor parte con 12-18 meses de antelación y fija el precio del paquete con esas coberturas [9].</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Hotels &amp; Resorts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subyacente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Cruises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subyacente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TUI Musement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subyacente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 + Airline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subyacente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All other segments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 subyacente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Hotels &amp; Resorts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Cruises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TUI Musement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 + Airline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All other segments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34,7 M de clientes en FY2025 (20,2 M de Markets + Airline) [13]. Vende sobre todo por su app y su web; las tiendas pierden peso [13]. Poder de precios demostrado en hoteles y cruceros (precio por noche +4 % en el 4T FY2026, días de crucero +2 %) y escaso en el paquete, donde compiten Jet2, easyJet holidays, las agencias en línea y el viajero que reserva por su cuenta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del grupo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 M de Markets + Airline y 14,5 M de Holiday Experiences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noche de Hoteles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Ocupación −2 puntos; noches disponibles +7 % en el 1S FY2027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crucero disponibles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Mein Schiff Flow desde junio de 2026; ocupación del 1S FY2027 −6 puntos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reservados de Markets + Airline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verano 2026: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invierno 2026/27: −7 % (últimas 4 semanas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propia −5 %; precio medio «aguanta»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cubierto (Markets + Airline)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verano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invierno 2026/27; 39 % verano 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cobertura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77 %/43 % y dólar 82 %/50 %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subyacente de Markets + Airline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más del 3 % con ≈ 250 M de ahorros hasta FY2028 [11,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gasto en viajes de vacaciones de los europeos y el turismo receptor en Europa y el Mediterráneo, donde TUI vende paquetes y tiene hoteles y barcos [1]. Como medida de tamaño se usan los ingresos por exportación turística de los destinos europeos (UN Tourism): 707.000 M EUR en 2025 [16]. Es una aproximación: incluye viajes de negocios y gasto en destino que no pasa por un turoperador, y no incluye los destinos de fuera de Europa (Egipto, Caribe).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707.000 M EUR de ingresos por exportación turística en Europa en 2025 y 793 M de llegadas internacionales [16]; TUI: 24.179 M de ventas (≈ 3,4 %)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Desaceleración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de ingresos turísticos internacionales en Europ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disponible y confianza del consumidor europeo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del verano 2026 −5 % y del invierno 2026/27 −7 % con incertidumbre geopolítica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queroseno y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Queroseno a 192 USD/barril en octubre de 2026 frente a ≈ 90 en 2025 [18]; TUI cubre el 39 % del verano 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Llegadas internacionales a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+4 % en el 1T de 2026; 793 M de llegadas en 2025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cruceros (capacidad limitada de astilleros)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crucero +17 % en el 1S FY2027 con precio +2 %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Geopolítica en destinos (Mediterráneo oriental,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guerra de Irán costó ≈ 60 M en 9M FY2026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Jet2 y easyJet holidays en Reino Unido, DER Touristik y las agencias en línea en Alemania; el paquete se compara en internet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pueden armar el viaje por su cuenta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Hoteleros de terceros, aeropuertos y refinerías; TUI controla parte de la oferta con sus hoteles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y la licencia de turoperador (garantías de los cobros anticipados) frenan; las plataformas en línea entran fácil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directa de vuelo y alojamiento (Booking, Airbnb, Ryanair) [1].</w:t>
            </w:r>
          </w:p>
        </w:tc>
      </w:tr>
    </w:tbl>
    <w:p>
      <w:pPr>
        <w:spacing w:after="160" w:before="0"/>
      </w:pPr>
    </w:p>
    <w:p>
      <w:pPr>
        <w:pStyle w:val="Heading2"/>
      </w:pPr>
      <w:r>
        <w:t xml:space="preserve">Ciclo</w:t>
      </w:r>
    </w:p>
    <w:p>
      <w:pPr>
        <w:spacing w:after="100"/>
      </w:pPr>
      <w:r>
        <w:t xml:space="preserve">Indicadores: reservas de Markets + Airline en negativo (−5 % el verano 2026, −7 % el invierno 2026/27), queroseno disparado por la guerra de Irán y estimaciones de BPA de 2027 recortadas un 5 % en 90 días [9, 19]. Pero los destinos aguantan: llegadas a Europa +4 % en el 1T de 2026, precios de hoteles y cruceros al alza [9, 16, 17]. Antecedentes: en 2019 la quiebra de Thomas Cook; en 2020-21 la pandemia llevó a TUI al rescate público; en 2008-09 el beneficio cayó sin pérdidas grandes [1, 7].</w:t>
      </w:r>
    </w:p>
    <w:p>
      <w:pPr>
        <w:pStyle w:val="Heading2"/>
      </w:pPr>
      <w:r>
        <w:t xml:space="preserve">Regulación</w:t>
      </w:r>
    </w:p>
    <w:p>
      <w:pPr>
        <w:spacing w:after="100"/>
      </w:pPr>
      <w:r>
        <w:t xml:space="preserve">La directiva europea de viajes combinados obliga a garantizar los cobros anticipados y a devolverlos si se cancela el viaje (en 2020 TUI devolvió miles de millones) [1]. La aerolínea paga el EU ETS (sin derechos gratuitos desde 2026) y la mezcla obligatoria de SAF de ReFuelEU [1]. Los barcos afrontan normas de emisiones en puerto y límites de cruceros en algunas ciudades [1].</w:t>
      </w:r>
    </w:p>
    <w:p>
      <w:pPr>
        <w:pStyle w:val="Heading2"/>
      </w:pPr>
      <w:r>
        <w:t xml:space="preserve">Tendencias y disrupción</w:t>
      </w:r>
    </w:p>
    <w:p>
      <w:pPr>
        <w:spacing w:after="100"/>
      </w:pPr>
      <w:r>
        <w:t xml:space="preserve">Tres tendencias. Primera, el paso al paquete dinámico y a la app, que abarata la venta [13]. Segunda, el crecimiento de hoteles y cruceros con capital ajeno (sociedades conjuntas y contratos de gestión), donde está el beneficio [20]. Tercera, la IA generativa como canal de búsqueda y reserva, que TUI cita como riesgo de cuota [1]. TUI gana con las dos primeras.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de viajes de vacaciones de Europa por clientes y ventas [1, 13]; ≈ 3,4 % de los ingresos turísticos internacionales de Europa (aproximación)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JET2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Aerolínea + paquetes en Reino Unido, el rival más rentable; ventas LTM de Yahoo en EUR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 (easyJet holidays)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EZJ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Aerolínea de bajo coste con paquetes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 Touristik (grupo REWE)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turoperador alemán; no cotiza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Carnival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naviera de cruceros; margen operativo LTM de Yahoo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Caribbean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TUI en TUI Cruises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Meliá Hotels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Hotelera vacacional española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M de clientes del turoperador llenan los hoteles y barcos del grupo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viajero compara precios cada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TUI, Riu, Robinson y Mein Schiff; hoteles en primera línea difíciles de replicar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de camas y asientos; ROIC de Hoteles del 18 % y de TUI Cruises del 26 %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Cruceros: pocas navieras y astilleros con años de espera [2, 6].</w:t>
            </w:r>
          </w:p>
        </w:tc>
      </w:tr>
    </w:tbl>
    <w:p>
      <w:pPr>
        <w:spacing w:after="160" w:before="0"/>
      </w:pPr>
    </w:p>
    <w:p>
      <w:pPr>
        <w:pStyle w:val="Heading2"/>
      </w:pPr>
      <w:r>
        <w:t xml:space="preserve">Amenazas</w:t>
      </w:r>
    </w:p>
    <w:p>
      <w:pPr>
        <w:spacing w:after="100"/>
      </w:pPr>
      <w:r>
        <w:t xml:space="preserve">Que Jet2 y easyJet holidays sigan ganando cuota en Reino Unido con aerolínea propia (probabilidad alta), que las agencias en línea y los asistentes de IA desintermedien el paquete (media), que una crisis en el Mediterráneo oriental o en Egipto vacíe destinos clave (media) y que el combustible caro no se traslade al precio (alta en FY2027) [1, 9,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FY2021-FY2025: ingresos </w:t>
      </w:r>
      <w:r>
        <w:rPr>
          <w:b/>
          <w:bCs/>
        </w:rPr>
        <w:t xml:space="preserve">50,4 %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4.732 M en FY2021 (pandemia) a 24.179 M en FY2025 [1, 7]; FY2022-FY2023 son la reapertura y FY2024-FY2025 crecen un 12 % y un 4 % [1, 5]. TUI presenta la cuenta por función y mete el resultado de sus participadas (TUI Cruises al 50 %, hoteles de Riu en sociedad conjunta, Royalton) dentro del EBIT: 463,9 M en FY2025, un 34 % del EBIT [1]. El motor lo saca del EBITDA y del EBIT (campo participadas_en_ebitda) y las participadas se valoran aparte en el puente. Sin participadas, el EBITDA de FY2025 es de 1.785 M (7,4 % de las ventas) y el EBIT de 905 M (3,7 %) [1]. El EBIT subyacente de la empresa (con participadas y sin partidas extraordinarias ni amortización de compras) fue de 977 M en FY2023, 1.296 M en FY2024 y 1.413 M en FY2025 [1, 5]. Por segmentos en FY2025: Hoteles 735 M, Cruceros 481 M (314 M de TUI Cruises), TUI Musement 67 M y Markets + Airline 200 M (1,0 % de margen) [12]. En FY2026 la guerra de Irán (desde marzo) y el huracán de Jamaica costaron 81 M en 9 meses y la guía de EBIT subyacente bajó a 1.200-1.300 M (−8 a −15 %) [2, 9].</w:t>
      </w:r>
    </w:p>
    <w:p>
      <w:pPr>
        <w:pStyle w:val="Heading2"/>
      </w:pPr>
      <w:r>
        <w:t xml:space="preserve">Ajustes y partidas no recurrentes</w:t>
      </w:r>
    </w:p>
    <w:p>
      <w:pPr>
        <w:spacing w:after="100"/>
      </w:pPr>
      <w:r>
        <w:t xml:space="preserve">Cifras publicadas NIIF. no_recurrentes_en_ebitda: deterioros y reversiones de participadas incluidos en la línea de participadas (FY2021 5,0; FY2022 1,6; FY2023 −5,4; FY2024 0,2) [5, 6, 7] y, en FY2025, las partidas que TUI separa («separately disclosed items», 23,6 M: reestructuración y litigios) [1]. La amortización de intangibles de compras (20,6 M en FY2025) se deja en la amortización [1]. Ajustes de la propia TUI en FY2026: −70 a −90 M (guía) [2]. FY2021 y FY2022 están reexpresados por la agrupación 10:1 y la ampliación de 2023; el BPA de FY2021 (−15,48 €) y las acciones (159,4 M) son una reexpresión propia con el factor de ≈ 6 que la empresa aplicó a FY2022 (−0,17 € original a −1,02 €) [5, 7]. BPA básico (el diluido coincide salvo FY2025: 1,17 € con el convertible de 2031, que hoy está fuera de dinero)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del ejercicio de TUI (1T = oct-dic). EBITDA subyacente con participadas. En el 3T26 (12-ago) el EBIT subyacente fue de 233,8 M frente a 320,6 M, con 20 M de costes de la guerra de Irán; en 9 meses, 118,3 M frente a 164,7 M, con 81 M de partidas puntuales (Irán 60 M, huracán de Jamaica 21 M) [2, 10]. La dirección repitió que Hoteles y Cruceros siguen creciendo (precio medio por noche +4 %, días de crucero +12 % en el 4T) y que Markets + Airline sufre reservas más tardías y un 5 % menos de capacidad propia [9, 10]. El 22-sep la actualización previa al cierre estrechó la guía de EBIT subyacente de FY2026 a 1.200-1.300 M a tipo de cambio constante (FY2025: 1.413 M): ingresos reservados del verano 2026 −5 % (Reino Unido −7 %, Alemania −2 %) y del invierno 2026/27 −7 %, pero solo −1 % en las últimas cuatro semanas [9]. Coberturas de combustible: 98 % del verano 2026, 63 % del invierno 2026/27 y 39 % del verano 2027 [9]. Resultados de FY2026 el 9-dic-2026.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Agrupación de acciones 10:1 (feb-2023) y ampliación con derechos de 1.800 M (abr-2023) para devolver la ayuda del fondo alemán WSF: el BPA y las acciones de FY2021-FY2022 se reexpresan con un factor de ≈ 6 [5, 6].; FY2024: Venta de hoteles a la sociedad conjunta con Riu (RIUSA NEC) y compras pequeñas de hoteles; sin cambios relevantes de perímetro en los ingresos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fue de 1.305 M a sep-25 (1.641 M a sep-24), 0,6 veces el EBITDA subyacente [1]. A 30-jun-2026: deuda financiera de 2.303,7 M, arrendamientos de 2.275,1 M y caja e inversiones a corto de 2.230,8 M: deuda neta de 2.347,9 M (1.910,6 M a jun-25), más alta por menos cobros anticipados y la recompra del convertible de 2021 [2]. El capital circulante es muy negativo (−22 % de las ventas a sep-25) por los cobros anticipados: es una fuente de caja mientras las ventas crecen y un riesgo si caen [1]. El patrimonio atribuido es pequeño (1.763 M a sep-25) porque arrastra 6.725 M de pérdidas acumuladas de la pandemia; las reservas negativas hunden el Altman Z sin que hoy haya riesgo de liquidez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-306</w:t>
      </w:r>
      <w:r>
        <w:t xml:space="preserve">, conversión </w:t>
      </w:r>
      <w:r>
        <w:rPr>
          <w:b/>
          <w:bCs/>
        </w:rPr>
        <w:t xml:space="preserve">24 %</w:t>
      </w:r>
      <w:r>
        <w:t xml:space="preserve"> del beneficio neto; adquisiciones 0, dividendos 367, recompras 0.</w:t>
      </w:r>
    </w:p>
    <w:p>
      <w:pPr>
        <w:spacing w:after="100"/>
      </w:pPr>
      <w:r>
        <w:t xml:space="preserve">La caja de explotación (2.058 M en FY2025) va antes de intereses (330 M) y del principal de los arrendamientos (580 M), que TUI clasifica en financiación [1]. Incluye 268 M de dividendos de las participadas (sobre todo TUI Cruises) y la variación de los cobros anticipados, que la hace muy sensible a las reservas: en 9M FY2026 bajó a 517 M frente a 1.035 M por menos cobros anticipados [1, 2]. El capex (739 M en FY2025: hoteles propios de Riu y Robinson, barcos de Marella, aviones y TI) está por encima de la amortización; la empresa habla de «inversión neta» de 810-830 M en FY2026 [2]. Los aviones arrendados no pasan por el capex: las altas de derechos de uso (≈ 300-400 M al año, estimación propia con la variación de los pasivos por arrendamiento) se suman en el DCF. Los «dividendos» son los pagados a minoritarios (Riu); a los accionistas de TUI, 0,10 € por acción (≈ 51 M) en feb-2026 [1]. Las emisiones de acciones de FY2021-FY2023 son la recapitalización con el fondo alemán WSF y la ampliación de 2023; la de FY2024 es el componente de patrimonio del convertible de 2031 [5, 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GmbH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(FY2025)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Tres asuntos de juicio. Primero, el EBIT incluye el resultado de las participadas (464 M en FY2025), que no es caja salvo por los dividendos (268 M) [1]; el motor lo saca del EBIT y el ROIC se mide sin él. Segundo, la estacionalidad: el balance de septiembre es el de más caja; los cobros anticipados de clientes (4.094 M) financian el circulante y su caída en 9M FY2026 recortó la caja de explotación a la mitad [1, 2]. Tercero, los ajustes del EBIT subyacente (23,6 M de partidas separadas y 20,6 M de amortización de compras en FY2025) son pequeños frente al EBIT y la diferencia con el publicado es estable [1]. El patrimonio arrastra 6.725 M de pérdidas acumuladas de la pandemia, lo que hunde el Altman Z sin riesgo inmediato de liquidez (RCF de 1.890 M sin disponer) [1,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participadas dentro del EBIT (34 % del EBIT de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valoran aparte en el puente; los dividendos cobrados son el 58 % del resultado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explotación ligada a los cobros anticipados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9M FY2026 cayó un 50 % por reservas más tardías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de ≈ 200 M al año (familia Riu)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del EBIT de Hoteles no es de los accionistas de TUI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2.934 M en FY2025 (el 79 % del capital invertido medio); ha subido más de un 5 % en 0 de 4 años: sin compras. ROIC publicado 20,2 %; sin fondo de comercio, 98,2 %.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8,8 %.</w:t>
      </w:r>
    </w:p>
    <w:p>
      <w:pPr>
        <w:spacing w:after="100"/>
      </w:pPr>
      <w:r>
        <w:t xml:space="preserve">El ROIC sin participadas (el motor saca su resultado del EBIT y del capital) fue del 11,7 % en FY2023, 19,6 % en FY2024 y 20,2 % en FY2025, frente a un WACC del 8,83 %: 11,4 puntos por encima en FY2025 [1]. Es alto porque el capital invertido es pequeño (3.736 M, el 79 % fondo de comercio): los cobros anticipados de clientes financian el circulante. Sin fondo de comercio el ROIC sería de ≈ 98 %, que es decir que el negocio casi no necesita capital propio. En FY2021 fue del −29 % (pandemia) y en FY2026e bajará a ≈ 17 % con la guía (EBIT sin participadas de ≈ 790 M). Las participadas aparte: TUI Cruises da un ROE del 26 % y Hoteles un ROIC del 18 % según la empresa [13]. La calidad es buena en el ciclo medio, pero el capital pequeño también significa que una crisis que obligue a devolver los cobros anticipados (2020) se come el balance.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2.220,5 M a 30-jun-2026 y línea de crédito sindicada (RCF) de 1.890 M sin disponer, con vencimiento en marzo de 2030 (ampliada en 76 M) [2]. Liquidez total de ≈ 4.100 M en el punto más alto de la temporada; la caja es estacional: sube en primavera con los cobros anticipados del verano y baja en invierno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 (estable), Moody's Ba3 (perspectiva positiva desde feb-2026), Fitch BB (estable) [1,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573,4 M más 26,0 M de otras a 30-jun-2026 (583,0 + 35,6 a sep-25) [1, 2]. Cobros anticipados de clientes («touristic advance payments received») de 4.094 M a sep-25 y 6.105 M a jun-26: no son deuda, pero se devuelven si se cancela un viaje (lo que pasó en 2020) [1, 2]. Pagos anticipados a hoteles («touristic payments on account») de 1.110 M a sep-25 [1]. Convertible de 487 M al 1,95 % con vencimiento en julio de 2031 (precio de conversión por encima de la cotización) y bono ligado a la sostenibilidad de 500 M al 5,875 % con vencimiento en marzo de 2029; Schuldschein de 328 M [1]. El convenio del RCF pide deuda neta / EBITDA ≤ 3,0 veces [1]. Los minoritarios (sobre todo la familia Riu en RIUSA II) se llevan ≈ 200 M al año de beneficio [1].</w:t>
      </w:r>
    </w:p>
    <w:p>
      <w:pPr>
        <w:pStyle w:val="Heading1"/>
      </w:pPr>
      <w:r>
        <w:t xml:space="preserve">12. Asignación de capital</w:t>
      </w:r>
    </w:p>
    <w:p>
      <w:pPr>
        <w:pStyle w:val="Confianza"/>
        <w:spacing w:after="100"/>
      </w:pPr>
      <w:r>
        <w:t xml:space="preserve">Confianza: Media</w:t>
      </w:r>
    </w:p>
    <w:p>
      <w:pPr>
        <w:spacing w:after="100"/>
      </w:pPr>
      <w:r>
        <w:t xml:space="preserve">Desde FY2025 TUI vuelve a pagar dividendo: 0,10 € por acción por FY2025 (pagado en feb-2026, ≈ 51 M) y una política de repartir el 10-20 % del BPA subyacente desde FY2026 [11]. Las prioridades son bajar el apalancamiento por debajo de 0,5 veces (0,6 a sep-25), la calificación de grado de inversión a medio plazo e invertir en hoteles y barcos con un rendimiento por encima del 11 % [11, 13]. Sin recompras. Los barcos nuevos de TUI Cruises se financian dentro de la sociedad conjunta (fuera del balance de TUI)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Desde la recapitalización de 2020-2023 (el Estado alemán aportó 4.300 M entre préstamos y participaciones, devueltos en 2023 con la ampliación de 1.800 M) la asignación del capital ha sido prudente: deuda neta de 6.400 M a sep-21 bajó a 1.305 M a sep-25, venta de hoteles a sociedades conjuntas con Riu y barcos nuevos financiados en TUI Cruises [1, 6]. El coste fue una dilución enorme: el número de acciones pasó de ≈ 590 M antes de la pandemia a 1.785 M en 2022 y, tras la agrupación 10:1 y la ampliación, a 507 M [5, 6]. No hay compras relevantes en los últimos cinco años.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Sebastian Ebel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TUI desde 2014 (director de Hoteles, Cruceros y Destino); antes, director de Eurowings y de World of TUI. Consejero delegado desde el 1-oct-2022; llevó la devolución de la ayuda pública y el EBIT récord de FY2025. Compró 30.000 acciones en 2026 (≈ 0,21 M) [1,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Mathias Kiep</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TUI desde 2004 (finanzas del grupo y de TUI Deutschland); director financiero desde 2023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Sybille Reiss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personal y de Holiday Experiences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personal; compró acciones en marzo y septiembre de 2026 [1,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Ciomperlik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(Markets + Airline)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responsable de la región Centro; sustituye a David Schelp y Peter Krueger, que salieron a finales de abril de 2026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Dieter Zetsche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Daimler (2006-2019)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«significativamente por encima» de 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977 M frente a 409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+25 % como mínimo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1.296 M (+33 %)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+7-10 %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1.413 M (+12,6 %, +9,6 % a tipo de cambio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subyacente +7-10 % (dic-2025); 1.100-1.400 M (22-abr-2026); 1.200-1.300 M (22-sep-2026)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(9-dic-2026); 9 meses: 118 M frente a 165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Ebel cumplió la guía tres años seguidos y devolvió la ayuda pública [9]. FY2026 rompe la racha: la guerra de Irán obligó a retirar la guía de crecimiento en abril [9]. Cambios en la cúpula: los responsables de Markets + Airline (Schelp) y de la aerolínea (Krueger) salieron en abril de 2026 y un solo director de operaciones lleva ahora el negocio que más sufre [14]. Los cuatro directivos compraron acciones en 2026, con la acción a 6,4-8,6 € [26].</w:t>
      </w:r>
    </w:p>
    <w:p>
      <w:pPr>
        <w:pStyle w:val="Heading1"/>
      </w:pPr>
      <w:r>
        <w:t xml:space="preserve">14. Gobierno corporativo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Dieter Zetsche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Jakobi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Jutta Dönges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Ingrid-Helen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Garaña Corces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Janina Kugel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Lundgren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Muratovic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Joan Trían Riu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Köhler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(nuevo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Dülm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(nuevo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(FY2025)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Unifirm / Alexey Mordashov (participación congelada por sanciones)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derechos de voto ni de venta mientras duren las sanciones [1,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Riu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al 49 % en RIUSA II y consejero en TUI; derecho de cambio de control sobre RIUSA II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y minorista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float ≈ 89 % (estimación con los avisos de participaciones)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Ebel y Mathias Kiep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Schelp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Ebel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Ebel, Kiep y Reiss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Ebel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Sebastian Ebel y Sybille Reiss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total del consejero delegado en FY2025: 2,70 M € (fijo 1,10 M, beneficios 0,02 M, variable anual 1,51 M y variable a largo plazo 0,07 M), con un máximo de 7,5 M [22]. El variable anual depende un 75 % del EBIT publicado y un 25 % de la caja, con un factor ESG de 0,8-1,2; el de largo plazo, del BPA y de la cotización [22]. Ebel tenía acciones por 0,51 M € a sep-25 frente a la meta de 1,65 M [22]. La junta del 10-feb-2026 aprobó el informe de remuneraciones con un 83,99 % (16,01 % en contra) [24].</w:t>
      </w:r>
    </w:p>
    <w:p>
      <w:pPr>
        <w:pStyle w:val="Heading2"/>
      </w:pPr>
      <w:r>
        <w:t xml:space="preserve">Operaciones vinculadas, estructura de control y defensas</w:t>
      </w:r>
    </w:p>
    <w:p>
      <w:pPr>
        <w:spacing w:after="100"/>
      </w:pPr>
      <w:r>
        <w:t xml:space="preserve">Sin accionista de control. El bloque atribuido a Alexey Mordashov está congelado por las sanciones de la UE y no vota [1, 27]. La familia Riu es socia en los hoteles (RIUSA II, 49 %) y puede comprar la parte de TUI si cambia el control de TUI: un freno a una opa [27]. El consejo de supervisión es paritario (la mitad elegida por los empleados, ley alemana de cogestión) y la junta de 2026 lo redujo de 20 a 16 miembros [25]. Una acción, un voto [23].</w:t>
      </w:r>
    </w:p>
    <w:p>
      <w:pPr>
        <w:pStyle w:val="Heading2"/>
      </w:pPr>
      <w:r>
        <w:t xml:space="preserve">Señales de alerta</w:t>
      </w:r>
    </w:p>
    <w:p>
      <w:pPr>
        <w:pStyle w:val="ListParagraph"/>
        <w:numPr>
          <w:ilvl w:val="0"/>
          <w:numId w:val="2"/>
        </w:numPr>
        <w:spacing w:after="60"/>
      </w:pPr>
      <w:r>
        <w:t xml:space="preserve">Salida de los dos responsables de Markets + Airline y de la aerolínea en abril de 2026 [14].</w:t>
      </w:r>
    </w:p>
    <w:p>
      <w:pPr>
        <w:pStyle w:val="ListParagraph"/>
        <w:numPr>
          <w:ilvl w:val="0"/>
          <w:numId w:val="2"/>
        </w:numPr>
        <w:spacing w:after="60"/>
      </w:pPr>
      <w:r>
        <w:t xml:space="preserve">Voto en contra del 16,01 % al informe de remuneraciones en la junta de 2026 [24].</w:t>
      </w:r>
    </w:p>
    <w:p>
      <w:pPr>
        <w:pStyle w:val="ListParagraph"/>
        <w:numPr>
          <w:ilvl w:val="0"/>
          <w:numId w:val="2"/>
        </w:numPr>
        <w:spacing w:after="60"/>
      </w:pPr>
      <w:r>
        <w:t xml:space="preserve">Derecho de cambio de control de la familia Riu sobre RIUSA II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FY2026 (22-sep-2026): EBIT subyacente de 1.200-1.300 M a tipo de cambio constante (FY2025: 1.413 M); intereses netos de −325 a −350 M (parte baja), ajustes de −70 a −90 M, inversión neta de 810-830 M, tipo impositivo ≈ 18 % y deuda neta al alza [2, 9]. A medio plazo (diciembre de 2025): crecimiento anual del EBIT subyacente del 7-10 %, apalancamiento por debajo de 0,5 veces, margen de Markets + Airline por encima del 3 % y dividendo del 10-20 % del BPA subyacente [1]. No hay guía de FY2027.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12-13 analistas (1,061 hace 90 días)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(1,398 hace 90 días)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 13,50</w:t>
            </w:r>
          </w:p>
        </w:tc>
      </w:tr>
    </w:tbl>
    <w:p>
      <w:pPr>
        <w:spacing w:after="160" w:before="0"/>
      </w:pPr>
    </w:p>
    <w:p>
      <w:pPr>
        <w:pStyle w:val="Heading2"/>
      </w:pPr>
      <w:r>
        <w:t xml:space="preserve">Revisiones de estimaciones</w:t>
      </w:r>
    </w:p>
    <w:p>
      <w:pPr>
        <w:spacing w:after="100"/>
      </w:pPr>
      <w:r>
        <w:t xml:space="preserve">Recortes moderados: el BPA de FY2026 bajó de 1,061 a 1,033 € y el de FY2027 de 1,398 a 1,33 € en 90 días [29]. Los objetivos recientes van de 7,00 € (Jefferies, mantener, 22-sep) a 12,20 € (JPMorgan, sobreponderar, 23-sep); Barclays bajó a 8,75 € el 2-oct manteniendo sobreponderar; Deutsche Bank 10,10 € (comprar), Bernstein 8,60 € (igual que el mercado), UBS 9,60 € (neutral) [30]. Media de los seis últimos: 9,38 €. Es probable que el BPA del consenso mezcle subyacente y publicado (TUI publica los dos).</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cotiza a 6,75 € (cierre del 16-oct-2026), un 29 % por debajo del máximo de 52 semanas (9,56 € el 9-feb-2026) [28]. En el año pierde un 24 % frente al −0,8 % del MDAX y al +0,4 % del ETF europeo de viajes y ocio [28]. La caída tiene tres fases: febrero-marzo (resultados del 1T, guerra de Irán desde el 2-mar: −9,9 % ese día), abril (rebaja de la guía el 22-abr) y mayo (resultados del 1S con reservas de verano −7 %) [28]. A tres años la acción gana un 11,9 % anual, en línea con el sector; a cinco y diez años pierde mucho por la dilución del rescate (de 2020 a 2023) [28]. Beta de 1,45 mensual a 5 años frente al MDAX (1,12 semanal a 2 años) [28].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 / -2,8 % / -1,0 % / -10,9 %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 / +7,8 %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FY2025 del 10-dic: EBIT subyacente récord de 1.413 M, vuelta al dividendo (0,10 €) y guía de +7-10 % para FY2026 [1,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y junta (10-11 feb, −4,9 % y −6,8 %) y guerra de Irán desde el 2-mar (−9,9 % ese día): el queroseno se disparó y los destinos del Mediterráneo oriental perdieron reservas [4, 28]. Los directivos compraron acciones en esa caída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 de la guía de FY2026 a 1.100-1.400 M (22-abr) y resultados del 1S (13-may) con 40 M de coste de la guerra y reservas de verano −7 %: −15,7 % en 21 sesiones hasta el 19-may; rebote del +14,7 % hasta el 29-may [3, 14,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[9]. Pueden mover el precio más de un 5 %, pero unos resultados cercanos no aplazan una decisión (reglas 11 y 13 del método); nuestro FY2026e ya es la guía del 22-sep y nuestro FY2027e está un 27 % por debajo del consenso.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Barclays recorta el objetivo a 8,75 € (sobreponderar); el 22-23 sep Jefferies (7,00, mantener), Bernstein (8,60), Deutsche Bank (10,10, comprar) y JPMorgan (12,20, sobreponderar)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previa al cierre: guía de FY2026 estrechada a 1.200-1.300 M, invierno 2026/27 −7 %, combustible del verano 2027 cubierto al 39 % [9]. Está en el informe.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Ebel (5.000 acciones a 6,53 €) y Reiss (2.000 a 6,40 €); en todo 2026 solo hay compras de directivos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Salen David Schelp (Markets + Airline) y Peter Krueger (aerolínea); Marco Ciomperlik, director de operaciones desde el 1-may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FY2026 de +7-10 % a 1.100-1.400 M de EBIT subyacente por la guerra de Irán [14]. Recogida en el informe (FY2026e fijo con la guía de septiembre).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operación corporativa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ninguna escisión ni venta anunciada de cruceros u hoteles: la empresa mantiene la estrategia de crecer en hoteles y cruceros con sociedades conjuntas y el consejero delegado conserva su supervisión [1, 14]. Sin ampliaciones, colocaciones ni ofertas pendientes; el convertible de 2031 está fuera de dinero.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30 % desde el máximo de febrero tiene causas conocidas y publicadas, todas recogidas en este informe: la guerra de Irán y el queroseno, la rebaja de la guía de FY2026 y las reservas flojas de Markets + Airline. No hay hechos pendientes que puedan mover el precio más de un 5 % en contra salvo los resultados del 9-dic, que no aplazan según el método. No hay ventas de directivos (solo compras), ni ampliaciones, ni colocaciones. La tendencia es bajista (8,6 % por debajo de la media de 200 sesiones) sin avisos P1-P5.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 septiembre de Yahoo ajustados por la agrupación 10:1 y la ampliación de 2023 [28]. PER adelantado = cierre ÷ BPA real del ejercicio siguiente (FY2025: ÷ el BPA propio de FY2026e, 0,96 €). Excluido FY2021 (el BPA de FY2022 fue negativo). Desde la recapitalización la acción cotiza a 5-8 veces el beneficio del año siguiente: el mercado cobra el rescate, la deuda con arrendamientos y la exposición a crisis.</w:t>
      </w:r>
    </w:p>
    <w:p>
      <w:pPr>
        <w:pStyle w:val="Heading1"/>
      </w:pPr>
      <w:r>
        <w:t xml:space="preserve">18. Comparables cotizados</w:t>
      </w:r>
    </w:p>
    <w:p>
      <w:pPr>
        <w:pStyle w:val="Confianza"/>
        <w:spacing w:after="100"/>
      </w:pPr>
      <w:r>
        <w:t xml:space="preserve">Confianza: Media</w:t>
      </w:r>
    </w:p>
    <w:p>
      <w:pPr>
        <w:spacing w:after="100"/>
      </w:pPr>
      <w:r>
        <w:t xml:space="preserve">Grupos europeos y estadounidenses con negocios parecidos a los de TUI: turoperador con aerolínea (Jet2, easyJet), cruceros (Carnival, Royal Caribbean, Norwegian Cruise Line), hoteles (Meliá, Accor) y aerolíneas europeas (Lufthansa, IAG, Ryanair). No hay un comparable puro: TUI mezcla un turoperador de margen bajo con hoteles y cruceros de margen alto. Cifras de Yahoo a 19-oct-2026; capitalización en EUR con el cambio del BCE del 16-oct [31, 34]. PER de los próximos 12 meses = PER adelantado de Yahoo (próximo ejercicio).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Carnival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Caribbean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Norwegian Cruise 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Meliá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Ryanair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 / 7,2x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11,3x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1,7x / 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+1.083,1 %</w:t>
            </w:r>
          </w:p>
        </w:tc>
      </w:tr>
    </w:tbl>
    <w:p>
      <w:pPr>
        <w:spacing w:after="160" w:before="0"/>
      </w:pPr>
    </w:p>
    <w:p>
      <w:pPr>
        <w:spacing w:after="100"/>
      </w:pPr>
      <w:r>
        <w:t xml:space="preserve">Los comparables cotizan a 5,9-18,3 veces el beneficio del próximo ejercicio (mediana 11,3x): los turoperadores y aerolíneas europeos, baratos (Lufthansa 5,9x, IAG 6,7x, Jet2 7,6x), las navieras de cruceros y hoteleras, más caros (Carnival 10,1x, Meliá 12,5x, Royal Caribbean 13,7x) [31]. TUI, a 5,1 veces el BPA de consenso y a 2,5 veces el EBITDA de los últimos 12 meses, cotiza como un turoperador aunque el 86 % de su EBIT subyacente salga de hoteles y cruceros [1]. El mercado le cobra el rescate de 2020, la deuda con arrendamientos y los minoritarios de Riu. Sobre nuestro BPA de FY2027e cotiza a 6,9x, en línea con Lufthansa e IAG.</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hay operaciones comparables recientes con múltiplos publicados: la última compra grande de un turoperador fue la de First Choice (2007) y la quiebra de Thomas Cook (2019) se resolvió con ventas de activos sueltos. Las transacciones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pasaron de 4.732 M en FY2021 (pandemia) a 24.179 M en FY2025 [1, 8]: la tasa histórica (50 % anual) es la reapertura y no sirve. En FY2025 crecieron un 4,4 % y en 9M FY2026 bajaron un 2,7 % [2]. FY2026e: −3,4 % (9 meses publicados y un 4T con el verano reservado un 5 % por debajo [9]). FY2027e: +2,5 % (invierno 2026/27 −7 % reservado, pero −1 % en las últimas cuatro semanas, más hoteles y precio medio que aguanta [9]). FY2028e-FY2029e: +4 % (llegadas a Europa +4 % [17]; precio +2 % y volumen +2 %), bajando al 2,5 % en FY2033e. El crecimiento proyectado (2,4 % anual) es menor que el del mercado (≈ 4 %): TUI perdería algo de cuota.</w:t>
      </w:r>
    </w:p>
    <w:p>
      <w:pPr>
        <w:keepNext/>
        <w:spacing w:after="100"/>
      </w:pPr>
      <w:r>
        <w:rPr>
          <w:b/>
          <w:bCs/>
        </w:rPr>
        <w:t xml:space="preserve">Márgenes.</w:t>
      </w:r>
    </w:p>
    <w:p>
      <w:pPr>
        <w:spacing w:after="100"/>
      </w:pPr>
      <w:r>
        <w:t xml:space="preserve">Margen EBITDA subyacente sin participadas: 7,0 % en FY2023, 7,6 % en FY2024 y 7,5 % en FY2025 [1, 5]. FY2026e: 7,3 % (guía de EBIT subyacente de 1.200-1.300 M con ≈ 460 M de participadas [9]). FY2027e: 7,0 %: solo el 63 % del invierno y el 39 % del verano 2027 están cubiertos de combustible, con el queroseno a 192 USD/barril frente a ≈ 90 en 2025 [9, 18]. FY2028e: 7,4 % y 7,5 % después, la media de FY2023-FY2025. No proyectamos el 3 % de margen que TUI promete en Markets + Airline (hoy 1,0 %) [11]: en una cíclica no proyectamos el pico, ni siquiera el prometido.</w:t>
      </w:r>
    </w:p>
    <w:p>
      <w:pPr>
        <w:keepNext/>
        <w:spacing w:after="100"/>
      </w:pPr>
      <w:r>
        <w:rPr>
          <w:b/>
          <w:bCs/>
        </w:rPr>
        <w:t xml:space="preserve">Inversión y circulante.</w:t>
      </w:r>
    </w:p>
    <w:p>
      <w:pPr>
        <w:spacing w:after="100"/>
      </w:pPr>
      <w:r>
        <w:t xml:space="preserve">Capex = inversión en inmovilizado e intangibles (906 M en FY2025, 3,7 % de las ventas: hoteles propios, barcos de Marella, aviones y TI) más altas de derechos de uso (150 M en FY2025: aviones y motores arrendados) [1]: 4,4 % de las ventas en FY2025. Proyectamos el 4,9 % en FY2026e (inversión neta de 810-830 M según la guía [2]) bajando al 4,3 %, frente a una amortización del 3,9 %. El circulante es muy negativo (−21,6 % de las ventas a sep-25, por los cobros anticipados de clientes [1]); usamos el −20,5 %: crecer genera caja y caer la consume. Los barcos nuevos de TUI Cruises se financian dentro de la sociedad conjunta y no pasan por aquí.</w:t>
      </w:r>
    </w:p>
    <w:p>
      <w:pPr>
        <w:keepNext/>
        <w:spacing w:after="100"/>
      </w:pPr>
      <w:r>
        <w:rPr>
          <w:b/>
          <w:bCs/>
        </w:rPr>
        <w:t xml:space="preserve">Coste del capital.</w:t>
      </w:r>
    </w:p>
    <w:p>
      <w:pPr>
        <w:spacing w:after="100"/>
      </w:pPr>
      <w:r>
        <w:t xml:space="preserve">Todo en EUR. Bund a 10 años del 3,48 % (16-oct-2026; 3,49 % hoy) [32]. Beta de 1,30: la ajustada de la acción frente al MDAX (1,45 mensual a 5 años; 1,12 semanal a 2 años) [28]. Prima de mercado del 5,5 % y prima adicional de 1,5 puntos: rescate público en 2020, cobros anticipados que se devuelven en una crisis y exposición a guerras y huracanes. Coste de la deuda del 6,0 % (bono de 2029 al 5,875 %; rating BB-/Ba3/BB [1]) y un 45 % de deuda (con arrendamientos; a precios de mercado sería del 57 %). WACC del 8,83 %.</w:t>
      </w:r>
    </w:p>
    <w:p>
      <w:pPr>
        <w:keepNext/>
        <w:spacing w:after="100"/>
      </w:pPr>
      <w:r>
        <w:rPr>
          <w:b/>
          <w:bCs/>
        </w:rPr>
        <w:t xml:space="preserve">Valor terminal.</w:t>
      </w:r>
    </w:p>
    <w:p>
      <w:pPr>
        <w:spacing w:after="100"/>
      </w:pPr>
      <w:r>
        <w:t xml:space="preserve">Crecimiento a perpetuidad del 2,0 %, por debajo del Bund (3,48 %) y del crecimiento del turismo europeo. El valor terminal pesa el 65 % del valor y el múltiplo implícito es de ≈ 6 veces el EBITDA sin participadas, por debajo de Carnival (8,1x) y Meliá (9,0x) y por encima de Lufthansa (4,9x) [31].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 (reinvierte el 149 %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 frente al 2,4 %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(hoy: 3,4 %)</w:t>
            </w:r>
          </w:p>
        </w:tc>
      </w:tr>
    </w:tbl>
    <w:p>
      <w:pPr>
        <w:spacing w:after="160" w:before="0"/>
      </w:pPr>
    </w:p>
    <w:p>
      <w:pPr>
        <w:spacing w:after="100"/>
      </w:pPr>
      <w:r>
        <w:t xml:space="preserve">La proyección apenas necesita inversión neta de la amortización (reinversión acumulada de 605 M, el 10 % del NOPAT, con un capex bruto medio del 4,6 % de las ventas). En un negocio de activos ligeros, el crecimiento medio del 2,4 % tiene que salir de subir precios y de ganar volumen sin capital nuevo, y la prueba es el poder de precios y la cuota (3,1 % del mercado en FY2030e, frente al 3,4 %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(capacidad propia de Markets + Airline −5 % y verano reservado −5 % [9]) y precio +1,6 % (precio medio que «aguanta», hoteles +4 %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(invierno 2026/27 −7 % reservado, pero −1 % en las últimas cuatro semanas; noches de hotel +7 % en el 1S [9]) y precio +2 %, para trasladar parte del combustible.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(llegadas a Europa +4 % en el 1T de 2026 [17]; hoteles nuevos)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 y precio +2 %. Ventas de 26.800 M. Mercado final: ingresos turísticos internacionales de Europa (707.000 M en 2025 [16]) creciendo un 4 % al año, ≈ 860.000 M en 2030: TUI pasaría del 3,4 % al 3,1 %.</w:t>
            </w:r>
          </w:p>
        </w:tc>
      </w:tr>
    </w:tbl>
    <w:p>
      <w:pPr>
        <w:spacing w:after="160" w:before="0"/>
      </w:pPr>
    </w:p>
    <w:p>
      <w:pPr>
        <w:spacing w:after="100"/>
      </w:pPr>
      <w:r>
        <w:t xml:space="preserve">Sí. Las pruebas del motor pasan: el crecimiento proyectado (2,4 % anual) es menor que el del mercado (≈ 4 %), la cuota baja del 3,4 % al 3,1 % y casi no hace falta capital nuevo (reinversión neta del 10 % del NOPAT, financiada de sobra con un ROIC del 20 %). El poder de precios está demostrado donde está el beneficio: hoteles (precio por noche +4 % en el 4T FY2026) y cruceros (+2 % con capacidad +12 %) [9], con un foso estrecho (marcas Riu y Mein Schiff, hoteles de primera línea, pocos astilleros) [13]. Markets + Airline no tiene poder de precios, pero la proyección no le pide crecer más que el mercado. El riesgo de TUI es cíclico (combustible, guerras, una crisis como la de 2020), no que el crecimiento proyectado sea insostenible; ese riesgo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(WACC: 8,8 %)</w:t>
            </w:r>
          </w:p>
        </w:tc>
      </w:tr>
    </w:tbl>
    <w:p>
      <w:pPr>
        <w:spacing w:after="160" w:before="0"/>
      </w:pPr>
    </w:p>
    <w:p>
      <w:pPr>
        <w:spacing w:after="100"/>
      </w:pPr>
      <w:r>
        <w:t xml:space="preserve">El DCF da 20,18 € por acción, tres veces el precio, con el valor terminal en el 65 % del valor; con el WACC y el crecimiento terminal ± 0,5 puntos, entre 17,8 y 23,4 €. El DCF inverso dice que el precio de 6,75 € equivale a que las ventas bajen un 3 % al año hasta FY2033 (base: +3,2 %) o a un margen EBITDA sin participadas del 5,3 % para siempre (FY2023-FY2025: 7,0-7,6 %; FY2026e: 7,3 %), o una probabilidad alta de otra crisis como la de 2020, que se llevó 4.500 M de pérdidas en dos años [7]. Ese es el debate: el mercado cotiza TUI a 2,5 veces el EBITDA como si el beneficio de FY2023-FY2025 fuera de pico. Nosotros creemos que no lo es (hoteles y cruceros crecen, la deuda es 0,6 veces el EBITDA), pero no proyectamos el margen que promete la dirección y el valor intrínseco es una referencia lejana: la decisión la da la regla a 12 meses.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queroseno sigue por encima de 150 USD/barril en 2027, las reservas de Reino Unido y Alemania siguen cayendo y una crisis en el Mediterráneo oriental vacía destinos (como en 2016 con Turquía y Egipto): un punto menos de crecimiento y de margen EBITDA cada año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FY2027 es un año flojo por el combustible y FY2028 vuelve al beneficio de FY2025: Markets + Airline plano, hoteles y cruceros creciendo con precio y capacidad, margen EBITDA sin participadas del 7,5 % (la media de FY2023-FY2025).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queroseno vuelve a 90-100 USD/barril, Markets + Airline consigue los 250 M de ahorros y TUI Cruises llena los barcos nuevos: un punto más de crecimiento y 0,7 puntos más de margen (8,2 %).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6,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19,77 EUR (+192,9 %).</w:t>
      </w:r>
    </w:p>
    <w:p>
      <w:pPr>
        <w:spacing w:after="100"/>
      </w:pPr>
      <w:r>
        <w:t xml:space="preserve">En el DCF hasta el bajista (11,26 €) queda un 67 % por encima del precio y el alcista vale 27,44 €: el DCF no captura el riesgo que ve el mercado. A 12 meses, con el PER propio, el bajista pierde un 39 % (5,2x × 0,79 €) y el alcista gana un 122 % (9,2x × 1,63 €): la asimetría es favorable, pero el bajista es verosímil (la acción perdió un 75 % entre 2022 y 2023 [28]).</w:t>
      </w:r>
    </w:p>
    <w:p>
      <w:pPr>
        <w:pStyle w:val="Heading1"/>
      </w:pPr>
      <w:r>
        <w:t xml:space="preserve">22. Suma de partes</w:t>
      </w:r>
    </w:p>
    <w:p>
      <w:pPr>
        <w:pStyle w:val="Confianza"/>
        <w:spacing w:after="100"/>
      </w:pPr>
      <w:r>
        <w:t xml:space="preserve">Confianza: Media</w:t>
      </w:r>
    </w:p>
    <w:p>
      <w:pPr>
        <w:spacing w:after="100"/>
      </w:pPr>
      <w:r>
        <w:t xml:space="preserve">No la hacemos aparte: el puente ya valora las participadas (TUI Cruises y hoteles en sociedad conjunta) por múltiplo de su beneficio y los minoritarios de Riu a mercado. Una suma de partes completa (Hoteles a 9-10 veces el EBITDA como Meliá, cruceros como Carnival y Markets + Airline como Jet2) daría más valor, pero los datos de EBITDA por segmento sin participadas no se publican.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6,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19,26 EUR (+185,3 % sobre 6,75).</w:t>
      </w:r>
    </w:p>
    <w:p>
      <w:pPr>
        <w:spacing w:after="100"/>
      </w:pPr>
      <w:r>
        <w:t xml:space="preserve">Pesamos el DCF un 50 %, los escenarios un 35 % y los comparables (PER de los próximos 12 meses) un 15 %. El DCF valora las sociedades consolidadas sin participadas (20,18 € por acción con un WACC del 8,83 %) y suma las participadas a 9 veces (TUI Cruises) y 6 veces (resto) su beneficio: 3.730 M, un 9 % más que toda la capitalización. Restamos la deuda neta de junio con arrendamientos (2.348 M), las pensiones (599 M) y los minoritarios a 8 veces su beneficio (1.650 M). El valor intrínseco ponderado (19,26 €) triplica el precio. No nos lo creemos al pie de la letra: el DCF supone que el margen de FY2023-FY2025 se mantiene y no modela una crisis como la de 2020, cuando TUI tuvo que devolver los cobros anticipados y pedir 4.300 M al Estado [7]. Por eso la decisión la da la regla a 12 meses, no el DCF. No usamos EV/EBITDA ni EV/Ventas para el valor: los comparables mezclan cruceros y hoteles (márgenes del 25-37 %) con turoperadores y aerolíneas (7-8 %).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(6.9x) a mitad de camino hacia abajo, hacia la mediana de 5 años (6.8x)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+123,6 %</w:t>
            </w:r>
          </w:p>
        </w:tc>
      </w:tr>
    </w:tbl>
    <w:p>
      <w:pPr>
        <w:spacing w:after="160" w:before="0"/>
      </w:pPr>
    </w:p>
    <w:p>
      <w:pPr>
        <w:spacing w:after="100"/>
      </w:pPr>
      <w:r>
        <w:rPr>
          <w:b/>
          <w:bCs/>
        </w:rPr>
        <w:t xml:space="preserve">Objetivo a 12 meses (ponderado):</w:t>
      </w:r>
      <w:r>
        <w:t xml:space="preserve"> 9,13 EUR · rentabilidad +36,7 % (base +30,4 %) · señal Comprar.</w:t>
      </w:r>
    </w:p>
    <w:p>
      <w:pPr>
        <w:spacing w:after="100"/>
      </w:pPr>
      <w:r>
        <w:t xml:space="preserve">Para comparar, con la regla v2 (historia al cierre, mismo precio): 6,2x / 6,5x / 8,5x, 32,6 %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(0,97 €) está un 27 % por debajo del consenso de Yahoo (1,33 €, 12-13 analistas) [29]. Tres causas: (1) contamos el queroseno a ≈ 190 USD/barril con solo el 39 % del verano 2027 cubierto [9, 18], y el consenso, que ha bajado de 1,398 a 1,33 en 90 días, todavía supone un año de recuperación; (2) usamos el BPA publicado (con 50 M de ajustes), y es probable que parte de los analistas den el subyacente; (3) dejamos el margen de Markets + Airline plano, sin los 250 M de ahorros prometidos para FY2028. Para FY2028e no hay consenso publicado. Nuestro objetivo base a 12 meses (8,70 €) queda un 12 % por debajo del objetivo medio de los analistas (9,85 €; rango 7,00-13,50) [29, 30].</w:t>
      </w:r>
    </w:p>
    <w:p>
      <w:pPr>
        <w:keepNext/>
        <w:spacing w:after="100"/>
      </w:pPr>
      <w:r>
        <w:rPr>
          <w:b/>
          <w:bCs/>
        </w:rPr>
        <w:t xml:space="preserve">Del valor intrínseco al objetivo a 12 meses.</w:t>
      </w:r>
    </w:p>
    <w:p>
      <w:pPr>
        <w:spacing w:after="100"/>
      </w:pPr>
      <w:r>
        <w:t xml:space="preserve">Decide la v3 (cuatro años de historia adelantada, sin marcas del selector). El objetivo ponderado a 12 meses es de 9,13 €: +36,7 % con dividendo (+30,4 % el base) sobre 6,75 €. El base es un PER de 6,8x (a mitad de camino entre el actual, 6,9x, y la mediana adelantada, 6,8x) por un BPA de FY2028e de 1,28 €, más 0,10 € de dividendo. El bajista (5,2x, el mínimo de FY2023, × 0,79 €) pierde un 39 %; el alcista (9,2x, techo de base × 1,35, × 1,63 €) gana un 122 %. El BPA base de FY2028e no es de pico: es el de FY2025 (1,25 €), con un EBIT subyacente igual al de FY2025 tres años después. Con un BPA un 10 % menor el base sigue por encima del 12 %. La v2 (historia al cierre: mediana 6,5x) daría un resultado parecido.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del año del combustible caro; el mercado espera un EBIT subyacente de 1.200-1.300 M y una guía prudente. Dividendo de FY2026 (10-20 % del BPA subyacente)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pago del dividendo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0,10-0,20 €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queroseno si se normaliza el paso por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verano 2027 está cubierto solo al 39 %: cada bajada del combustible se nota en el margen de Markets + Airline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rating a grado de inversión (Moody's con perspectiva positiva)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coste de la deuda y señal de que el rescate queda atrás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Ahorros de ≈ 250 M en Markets + Airline [11]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del 1 % al 3 %: +400 M de EBIT si se cumple del todo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queroseno caro en el verano 2027 con solo el 39 % cubierto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a 12 meses en el bajista (5,2x × 0,79 €)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paquete fijado con las coberturas; recargos permitidos por la directiva de viajes combinados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Queroseno por encima de 150 USD/barril al cierre del invierno [18]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reservas de Reino Unido y Alemania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de margen EBITDA ≈ 250 M de EBIT y ≈ 0,40 €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propia flexible (−5 % en 2026) y hoteles y cruceros con demanda fuerte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Invierno 2026/27 por debajo de −7 % en la actualización de diciembre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Crisis grave (guerra, pandemia, quiebra de un destino) que obligue a devolver cobros anticipados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2020-2021 la acción perdió más del 70 % y hubo que ampliar capital [28]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0,6 veces el EBITDA, RCF de 1.890 M sin disponer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masivas o cierre de un destino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en destinos (Irán, Mediterráneo oriental, Egipto)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M en 9M FY2026 por la guerra de Irán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destinos amplia (Grecia, Canarias, Baleares, Caribe)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viaje a Turquía, Egipto o Chipre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salida de los responsables de Markets + Airline y la aerolínea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Retraso de los 250 M de ahorros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director de operaciones con experiencia en la región Centro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Markets + Airline por debajo del 1 %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−5 % del valor a 3-5 años si los asistentes de IA desintermedian el paquete; no entra en los escenarios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hoteles y barcos propios no se pueden desintermediar; la app de TUI ya vende paquetes dinámicos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las ventas por la app y la web propias</w:t>
            </w:r>
          </w:p>
        </w:tc>
      </w:tr>
    </w:tbl>
    <w:p>
      <w:pPr>
        <w:spacing w:after="160" w:before="0"/>
      </w:pPr>
    </w:p>
    <w:p>
      <w:pPr>
        <w:pStyle w:val="Heading2"/>
      </w:pPr>
      <w:r>
        <w:t xml:space="preserve">Pre-mortem</w:t>
      </w:r>
    </w:p>
    <w:p>
      <w:pPr>
        <w:spacing w:after="100"/>
      </w:pPr>
      <w:r>
        <w:t xml:space="preserve">Octubre de 2027: la acción ha perdido un 40 %. El queroseno siguió por encima de 150 USD/barril todo el verano 2027 y TUI solo pudo subir precios a medias; las reservas de Reino Unido cayeron otro 5 % con Jet2 ganando cuota. La guía de FY2027 de diciembre fue de un EBIT subyacente de 1.000-1.100 M, Moody's retiró la perspectiva positiva y el mercado volvió a pagar 5 veces un BPA de 0,75 €. Las señales habrían sido: guía de diciembre por debajo de 1.150 M, invierno peor que −7 % y queroseno por encima de 150 USD al cierre de marzo.</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Negativo · </w:t>
      </w:r>
      <w:r>
        <w:rPr>
          <w:b/>
          <w:bCs/>
        </w:rPr>
        <w:t xml:space="preserve">Efecto en valor (3-5 años):</w:t>
      </w:r>
      <w:r>
        <w:t xml:space="preserve"> ≈ −5 % a 3-5 años; no se recoge en ningún escenario</w:t>
      </w:r>
    </w:p>
    <w:p>
      <w:pPr>
        <w:spacing w:after="100"/>
      </w:pPr>
      <w:r>
        <w:t xml:space="preserve">TUI cita en su informe anual que los canales de IA (asistentes tipo ChatGPT) pueden quitar cuota de mercado a la venta tradicional [1]. Si el viajero pide a un asistente que le arme el viaje, el asistente compara vuelos y hoteles sueltos y presiona el margen del paquete, que ya es del 1 %. A favor: el 86 % del beneficio sale de hoteles, cruceros y actividades, que el asistente tiene que reservar igualmente, y TUI usa IA para el precio dinámico y su app. Riesgo medio y negativo para Markets + Airline; neutral para el resto.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Clima: la aerolínea y los cruceros son la mayor parte de las emisiones; TUI tiene objetivos validados por SBTi y paga el EU ETS [1]. Agua y biodiversidad en los hoteles de costa; derechos laborales en la cadena de hoteles de terceros [1]. Riesgo físico: huracanes en el Caribe (Jamaica en 2026) y olas de calor en el Mediterráneo [1, 9].</w:t>
      </w:r>
    </w:p>
    <w:p>
      <w:pPr>
        <w:pStyle w:val="Heading2"/>
      </w:pPr>
      <w:r>
        <w:t xml:space="preserve">Controversias</w:t>
      </w:r>
    </w:p>
    <w:p>
      <w:pPr>
        <w:spacing w:after="100"/>
      </w:pPr>
      <w:r>
        <w:t xml:space="preserve">Rescate público de 2020-2021, devuelto en 2023 [7]. El bloque de acciones atribuido a Alexey Mordashov está congelado por las sanciones de la UE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verano 2027 han cubierto desde el 14-sep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FY2027 y el bajista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¿Mantienen el crecimiento del 7-10 % anual del EBIT subyacente a medio plazo después de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FY2027 (1,33 €) supone recuperación [29].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 + Airline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de los 250 M de ahorros están ya en la cuenta y cuándo llegará el margen del 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y el alcista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planes de comprar o vender la participación de RIUSA II, y qué pasa con el derecho de cambio de control?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minoritarios restan 1.650 M en nuestro puente [27].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Cruceros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baja 6 puntos la ocupación del 1S FY2027 en cruceros y cómo lo compensa el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Cruises es la mayor participada [9].</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($TUIFF)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seguidores; mensajes alcistas por la perspectiva positiva de Moody's, el 1T y el PER bajo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financiera alemana (Börse Express, finanztrends)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 la acción barata pero sin catalizador hasta los resultados de diciembre; preocupa el invierno 2026/27 (−7 %)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 (finanzen.net)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de seis recomiendan comprar o sobreponderar; Barclays recorta el objetivo a 8,75 €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bajo frente al historial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6-7 veces el beneficio, pero siempre ha cotizado así desde el rescate.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de invierno y queroseno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−7 % y solo el 39 % del verano 2027 cubierto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Rating y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con perspectiva positiva; deuda neta 0,6 veces el EBITDA a sep-25.</w:t>
            </w:r>
          </w:p>
        </w:tc>
      </w:tr>
    </w:tbl>
    <w:p>
      <w:pPr>
        <w:spacing w:after="160" w:before="0"/>
      </w:pPr>
    </w:p>
    <w:p>
      <w:pPr>
        <w:spacing w:after="100"/>
      </w:pPr>
      <w:r>
        <w:t xml:space="preserve">El sentimiento está dividido: los analistas y los pocos foros visibles ven la acción barata, la prensa alemana espera a diciembre. No hay euforia ni capitulación: la acción está un 8 % por encima del mínimo de 52 semanas. El foro no aporta riesgos nuevos frente a los del informe (reservas, combustible, geopolítica).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36 (25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Segmentos suman los ingresos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0 frente a ingresos 23.167 (-100,0 %). Si hay eliminaciones entre segmentos, explícalo. Explicación: TUI solo publica en los documentos que hemos usado el EBIT subyacente de FY2024 por segmento, no las ventas: dejamos las ventas de FY2024 vacías [1, 12]. FY2025 sí cuadra (24.178,7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El motor sí encuentra el crecimiento y el margen implícitos en el precio (−3,0 % anual de ventas en FY2027e-FY2033e, o un margen EBITDA sin participadas del 5,3 % para siempre), pero no la rentabilidad implícita: con el precio a un tercio del valor del DCF, la tasa que lo iguala sale fuera del rango que busca el motor. No es un supuesto extremo: el circulante negativo (cobros anticipados, −20,5 % de las ventas) es el real de TUI [1]. Lo que el precio descuenta es un margen como el de FY2022 o la repetición de una crisis como la de 2020, que el DCF no modela. Lo explicamos en la lectura del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3,1 % en FY2030e frente al 3,4 %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-20,5 % frente a -21,6 % real: genera una variación de circulante de 435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del 3T25 y del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Quarterly Statement Q3 2025 (da 9 meses); 2) datos trimestrales por segmento FY2025 (EBIT, no ventas de FY2024 por trimestre); 3) informe anual 2024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TUI (no lo publican); 2) MarketScreener (403); 3) prensa (solo el 3T26 «por debajo» por el EBIT subyacente)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segmento de FY2024 en Holiday Experiences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(ventas externas totales); 2) Factbook 2026; 3) datos trimestrales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y CR5 del mercado de viajes de vacaciones europeo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UN Tourism (solo 2025 en dinero); 2) Eurostat (noches, no ingresos); 3) informe anual de TUI (no da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tamaño de 2025 como aproximación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(cita CDP sin nota); 2) MSCI y Sustainalytics (de pago); 3) web de TUI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exacto de los mayores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(avisos de umbral sin tabla actualizada); 2) web de TUI (notificaciones de derechos de voto en JavaScript); 3) Yahoo (holders sin datos fiables para TUI1.DE)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free float 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Prensa (FTI, DER Touristik, Thomas Cook: sin múltiplos); 2) informes anuales de TUI (sin compras); 3) Mergermarket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EBITDA y EBIT del consenso y de FY2028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(403); 2) Yahoo (solo ventas y BPA de dos ejercicios); 3) consenso de la web de TUI (en JavaScript,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alemanes (wallstreet-online, ariva)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wallstreet-online (sin contenido accesible); 2) ariva (sin contenido); 3) Seeking Alpha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(FY2025): estados consolidados FY2025 y FY2024, segmentos, deuda, arrendamientos, participadas (TUI Cruises, Riu), pensiones y anticipos de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https://cdn.sanity.io/files/b6xulh2p/production/ea23b2d7f68b200d24a6d3c81181463332034342.pdf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Quarterly Statement Q3 2026 (9M FY2026: cuenta, balance a 30-jun-2026, flujos, deuda neta, supuestos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https://cdn.sanity.io/files/b6xulh2p/production/93e469c6800760565e5250c4cb693a9faa69d624.pdf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H1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https://cdn.sanity.io/files/b6xulh2p/production/796aabd1286af241b34f8283fbdd18e78b22e862.pdf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https://cdn.sanity.io/files/b6xulh2p/production/01d2b5945e95ba746782ab59f1721394d2151804.pdf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(FY2024, con FY2023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https://cdn.sanity.io/files/b6xulh2p/production/5d9f57cdc308c1b9b1d0d701e6eb142652a8a50d.pdf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(FY2023 y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https://cdn.sanity.io/files/b6xulh2p/production/de9043afda46d400f448773c06c0ea8642e599ab.pdf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https://cdn.sanity.io/files/b6xulh2p/production/11ad4fa52991c839c81cafd1a2e1c1482496fdf0.pdf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FY2021-FY2023 en XBRL (cuenta, balance y flujos; concepto propio tuiag:ShareOfResultOfInvestmentsAccountedForUsingTheEquityMethod)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 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https://filings.xbrl.org/api/filings?filter[entity.identifier]=529900SL2WSPV293B552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Pre-close Trading Update FY2026 (guía de EBIT subyacente de 1.200-1.300 M, reservas de verano 2026 e invierno 2026/27, coberturas)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https://cdn.sanity.io/files/b6xulh2p/production/0a3392ea284cad090527a7b89d37726a4e28ca84.pdf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results announcement y presentación (guía de FY2026, costes de la guerra de Irán y del huracán de Jamaica)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https://cdn.sanity.io/files/b6xulh2p/production/9d1364d7df1d5c32a2c24f016480149dc3b30aba.pdf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presentation (ambiciones a medio plazo, dividendo, ahorros de Markets + Airline)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https://cdn.sanity.io/files/b6xulh2p/production/06299581b8e91bd733a1747bb2aa8cf7ed5828a0.pdf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segment data Q3 FY2026 y FY2025 (EBIT subyacente por segmento y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https://cdn.sanity.io/files/b6xulh2p/production/45b468a64c14fd7faf089d3f0cbcda1daf6dad10.xlsx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Factbook 2026 (modelo de negocio, ROIC por segmento, flota, hoteles y barcos)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https://cdn.sanity.io/files/b6xulh2p/production/56d15022da32c12ec5054307dd8f2368094090d3.pdf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announcement (rebaja de la guía de FY2026 del 22-abr, coste de la guerra de Irán en el Q2)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https://cdn.sanity.io/files/b6xulh2p/production/526a2aae3f546f23135401d818fbda917466bcae.pdf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2025, Half-Year Report H1 2025 y Q1 2025 (comparativos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https://cdn.sanity.io/files/b6xulh2p/production/6a412ef50f334093bf1a67232208912ef9034c14.pdf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Tourism / Amadeus: Travel Insights Europe (mayo 2025-abril 2026): ingresos por exportación turística de Europa de 707.000 M EUR en 2025 y 793 M de llegadas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Tourism / Amadeus Hospitality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https://connect.amadeus-hospitality.com/hubfs/Travel%20Insights%20UN%20tourism%20report/UN_Tourism_Report_May_2025_April_2026_Europe.pdf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Tourism reports 2 % rise in international arrivals in the first quarter of 2026 (Europa +4 %)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(Transition Pathways for Tourism)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https://transition-pathways.europa.eu/tourism/news/un-tourism-reports-2-rise-international-arrivals-first-quarter-2026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 Jet Fuel Price Monitor (media mundial semanal de 192,44 USD/barril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https://www.iata.org/en/publications/economics/fuel-monitor/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Jet2, easyJet, Carnival, Royal Caribbean, Norwegian Cruise Line, Meliá, Lufthansa, IAG, Accor y Ryanair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https://finance.yahoo.com/quote/JET2.L/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Strategy section FY2025 (Holiday Experiences, asset-right, metas a medio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https://cdn.sanity.io/files/b6xulh2p/production/a98995dbec43313e479b58838157fb305e8ed681.pdf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https://cdn.sanity.io/files/b6xulh2p/production/da6002d3cb92d9d0491915604d6dfc8aa27a91a3.pdf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FY2025 (remuneración individual del consejo de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https://cdn.sanity.io/files/b6xulh2p/production/78658da812c82062a72a829ba4b51a0ed8438d34.pdf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Statement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https://cdn.sanity.io/files/b6xulh2p/production/00820acd308fb5376ccf08018d141153d1cd72b6.pdf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resultados de las votaciones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https://cdn.sanity.io/files/b6xulh2p/production/b43c7df0c9f172f757b9efe4ef2d88b5a6c8d2bd.pdf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2026 press release (consejo de supervisión reducido de 20 a 16 miembros)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https://cdn.sanity.io/files/b6xulh2p/production/f4b088c0efa28595d6cfd34841a5615ebefea54d.pdf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de TUI AG (compras de Ebel, Kiep, Reiss y Schelp, feb-sep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https://www.hl.co.uk/shares/shares-search-results/t/tui-ag-ord-reg-shs-npv-di/director-deals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pursuant to takeover law (estructura de capital y derechos de cambio de control)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https://cdn.sanity.io/files/b6xulh2p/production/08f1d79a2ab96bd74e8f8b097bbf73fd3630fd30.pdf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TUI1.DE, EXS3.DE (MDAX) y EXV9.DE (viajes y ocio europeo)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https://finance.yahoo.com/quote/TUI1.DE/history/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TUI1.DE: earningsTrend (BPA FY2026 y FY2027 de 12-13 analistas, revisiones a 90 días), recomendación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https://finance.yahoo.com/quote/TUI1.DE/analysis/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TUI-Aktie: Analysten und Kursziele (Barclays, Deutsche Bank, JPMorgan, Jefferies, Bernstein, UBS;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https://www.finanzen.net/kursziele/tui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quoteSummary de diez comparables (turoperadores, aerolíneas, cruceros, hoteles)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https://finance.yahoo.com/quote/JET2.L/key-statistics/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(curva de Svensson,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 1,1253; GBP 0,84385;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$TUIFF (mensajes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https://api.stocktwits.com/api/2/streams/symbol/TUIFF.json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TUI-Aktie: comentarios y noticias (Börse Express, finanztrends)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 / finanztrends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capital</w:t>
      </w:r>
      <w:r>
        <w:t xml:space="preserve"> · Generado el 19 oct 2026.</w:t>
      </w:r>
    </w:p>
    <w:p>
      <w:pPr>
        <w:pStyle w:val="Nota"/>
        <w:spacing w:after="100"/>
      </w:pPr>
      <w:r>
        <w:t xml:space="preserve">Cuentas consolidadas NIIF en millones de EUR; ejercicio a 30-sep (FY2025 = oct-24 a sep-25). FY2021-FY2023 salen del XBRL ESEF del regulador (cuentas.mjs --esef) completado con los informes anuales [6, 7, 8]; FY2024-FY2025 de los informes anuales 2024 y 2025 [1, 5]; los trimestres, de los informes de Q1 FY2025 a Q3 FY2026 [2, 3, 4, 15]. FY2026 (oct-25 a sep-26) ya ha cerrado pero se publica el 9-dic-2026: va como estimación fija con la guía del 22-sep [9]. El BPA y las acciones de FY2021-FY2022 están reexpresados por la agrupación 10:1 y la ampliación de 2023; el de FY2021 (−15,48 €) es una reexpresión propia con el factor de la empresa. TUI mete el resultado de sus participadas (TUI Cruises, hoteles con Riu, Royalton) en el EBIT: el motor lo saca y las participadas se valoran en el puente a 9 veces (TUI Cruises) y 6 veces (resto) su resultado. Los minoritarios (familia Riu) se valoran a 8 veces su beneficio, no a valor contable. El puente usa el balance de 30-jun-2026, con más deuda neta (2.348 M) que la de septiembre (1.305 M a sep-25): no se ajusta la estacionalidad, lo que es prudente. Acciones: 507,4 M básicas; el convertible de 2031 (487 M) está fuera de dinero y va como deuda. Precio: cierre del 16-oct-2026 en Xetra (6,75 €) [28]; hoy, 19-oct, a las 15:57 CEST, 6,66 € (Yahoo, 6,656). No encontramos el porcentaje exacto de los mayores accionistas ni estimaciones de consenso de EBITDA y de FY2028 (huecos en C y 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TUI AG (TUI1)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(6,08 – 9,56)</c:v>
                </c:pt>
                <c:pt idx="1">
                  <c:v>Precio objetivo de los analistas (7,00 – 13,50)</c:v>
                </c:pt>
                <c:pt idx="2">
                  <c:v>Comparables: PER NTM (10,87 – 18,15)</c:v>
                </c:pt>
                <c:pt idx="3">
                  <c:v>DCF (WACC y g ± 0,5) (17,80 – 23,36)</c:v>
                </c:pt>
                <c:pt idx="4">
                  <c:v>Escenarios (bajista – alcista) (11,26 – 27,44)</c:v>
                </c:pt>
                <c:pt idx="5">
                  <c:v>DCF con la prima implícita del mercado (4,2 %)</c:v>
                </c:pt>
                <c:pt idx="6">
                  <c:v>Precio actual (6,75)</c:v>
                </c:pt>
              </c:strCache>
            </c:strRef>
          </c:cat>
          <c:val>
            <c:numRef>
              <c:f>Hoja1!$B$2:$B$8</c:f>
              <c:numCache>
                <c:formatCode>#,##0.0</c:formatCode>
                <c:ptCount val="7"/>
                <c:pt idx="0">
                  <c:v>6.08</c:v>
                </c:pt>
                <c:pt idx="1">
                  <c:v>7</c:v>
                </c:pt>
                <c:pt idx="2">
                  <c:v>10.87</c:v>
                </c:pt>
                <c:pt idx="3">
                  <c:v>17.8</c:v>
                </c:pt>
                <c:pt idx="4">
                  <c:v>11.26</c:v>
                </c:pt>
                <c:pt idx="5">
                  <c:v>21.66</c:v>
                </c:pt>
                <c:pt idx="6">
                  <c:v>6.72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(6,08 – 9,56)</c:v>
                </c:pt>
                <c:pt idx="1">
                  <c:v>Precio objetivo de los analistas (7,00 – 13,50)</c:v>
                </c:pt>
                <c:pt idx="2">
                  <c:v>Comparables: PER NTM (10,87 – 18,15)</c:v>
                </c:pt>
                <c:pt idx="3">
                  <c:v>DCF (WACC y g ± 0,5) (17,80 – 23,36)</c:v>
                </c:pt>
                <c:pt idx="4">
                  <c:v>Escenarios (bajista – alcista) (11,26 – 27,44)</c:v>
                </c:pt>
                <c:pt idx="5">
                  <c:v>DCF con la prima implícita del mercado (4,2 %)</c:v>
                </c:pt>
                <c:pt idx="6">
                  <c:v>Precio actual (6,75)</c:v>
                </c:pt>
              </c:strCache>
            </c:strRef>
          </c:cat>
          <c:val>
            <c:numRef>
              <c:f>Hoja1!$C$2:$C$8</c:f>
              <c:numCache>
                <c:formatCode>#,##0.0</c:formatCode>
                <c:ptCount val="7"/>
                <c:pt idx="0">
                  <c:v>3.4800000000000004</c:v>
                </c:pt>
                <c:pt idx="1">
                  <c:v>6.5</c:v>
                </c:pt>
                <c:pt idx="2">
                  <c:v>7.279999999999999</c:v>
                </c:pt>
                <c:pt idx="3">
                  <c:v>5.559999999999999</c:v>
                </c:pt>
                <c:pt idx="4">
                  <c:v>16.18</c:v>
                </c:pt>
                <c:pt idx="5">
                  <c:v>4.359999999999999</c:v>
                </c:pt>
                <c:pt idx="6">
                  <c:v>0.0600000000000005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Hotels &amp; Resorts</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1">
                  <c:v>1243.8</c:v>
                </c:pt>
              </c:numCache>
            </c:numRef>
          </c:val>
        </c:ser>
        <c:ser>
          <c:idx val="1"/>
          <c:order val="1"/>
          <c:tx>
            <c:strRef>
              <c:f>Hoja1!$C$1</c:f>
              <c:strCache>
                <c:ptCount val="1"/>
                <c:pt idx="0">
                  <c:v>Cruises</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1">
                  <c:v>883.4</c:v>
                </c:pt>
              </c:numCache>
            </c:numRef>
          </c:val>
        </c:ser>
        <c:ser>
          <c:idx val="2"/>
          <c:order val="2"/>
          <c:tx>
            <c:strRef>
              <c:f>Hoja1!$D$1</c:f>
              <c:strCache>
                <c:ptCount val="1"/>
                <c:pt idx="0">
                  <c:v>TUI Musement</c:v>
                </c:pt>
              </c:strCache>
            </c:strRef>
          </c:tx>
          <c:spPr>
            <a:solidFill>
              <a:srgbClr val="1BAF7A"/>
            </a:solidFill>
            <a:ln w="12700">
              <a:solidFill>
                <a:srgbClr val="FFFFFF"/>
              </a:solidFill>
            </a:ln>
          </c:spPr>
          <c:invertIfNegative val="0"/>
          <c:cat>
            <c:strRef>
              <c:f>Hoja1!$A$2:$A$3</c:f>
              <c:strCache>
                <c:ptCount val="2"/>
                <c:pt idx="0">
                  <c:v>FY2024</c:v>
                </c:pt>
                <c:pt idx="1">
                  <c:v>FY2025</c:v>
                </c:pt>
              </c:strCache>
            </c:strRef>
          </c:cat>
          <c:val>
            <c:numRef>
              <c:f>Hoja1!$D$2:$D$3</c:f>
              <c:numCache>
                <c:formatCode>#,##0</c:formatCode>
                <c:ptCount val="2"/>
                <c:pt idx="1">
                  <c:v>1044.8</c:v>
                </c:pt>
              </c:numCache>
            </c:numRef>
          </c:val>
        </c:ser>
        <c:ser>
          <c:idx val="3"/>
          <c:order val="3"/>
          <c:tx>
            <c:strRef>
              <c:f>Hoja1!$E$1</c:f>
              <c:strCache>
                <c:ptCount val="1"/>
                <c:pt idx="0">
                  <c:v>Markets + Airline</c:v>
                </c:pt>
              </c:strCache>
            </c:strRef>
          </c:tx>
          <c:spPr>
            <a:solidFill>
              <a:srgbClr val="EDA100"/>
            </a:solidFill>
            <a:ln w="12700">
              <a:solidFill>
                <a:srgbClr val="FFFFFF"/>
              </a:solidFill>
            </a:ln>
          </c:spPr>
          <c:invertIfNegative val="0"/>
          <c:cat>
            <c:strRef>
              <c:f>Hoja1!$A$2:$A$3</c:f>
              <c:strCache>
                <c:ptCount val="2"/>
                <c:pt idx="0">
                  <c:v>FY2024</c:v>
                </c:pt>
                <c:pt idx="1">
                  <c:v>FY2025</c:v>
                </c:pt>
              </c:strCache>
            </c:strRef>
          </c:cat>
          <c:val>
            <c:numRef>
              <c:f>Hoja1!$E$2:$E$3</c:f>
              <c:numCache>
                <c:formatCode>#,##0</c:formatCode>
                <c:ptCount val="2"/>
                <c:pt idx="1">
                  <c:v>20993.5</c:v>
                </c:pt>
              </c:numCache>
            </c:numRef>
          </c:val>
        </c:ser>
        <c:ser>
          <c:idx val="4"/>
          <c:order val="4"/>
          <c:tx>
            <c:strRef>
              <c:f>Hoja1!$F$1</c:f>
              <c:strCache>
                <c:ptCount val="1"/>
                <c:pt idx="0">
                  <c:v>All other segments</c:v>
                </c:pt>
              </c:strCache>
            </c:strRef>
          </c:tx>
          <c:spPr>
            <a:solidFill>
              <a:srgbClr val="E87BA4"/>
            </a:solidFill>
            <a:ln w="12700">
              <a:solidFill>
                <a:srgbClr val="FFFFFF"/>
              </a:solidFill>
            </a:ln>
          </c:spPr>
          <c:invertIfNegative val="0"/>
          <c:cat>
            <c:strRef>
              <c:f>Hoja1!$A$2:$A$3</c:f>
              <c:strCache>
                <c:ptCount val="2"/>
                <c:pt idx="0">
                  <c:v>FY2024</c:v>
                </c:pt>
                <c:pt idx="1">
                  <c:v>FY2025</c:v>
                </c:pt>
              </c:strCache>
            </c:strRef>
          </c:cat>
          <c:val>
            <c:numRef>
              <c:f>Hoja1!$F$2:$F$3</c:f>
              <c:numCache>
                <c:formatCode>#,##0</c:formatCode>
                <c:ptCount val="2"/>
                <c:pt idx="1">
                  <c:v>13.2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Hotels &amp; Resorts</c:v>
                </c:pt>
                <c:pt idx="1">
                  <c:v>Cruises</c:v>
                </c:pt>
                <c:pt idx="2">
                  <c:v>TUI Musement</c:v>
                </c:pt>
                <c:pt idx="3">
                  <c:v>Markets + Airline</c:v>
                </c:pt>
                <c:pt idx="4">
                  <c:v>All other segments</c:v>
                </c:pt>
              </c:strCache>
            </c:strRef>
          </c:cat>
          <c:val>
            <c:numRef>
              <c:f>Hoja1!$B$2:$B$6</c:f>
              <c:numCache>
                <c:formatCode>General</c:formatCode>
                <c:ptCount val="5"/>
                <c:pt idx="0">
                  <c:v>5.1</c:v>
                </c:pt>
                <c:pt idx="1">
                  <c:v>3.7</c:v>
                </c:pt>
                <c:pt idx="2">
                  <c:v>4.3</c:v>
                </c:pt>
                <c:pt idx="3">
                  <c:v>86.8</c:v>
                </c:pt>
                <c:pt idx="4">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Región Norte (Reino Unido, Irlanda, Nórdicos)</c:v>
                </c:pt>
                <c:pt idx="1">
                  <c:v>Región Centro (Alemania, Austria, Suiza, Polonia)</c:v>
                </c:pt>
                <c:pt idx="2">
                  <c:v>Región Oeste (Bélgica, Países Bajos, Francia)</c:v>
                </c:pt>
                <c:pt idx="3">
                  <c:v>Holiday Experiences (hoteles, cruceros y actividades, ventas externas)</c:v>
                </c:pt>
              </c:strCache>
            </c:strRef>
          </c:cat>
          <c:val>
            <c:numRef>
              <c:f>Hoja1!$B$2:$B$5</c:f>
              <c:numCache>
                <c:formatCode>0"%"</c:formatCode>
                <c:ptCount val="4"/>
                <c:pt idx="0">
                  <c:v>36.6</c:v>
                </c:pt>
                <c:pt idx="1">
                  <c:v>36.6</c:v>
                </c:pt>
                <c:pt idx="2">
                  <c:v>13.6</c:v>
                </c:pt>
                <c:pt idx="3">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de ingresos turísticos internacionales en Europa)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707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TUI</c:v>
                </c:pt>
                <c:pt idx="1">
                  <c:v>Jet2</c:v>
                </c:pt>
                <c:pt idx="2">
                  <c:v>easyJet (easyJet holidays)</c:v>
                </c:pt>
                <c:pt idx="3">
                  <c:v>DER Touristik (grupo REWE)</c:v>
                </c:pt>
                <c:pt idx="4">
                  <c:v>Carnival</c:v>
                </c:pt>
                <c:pt idx="5">
                  <c:v>Royal Caribbean</c:v>
                </c:pt>
                <c:pt idx="6">
                  <c:v>Meliá Hotels</c:v>
                </c:pt>
              </c:strCache>
            </c:strRef>
          </c:cat>
          <c:val>
            <c:numRef>
              <c:f>Hoja1!$B$2:$B$8</c:f>
              <c:numCache>
                <c:formatCode>0.0"%"</c:formatCode>
                <c:ptCount val="7"/>
                <c:pt idx="0">
                  <c:v>3.8</c:v>
                </c:pt>
                <c:pt idx="4">
                  <c:v>26.4</c:v>
                </c:pt>
                <c:pt idx="5">
                  <c:v>27.1</c:v>
                </c:pt>
                <c:pt idx="6">
                  <c:v>17.2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Hoja1!$B$2:$B$14</c:f>
              <c:numCache>
                <c:formatCode>#,##0</c:formatCode>
                <c:ptCount val="13"/>
                <c:pt idx="0">
                  <c:v>4731.6</c:v>
                </c:pt>
                <c:pt idx="1">
                  <c:v>16544.9</c:v>
                </c:pt>
                <c:pt idx="2">
                  <c:v>20665.9</c:v>
                </c:pt>
                <c:pt idx="3">
                  <c:v>23167.3</c:v>
                </c:pt>
                <c:pt idx="4">
                  <c:v>24178.7</c:v>
                </c:pt>
                <c:pt idx="5">
                  <c:v>23357</c:v>
                </c:pt>
                <c:pt idx="6">
                  <c:v>23941</c:v>
                </c:pt>
                <c:pt idx="7">
                  <c:v>24898</c:v>
                </c:pt>
                <c:pt idx="8">
                  <c:v>25894</c:v>
                </c:pt>
                <c:pt idx="9">
                  <c:v>26800</c:v>
                </c:pt>
                <c:pt idx="10">
                  <c:v>27604</c:v>
                </c:pt>
                <c:pt idx="11">
                  <c:v>28433</c:v>
                </c:pt>
                <c:pt idx="12">
                  <c:v>29143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Hoja1!$C$2:$C$14</c:f>
              <c:numCache>
                <c:formatCode>#,##0</c:formatCode>
                <c:ptCount val="13"/>
                <c:pt idx="0">
                  <c:v>-762.7</c:v>
                </c:pt>
                <c:pt idx="1">
                  <c:v>1104.1999999999998</c:v>
                </c:pt>
                <c:pt idx="2">
                  <c:v>1445.8</c:v>
                </c:pt>
                <c:pt idx="3">
                  <c:v>1750.3999999999999</c:v>
                </c:pt>
                <c:pt idx="4">
                  <c:v>1808.2999999999997</c:v>
                </c:pt>
                <c:pt idx="5">
                  <c:v>1705</c:v>
                </c:pt>
                <c:pt idx="6">
                  <c:v>1676</c:v>
                </c:pt>
                <c:pt idx="7">
                  <c:v>1842</c:v>
                </c:pt>
                <c:pt idx="8">
                  <c:v>1942</c:v>
                </c:pt>
                <c:pt idx="9">
                  <c:v>2010</c:v>
                </c:pt>
                <c:pt idx="10">
                  <c:v>2070</c:v>
                </c:pt>
                <c:pt idx="11">
                  <c:v>2132</c:v>
                </c:pt>
                <c:pt idx="12">
                  <c:v>2186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-25.9</c:v>
                </c:pt>
                <c:pt idx="1">
                  <c:v>5.6</c:v>
                </c:pt>
                <c:pt idx="2">
                  <c:v>7.8</c:v>
                </c:pt>
                <c:pt idx="3">
                  <c:v>8.4</c:v>
                </c:pt>
                <c:pt idx="4">
                  <c:v>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-16.1</c:v>
                </c:pt>
                <c:pt idx="1">
                  <c:v>6.7</c:v>
                </c:pt>
                <c:pt idx="2">
                  <c:v>7</c:v>
                </c:pt>
                <c:pt idx="3">
                  <c:v>7.6</c:v>
                </c:pt>
                <c:pt idx="4">
                  <c:v>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-37.5</c:v>
                </c:pt>
                <c:pt idx="1">
                  <c:v>1.3</c:v>
                </c:pt>
                <c:pt idx="2">
                  <c:v>2.8</c:v>
                </c:pt>
                <c:pt idx="3">
                  <c:v>3.9</c:v>
                </c:pt>
                <c:pt idx="4">
                  <c:v>3.8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-52.1</c:v>
                </c:pt>
                <c:pt idx="1">
                  <c:v>-1.7</c:v>
                </c:pt>
                <c:pt idx="2">
                  <c:v>1.5</c:v>
                </c:pt>
                <c:pt idx="3">
                  <c:v>2.2</c:v>
                </c:pt>
                <c:pt idx="4">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13.2</c:v>
                </c:pt>
                <c:pt idx="1">
                  <c:v>1.5</c:v>
                </c:pt>
                <c:pt idx="4">
                  <c:v>-0.2</c:v>
                </c:pt>
                <c:pt idx="5">
                  <c:v>-0.1</c:v>
                </c:pt>
                <c:pt idx="6">
                  <c:v>-6.1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36</c:v>
                </c:pt>
                <c:pt idx="1">
                  <c:v>22</c:v>
                </c:pt>
                <c:pt idx="2">
                  <c:v>19</c:v>
                </c:pt>
                <c:pt idx="3">
                  <c:v>18</c:v>
                </c:pt>
                <c:pt idx="4">
                  <c:v>16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c:v>
                </c:pt>
                <c:pt idx="1">
                  <c:v>1</c:v>
                </c:pt>
                <c:pt idx="2">
                  <c:v>1</c:v>
                </c:pt>
                <c:pt idx="3">
                  <c:v>1</c:v>
                </c:pt>
                <c:pt idx="4">
                  <c:v>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126</c:v>
                </c:pt>
                <c:pt idx="1">
                  <c:v>78</c:v>
                </c:pt>
                <c:pt idx="2">
                  <c:v>65</c:v>
                </c:pt>
                <c:pt idx="3">
                  <c:v>58</c:v>
                </c:pt>
                <c:pt idx="4">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-1443</c:v>
                </c:pt>
                <c:pt idx="1">
                  <c:v>592.9000000000001</c:v>
                </c:pt>
                <c:pt idx="2">
                  <c:v>-59.600000000000136</c:v>
                </c:pt>
                <c:pt idx="3">
                  <c:v>193.99999999999994</c:v>
                </c:pt>
                <c:pt idx="4">
                  <c:v>409.59999999999974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-2467.2</c:v>
                </c:pt>
                <c:pt idx="1">
                  <c:v>-277.3</c:v>
                </c:pt>
                <c:pt idx="2">
                  <c:v>305.8</c:v>
                </c:pt>
                <c:pt idx="3">
                  <c:v>507.1</c:v>
                </c:pt>
                <c:pt idx="4">
                  <c:v>635.9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-29.3</c:v>
                </c:pt>
                <c:pt idx="1">
                  <c:v>3.8</c:v>
                </c:pt>
                <c:pt idx="2">
                  <c:v>11.7</c:v>
                </c:pt>
                <c:pt idx="3">
                  <c:v>19.6</c:v>
                </c:pt>
                <c:pt idx="4">
                  <c:v>20.2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227.2</c:v>
                </c:pt>
                <c:pt idx="1">
                  <c:v>45.2</c:v>
                </c:pt>
                <c:pt idx="2">
                  <c:v>62.3</c:v>
                </c:pt>
                <c:pt idx="3">
                  <c:v>48.8</c:v>
                </c:pt>
                <c:pt idx="4">
                  <c:v>46.8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-6.51</c:v>
                </c:pt>
                <c:pt idx="1">
                  <c:v>3.19</c:v>
                </c:pt>
                <c:pt idx="2">
                  <c:v>1.49</c:v>
                </c:pt>
                <c:pt idx="3">
                  <c:v>0.97</c:v>
                </c:pt>
                <c:pt idx="4">
                  <c:v>0.73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FY2026</c:v>
                </c:pt>
                <c:pt idx="1">
                  <c:v>FY2027</c:v>
                </c:pt>
                <c:pt idx="2">
                  <c:v>FY2028-FY2030</c:v>
                </c:pt>
                <c:pt idx="3">
                  <c:v>FY2031+</c:v>
                </c:pt>
              </c:strCache>
            </c:strRef>
          </c:cat>
          <c:val>
            <c:numRef>
              <c:f>Hoja1!$B$2:$B$5</c:f>
              <c:numCache>
                <c:formatCode>#,##0</c:formatCode>
                <c:ptCount val="4"/>
                <c:pt idx="0">
                  <c:v>420.6</c:v>
                </c:pt>
                <c:pt idx="1">
                  <c:v>79.1</c:v>
                </c:pt>
                <c:pt idx="2">
                  <c:v>999.7</c:v>
                </c:pt>
                <c:pt idx="3">
                  <c:v>483.4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0.9</c:v>
                </c:pt>
                <c:pt idx="2">
                  <c:v>120.4</c:v>
                </c:pt>
                <c:pt idx="3">
                  <c:v>145.8</c:v>
                </c:pt>
                <c:pt idx="4">
                  <c:v>99.5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7</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Unifirm / Alexey Mordashov (participación congelada por sanciones)</c:v>
                </c:pt>
                <c:pt idx="1">
                  <c:v>Familia Riu</c:v>
                </c:pt>
                <c:pt idx="2">
                  <c:v>Capital flotante</c:v>
                </c:pt>
              </c:strCache>
            </c:strRef>
          </c:cat>
          <c:val>
            <c:numRef>
              <c:f>Hoja1!$B$2:$B$4</c:f>
              <c:numCache>
                <c:formatCode>0.0"%"</c:formatCode>
                <c:ptCount val="3"/>
                <c:pt idx="2">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-17.3</c:v>
                </c:pt>
                <c:pt idx="1">
                  <c:v>34.9</c:v>
                </c:pt>
                <c:pt idx="2">
                  <c:v>-25.7</c:v>
                </c:pt>
                <c:pt idx="3">
                  <c:v>-0.4</c:v>
                </c:pt>
                <c:pt idx="4">
                  <c:v>-52.2</c:v>
                </c:pt>
                <c:pt idx="5">
                  <c:v>-2.2</c:v>
                </c:pt>
                <c:pt idx="6">
                  <c:v>-43.7</c:v>
                </c:pt>
                <c:pt idx="7">
                  <c:v>-12.2</c:v>
                </c:pt>
                <c:pt idx="8">
                  <c:v>18.2</c:v>
                </c:pt>
                <c:pt idx="9">
                  <c:v>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6.2</c:v>
                </c:pt>
                <c:pt idx="1">
                  <c:v>17.4</c:v>
                </c:pt>
                <c:pt idx="2">
                  <c:v>-18.4</c:v>
                </c:pt>
                <c:pt idx="3">
                  <c:v>30.3</c:v>
                </c:pt>
                <c:pt idx="4">
                  <c:v>8.2</c:v>
                </c:pt>
                <c:pt idx="5">
                  <c:v>13.2</c:v>
                </c:pt>
                <c:pt idx="6">
                  <c:v>-29.1</c:v>
                </c:pt>
                <c:pt idx="7">
                  <c:v>7.9</c:v>
                </c:pt>
                <c:pt idx="8">
                  <c:v>-6.5</c:v>
                </c:pt>
                <c:pt idx="9">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1">
                  <c:v>5.5</c:v>
                </c:pt>
                <c:pt idx="2">
                  <c:v>3.4</c:v>
                </c:pt>
                <c:pt idx="3">
                  <c:v>3.4</c:v>
                </c:pt>
                <c:pt idx="4">
                  <c:v>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3.4</c:v>
                </c:pt>
                <c:pt idx="1">
                  <c:v>3.4</c:v>
                </c:pt>
                <c:pt idx="2">
                  <c:v>3.4</c:v>
                </c:pt>
                <c:pt idx="3">
                  <c:v>3.4</c:v>
                </c:pt>
                <c:pt idx="4">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-34</c:v>
                </c:pt>
                <c:pt idx="1">
                  <c:v>498</c:v>
                </c:pt>
                <c:pt idx="2">
                  <c:v>694</c:v>
                </c:pt>
                <c:pt idx="3">
                  <c:v>769</c:v>
                </c:pt>
                <c:pt idx="4">
                  <c:v>797</c:v>
                </c:pt>
                <c:pt idx="5">
                  <c:v>822</c:v>
                </c:pt>
                <c:pt idx="6">
                  <c:v>875</c:v>
                </c:pt>
                <c:pt idx="7">
                  <c:v>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3905</c:v>
                </c:pt>
                <c:pt idx="1">
                  <c:v>7202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11.26</c:v>
                </c:pt>
                <c:pt idx="1">
                  <c:v>20.18</c:v>
                </c:pt>
                <c:pt idx="2">
                  <c:v>27.44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(6,08 – 9,56)</c:v>
                </c:pt>
                <c:pt idx="1">
                  <c:v>Precio objetivo de los analistas (7,00 – 13,50)</c:v>
                </c:pt>
                <c:pt idx="2">
                  <c:v>Comparables: PER NTM (10,87 – 18,15)</c:v>
                </c:pt>
                <c:pt idx="3">
                  <c:v>DCF (WACC y g ± 0,5) (17,80 – 23,36)</c:v>
                </c:pt>
                <c:pt idx="4">
                  <c:v>Escenarios (bajista – alcista) (11,26 – 27,44)</c:v>
                </c:pt>
                <c:pt idx="5">
                  <c:v>DCF con la prima implícita del mercado (4,2 %)</c:v>
                </c:pt>
                <c:pt idx="6">
                  <c:v>Precio actual (6,75)</c:v>
                </c:pt>
              </c:strCache>
            </c:strRef>
          </c:cat>
          <c:val>
            <c:numRef>
              <c:f>Hoja1!$B$2:$B$8</c:f>
              <c:numCache>
                <c:formatCode>#,##0.0</c:formatCode>
                <c:ptCount val="7"/>
                <c:pt idx="0">
                  <c:v>6.08</c:v>
                </c:pt>
                <c:pt idx="1">
                  <c:v>7</c:v>
                </c:pt>
                <c:pt idx="2">
                  <c:v>10.87</c:v>
                </c:pt>
                <c:pt idx="3">
                  <c:v>17.8</c:v>
                </c:pt>
                <c:pt idx="4">
                  <c:v>11.26</c:v>
                </c:pt>
                <c:pt idx="5">
                  <c:v>21.66</c:v>
                </c:pt>
                <c:pt idx="6">
                  <c:v>6.72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(6,08 – 9,56)</c:v>
                </c:pt>
                <c:pt idx="1">
                  <c:v>Precio objetivo de los analistas (7,00 – 13,50)</c:v>
                </c:pt>
                <c:pt idx="2">
                  <c:v>Comparables: PER NTM (10,87 – 18,15)</c:v>
                </c:pt>
                <c:pt idx="3">
                  <c:v>DCF (WACC y g ± 0,5) (17,80 – 23,36)</c:v>
                </c:pt>
                <c:pt idx="4">
                  <c:v>Escenarios (bajista – alcista) (11,26 – 27,44)</c:v>
                </c:pt>
                <c:pt idx="5">
                  <c:v>DCF con la prima implícita del mercado (4,2 %)</c:v>
                </c:pt>
                <c:pt idx="6">
                  <c:v>Precio actual (6,75)</c:v>
                </c:pt>
              </c:strCache>
            </c:strRef>
          </c:cat>
          <c:val>
            <c:numRef>
              <c:f>Hoja1!$C$2:$C$8</c:f>
              <c:numCache>
                <c:formatCode>#,##0.0</c:formatCode>
                <c:ptCount val="7"/>
                <c:pt idx="0">
                  <c:v>3.4800000000000004</c:v>
                </c:pt>
                <c:pt idx="1">
                  <c:v>6.5</c:v>
                </c:pt>
                <c:pt idx="2">
                  <c:v>7.279999999999999</c:v>
                </c:pt>
                <c:pt idx="3">
                  <c:v>5.559999999999999</c:v>
                </c:pt>
                <c:pt idx="4">
                  <c:v>16.18</c:v>
                </c:pt>
                <c:pt idx="5">
                  <c:v>4.359999999999999</c:v>
                </c:pt>
                <c:pt idx="6">
                  <c:v>0.0600000000000005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