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Moody's Corporation</w:t>
      </w:r>
    </w:p>
    <w:p>
      <w:pPr>
        <w:spacing w:after="60"/>
        <w:rPr>
          <w:color w:val="52514E"/>
          <w:sz w:val="22"/>
          <w:szCs w:val="22"/>
        </w:rPr>
      </w:pPr>
      <w:r>
        <w:rPr>
          <w:color w:val="52514E"/>
          <w:sz w:val="22"/>
          <w:szCs w:val="22"/>
        </w:rPr>
        <w:t xml:space="preserve">MCO · NYSE · ISIN US6153691059 · Financieras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475,35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553,01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+17,2 % (base +22,4 %)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339,13 USD · mercado 371,00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82.378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18,7x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MCO / US6153691059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Financieras / Mercados de capitales (datos y calificaciones)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Nueva York · 1909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ir.moodys.com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475,35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402,28 – 546,88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82.378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87.397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377 M USD/día (0,79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553,01 USD</w:t>
      </w:r>
      <w:r>
        <w:t xml:space="preserve"> frente a 475,35 · Rentabilidad a 12 meses </w:t>
      </w:r>
      <w:r>
        <w:rPr>
          <w:b/>
          <w:bCs/>
        </w:rPr>
        <w:t xml:space="preserve">+17,2 % (base +22,4 %)</w:t>
      </w:r>
      <w:r>
        <w:t xml:space="preserve"> · Valor intrínseco 339,13 USD · con la prima implícita del mercado: 371,00 (-22,0 %) · Alcista / bajista -22,6 % / -50,2 %</w:t>
      </w:r>
    </w:p>
    <w:p>
      <w:pPr>
        <w:spacing w:after="100"/>
      </w:pPr>
      <w:r>
        <w:rPr>
          <w:b/>
        </w:rPr>
        <w:t xml:space="preserve">La recomendación y por qué.</w:t>
      </w:r>
      <w:r>
        <w:t xml:space="preserve"> Mantener, con convicción baja. A 12 meses, con nuestra regla de múltiplos, el objetivo es de 553,01 USD: +17,2 % ponderado y +22,4 % en el caso base, con dividendo, sobre el cierre de 475,35 USD del 20-oct. Pero el valor intrínseco (síntesis del DCF, los escenarios y los comparables) es de 339,13 USD, un 28,7 % por debajo: la regla pide las dos cosas para comprar. La convicción es baja porque las dos lecturas chocan y porque, con el BPA un 10 % más bajo, la rentabilidad a 12 meses cae al 5,5 %.</w:t>
      </w:r>
    </w:p>
    <w:p>
      <w:pPr>
        <w:spacing w:after="100"/>
      </w:pPr>
      <w:r>
        <w:rPr>
          <w:b/>
        </w:rPr>
        <w:t xml:space="preserve">Qué ha cambiado con el 3T26 (21-oct).</w:t>
      </w:r>
      <w:r>
        <w:t xml:space="preserve"> Trimestre flojo: ingresos de 2.023 M (+1 %, +3 % orgánico) frente a 2.080 M esperados y BPA ajustado de 4,14 USD (+6 %) frente a 4,25 [1, 47]. MIS cae un 1 %: el alto rendimiento −40 % y los préstamos apalancados −27 %, compensados por el grado de inversión (+18 %, financiación de la IA). MA va bien: +8 % orgánico, ARR de 3.688 M y margen ajustado del 35,3 % [1]. La guía de 2026 se mantiene (BPA ajustado de 16,50-17,00 USD), pero con supuestos más duros: impago especulativo del 3,8 % y otra subida de tipos [1]. En la preapertura cotizaba a 462 USD (−2,8 %) [46]. Este análisis se rehace entero con fuentes primarias (el del 14-oct salió de extractos de búsqueda).</w:t>
      </w:r>
    </w:p>
    <w:p>
      <w:pPr>
        <w:spacing w:after="100"/>
      </w:pPr>
      <w:r>
        <w:rPr>
          <w:b/>
        </w:rPr>
        <w:t xml:space="preserve">El negocio.</w:t>
      </w:r>
      <w:r>
        <w:t xml:space="preserve"> Duopolio de calificación con S&amp;P (31,4 % de los ingresos del sector; las tres grandes, el 92,4 %) y un negocio de datos y software (MA) con ingresos recurrentes [12]. ROIC del 30,0 % frente a un WACC del 10,9 %; la calidad sostiene el crecimiento (veredicto: Sí).</w:t>
      </w:r>
    </w:p>
    <w:p>
      <w:pPr>
        <w:spacing w:after="100"/>
      </w:pPr>
      <w:r>
        <w:rPr>
          <w:b/>
        </w:rPr>
        <w:t xml:space="preserve">Finanzas.</w:t>
      </w:r>
      <w:r>
        <w:t xml:space="preserve"> Deuda neta de 5.290 M (1,3 veces el EBITDA) a 30-sep; recompra más de lo que genera (2.553 M en nueve meses) y el patrimonio contable baja [1]. Altman Z de 7,18 y Piotroski de 9.</w:t>
      </w:r>
    </w:p>
    <w:p>
      <w:pPr>
        <w:spacing w:after="100"/>
      </w:pPr>
      <w:r>
        <w:rPr>
          <w:b/>
        </w:rPr>
        <w:t xml:space="preserve">Valoración.</w:t>
      </w:r>
      <w:r>
        <w:t xml:space="preserve"> El DCF da 311,97 USD (−34,4 %) y el DCF inverso dice que el precio descuenta un crecimiento del 11,4 % anual frente al 5,5 % de nuestro base. Con la prima de riesgo que hoy pide el mercado vale 361,44 USD: ni así llega al precio. Cotiza a 25,4 veces nuestro BPA ajustado de 2027e, por debajo de su mediana adelantada (30,6x) y por encima de los comparables (22,2x).</w:t>
      </w:r>
    </w:p>
    <w:p>
      <w:pPr>
        <w:spacing w:after="100"/>
      </w:pPr>
      <w:r>
        <w:rPr>
          <w:b/>
        </w:rPr>
        <w:t xml:space="preserve">Riesgos y catalizadores.</w:t>
      </w:r>
      <w:r>
        <w:t xml:space="preserve"> El primero, un año de emisión como 2022 (BPA −30 %); el segundo, que la IA abarate los datos de MA; el tercero, el múltiplo. Catalizador: la guía de 2027 en febrero.</w:t>
      </w:r>
    </w:p>
    <w:p>
      <w:pPr>
        <w:spacing w:after="100"/>
      </w:pPr>
      <w:r>
        <w:rPr>
          <w:b/>
        </w:rPr>
        <w:t xml:space="preserve">Qué cambiaría la decisión.</w:t>
      </w:r>
      <w:r>
        <w:t xml:space="preserve"> Compraríamos por debajo de 339,13 USD (valor real) y venderíamos por encima de 618,94 USD. La convicción subiría si MIS vuelve a crecer en el 4T con la guía cumplida.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553,01 USD</w:t>
      </w:r>
      <w:r>
        <w:t xml:space="preserve"> (rentabilidad +17,2 % (base +22,4 %)) · Valor intrínseco: 339,13 USD (-28,7 % sobre 475,35) · con la prima implícita del mercado: 371,00 (-22,0 %)</w:t>
      </w:r>
    </w:p>
    <w:p>
      <w:pPr>
        <w:spacing w:after="100"/>
      </w:pPr>
      <w:r>
        <w:t xml:space="preserve">Moody's es media del duopolio mundial de la calificación de deuda y tiene un negocio de datos (MA) que crece un 8 % con ingresos recurrentes. Crea valor con un ROIC del 30 % y sube precios cada año [1, 12].</w:t>
      </w:r>
    </w:p>
    <w:p>
      <w:pPr>
        <w:spacing w:after="100"/>
      </w:pPr>
      <w:r>
        <w:t xml:space="preserve">El 3T26 enseña su punto débil: la emisión de alto rendimiento cae un 40 % y los ingresos solo crecen un 1 %. El precio (475,35 USD) descuenta un crecimiento del 11,4 % anual, el doble de nuestro base.</w:t>
      </w:r>
    </w:p>
    <w:p>
      <w:pPr>
        <w:spacing w:after="100"/>
      </w:pPr>
      <w:r>
        <w:t xml:space="preserve">A 12 meses la regla da +17,2 %, pero el valor intrínseco está un 28,7 % por debajo del precio: no compramos.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 × 17,24 = 384,45 · 27,9x × 20,71 = 577,81 · 30,6x × 21,96 = 671,98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 / 22,4 %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551,38 (nuestro base +4,8 %)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339,13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 / -50,2 %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 frente a 10,9 % y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371,00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339,13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339,13 y 618,94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618,94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339,13 USD: pasaríamos a Comprar.</w:t>
      </w:r>
    </w:p>
    <w:p>
      <w:pPr>
        <w:pStyle w:val="ListParagraph"/>
        <w:numPr>
          <w:ilvl w:val="0"/>
          <w:numId w:val="2"/>
        </w:numPr>
        <w:spacing w:after="60"/>
      </w:pPr>
      <w:r>
        <w:t xml:space="preserve">Precio por encima de 618,94 USD: Vender o reducir.</w:t>
      </w:r>
    </w:p>
    <w:p>
      <w:pPr>
        <w:pStyle w:val="ListParagraph"/>
        <w:numPr>
          <w:ilvl w:val="0"/>
          <w:numId w:val="2"/>
        </w:numPr>
        <w:spacing w:after="60"/>
      </w:pPr>
      <w:r>
        <w:t xml:space="preserve">Guía de 2027 con BPA ajustado por encima de 19,50 USD: revisaríamos al alza.</w:t>
      </w:r>
    </w:p>
    <w:p>
      <w:pPr>
        <w:pStyle w:val="ListParagraph"/>
        <w:numPr>
          <w:ilvl w:val="0"/>
          <w:numId w:val="2"/>
        </w:numPr>
        <w:spacing w:after="60"/>
      </w:pPr>
      <w:r>
        <w:t xml:space="preserve">Dos trimestres de caída de los ingresos de MIS: revisaríamos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11,4 % anual y un PER de 25-30 veces por la calidad del duopolio; objetivo medio de 551,38 USD (24 analistas) [49, 50].</w:t>
      </w:r>
    </w:p>
    <w:p>
      <w:pPr>
        <w:keepNext/>
        <w:spacing w:after="100"/>
      </w:pPr>
      <w:r>
        <w:rPr>
          <w:b/>
          <w:bCs/>
        </w:rPr>
        <w:t xml:space="preserve">Lo que creemos nosotros.</w:t>
      </w:r>
    </w:p>
    <w:p>
      <w:pPr>
        <w:spacing w:after="100"/>
      </w:pPr>
      <w:r>
        <w:t xml:space="preserve">Coincidimos con el consenso en beneficio (BPA ajustado de 2027e de 18,68 frente a 18,76), pero no en el coste de capital: con un Tesoro al 5,1 %, exigimos más de lo que el precio rinde (7,4 %).</w:t>
      </w:r>
    </w:p>
    <w:p>
      <w:pPr>
        <w:keepNext/>
        <w:spacing w:after="100"/>
      </w:pPr>
      <w:r>
        <w:rPr>
          <w:b/>
          <w:bCs/>
        </w:rPr>
        <w:t xml:space="preserve">Por qué podemos tener razón.</w:t>
      </w:r>
    </w:p>
    <w:p>
      <w:pPr>
        <w:spacing w:after="100"/>
      </w:pPr>
      <w:r>
        <w:t xml:space="preserve">La diferencia es la tasa, no las cifras: la regla a 12 meses ve recorrido y el valor intrínseco no.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75,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Duopolio con poder de precios</w:t>
      </w:r>
      <w:r>
        <w:t xml:space="preserve">: 31,4 % de los ingresos de calificación y las tres grandes con el 92,4 % [12].</w:t>
      </w:r>
    </w:p>
    <w:p>
      <w:pPr>
        <w:pStyle w:val="ListParagraph"/>
        <w:numPr>
          <w:ilvl w:val="0"/>
          <w:numId w:val="2"/>
        </w:numPr>
        <w:spacing w:after="60"/>
      </w:pPr>
      <w:r>
        <w:rPr>
          <w:b/>
        </w:rPr>
        <w:t xml:space="preserve">MA recurrente</w:t>
      </w:r>
      <w:r>
        <w:t xml:space="preserve">: ARR de 3.688 M (+8 %) y margen ajustado del 35,3 % [1].</w:t>
      </w:r>
    </w:p>
    <w:p>
      <w:pPr>
        <w:pStyle w:val="ListParagraph"/>
        <w:numPr>
          <w:ilvl w:val="0"/>
          <w:numId w:val="2"/>
        </w:numPr>
        <w:spacing w:after="60"/>
      </w:pPr>
      <w:r>
        <w:rPr>
          <w:b/>
        </w:rPr>
        <w:t xml:space="preserve">ROIC del 30 %</w:t>
      </w:r>
      <w:r>
        <w:t xml:space="preserve"> frente a un WACC del 10,9 %.</w:t>
      </w:r>
    </w:p>
    <w:p>
      <w:pPr>
        <w:pStyle w:val="ListParagraph"/>
        <w:numPr>
          <w:ilvl w:val="0"/>
          <w:numId w:val="2"/>
        </w:numPr>
        <w:spacing w:after="60"/>
      </w:pPr>
      <w:r>
        <w:rPr>
          <w:b/>
        </w:rPr>
        <w:t xml:space="preserve">Rentabilidad a 12 meses del 17,2 %</w:t>
      </w:r>
      <w:r>
        <w:t xml:space="preserve"> con la regla común.</w:t>
      </w:r>
    </w:p>
    <w:p>
      <w:pPr>
        <w:pStyle w:val="Heading2"/>
      </w:pPr>
      <w:r>
        <w:t xml:space="preserve">En contra</w:t>
      </w:r>
    </w:p>
    <w:p>
      <w:pPr>
        <w:pStyle w:val="ListParagraph"/>
        <w:numPr>
          <w:ilvl w:val="0"/>
          <w:numId w:val="2"/>
        </w:numPr>
        <w:spacing w:after="60"/>
      </w:pPr>
      <w:r>
        <w:rPr>
          <w:b/>
        </w:rPr>
        <w:t xml:space="preserve">3T26 por debajo de lo esperado</w:t>
      </w:r>
      <w:r>
        <w:t xml:space="preserve">: ingresos +1 % y BPA ajustado 2,6 % bajo el consenso [1, 47].</w:t>
      </w:r>
    </w:p>
    <w:p>
      <w:pPr>
        <w:pStyle w:val="ListParagraph"/>
        <w:numPr>
          <w:ilvl w:val="0"/>
          <w:numId w:val="2"/>
        </w:numPr>
        <w:spacing w:after="60"/>
      </w:pPr>
      <w:r>
        <w:rPr>
          <w:b/>
        </w:rPr>
        <w:t xml:space="preserve">Valor intrínseco un 28,7 % por debajo del precio</w:t>
      </w:r>
      <w:r>
        <w:t xml:space="preserve">.</w:t>
      </w:r>
    </w:p>
    <w:p>
      <w:pPr>
        <w:pStyle w:val="ListParagraph"/>
        <w:numPr>
          <w:ilvl w:val="0"/>
          <w:numId w:val="2"/>
        </w:numPr>
        <w:spacing w:after="60"/>
      </w:pPr>
      <w:r>
        <w:rPr>
          <w:b/>
        </w:rPr>
        <w:t xml:space="preserve">Recompras por encima del flujo libre</w:t>
      </w:r>
      <w:r>
        <w:t xml:space="preserve"> y patrimonio contable a la baja [1].</w:t>
      </w:r>
    </w:p>
    <w:p>
      <w:pPr>
        <w:pStyle w:val="ListParagraph"/>
        <w:numPr>
          <w:ilvl w:val="0"/>
          <w:numId w:val="2"/>
        </w:numPr>
        <w:spacing w:after="60"/>
      </w:pPr>
      <w:r>
        <w:rPr>
          <w:b/>
        </w:rPr>
        <w:t xml:space="preserve">Directivos solo vendedores</w:t>
      </w:r>
      <w:r>
        <w:t xml:space="preserve">: 13,8 M USD en 12 meses, ninguna compra.</w:t>
      </w:r>
    </w:p>
    <w:p>
      <w:pPr>
        <w:pStyle w:val="Heading2"/>
      </w:pPr>
      <w:r>
        <w:t xml:space="preserve">Qué tiene que pasar para que la tesis funcione</w:t>
      </w:r>
    </w:p>
    <w:p>
      <w:pPr>
        <w:spacing w:after="100"/>
      </w:pPr>
      <w:r>
        <w:t xml:space="preserve">La tesis depende de que la emisión se recupere en 2027 con la refinanciación y de que MA siga creciendo al 8 %. La señal de que no se cumple: ingresos transaccionales de MIS cayendo dos trimestres seguidos o un ARR por debajo del +6 %.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transaccionales de MIS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cíclica.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 M, +8 %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riesgo de la IA en datos.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16,50-17,00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16,50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objetivo.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20,9x / 18,7x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29,0x / 25,8x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John Moody fundó la empresa en 1909 para publicar calificaciones de bonos [18]. Dun &amp; Bradstreet compró Moody's Investors Service en 1962 y la escindió en 2000 como Moody's Corporation, cotizada en Nueva York con el símbolo MCO [18]. En 2007 separó los datos y el software en Moody's Analytics, que ha crecido a base de compras: Bureau van Dijk en 2017 (datos de 220 millones de empresas) [11], RMS en 2021 (modelos de catástrofes) [5, 18] y una serie de compras pequeñas en KYC, seguros y crédito bancario entre 2022 y 2025 [5, 7]. En 2017 pagó 863 M USD para cerrar las demandas del Departamento de Justicia y de 21 estados por sus calificaciones anteriores a la crisis [18]. Rob Fauber es consejero delegado desde enero de 2021 [5]. En 2025-2026 vendió Learning Solutions y Regulatory Solutions para concentrar MA en ingresos recurrentes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Moody funda la empresa y publica sus primeras calificaciones de bonos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 compra Moody's Investors Service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 escinde Moody's Corporation, que cotiza en la Bolsa de Nueva York (MCO)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Moody's Analytics como división separada de la agencia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Bureau van Dijk (Orbis, 220 millones de empresas) [11] y paga 863 M USD para cerrar las demandas por las calificaciones previas a la crisis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 Fauber, consejero delegado (enero) [5]; compra RMS, modelos de catástrofes para aseguradoras, por unos 2.000 M USD (septiembre) [5,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de tipos hunde la emisión: los ingresos de MIS caen de 3.977 a 2.873 M USD (−28 %) mientras MA sube un 15 %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récord de MIS (3.986 M USD, +31 %) por refinanciación; compra el control de GCR (África) y Numerated (préstamo bancario)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CAPE Analytics e ICR Chile; vende Learning Solutions; ingresos del grupo 7.718 M USD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Vende Regulatory Solutions (plusvalía de 294 M USD antes de impuestos en nueve meses); el 99 % de los ingresos de MA ya es recurrente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Moody's Corporation tiene dos negocios. </w:t>
      </w:r>
      <w:r>
        <w:rPr>
          <w:b/>
        </w:rPr>
        <w:t xml:space="preserve">Moody's Investors Service (MIS)</w:t>
      </w:r>
      <w:r>
        <w:t xml:space="preserve"> califica el crédito de empresas, bancos, aseguradoras, Estados, municipios, proyectos y titulizaciones: cobra al emisor una tarifa al calificar cada emisión (ingresos transaccionales, 67 % de MIS en 2025) y una tarifa anual de seguimiento y de programas (recurrentes, 33 %) [5]. </w:t>
      </w:r>
      <w:r>
        <w:rPr>
          <w:b/>
        </w:rPr>
        <w:t xml:space="preserve">Moody's Analytics (MA)</w:t>
      </w:r>
      <w:r>
        <w:t xml:space="preserve"> vende datos, investigación, modelos y software de riesgo en tres líneas: Decision Solutions (software de crédito bancario, modelos de catástrofes para seguros y KYC, 1.692 M USD en 2025), Research and Insights (investigación de crédito y economía, 995 M) y Data and Information (datos de empresas de Orbis, 912 M) [5]. Los clientes son emisores e intermediarios de los mercados de deuda y bancos, aseguradoras, gestoras y empresas de todo el mundo. Estados Unidos es el 54 % de los ingresos. Plantilla: 16.076 personas a fin de 2025 [5].</w:t>
      </w:r>
    </w:p>
    <w:p>
      <w:pPr>
        <w:pStyle w:val="Heading2"/>
      </w:pPr>
      <w:r>
        <w:t xml:space="preserve">Cómo gana dinero</w:t>
      </w:r>
    </w:p>
    <w:p>
      <w:pPr>
        <w:spacing w:after="100"/>
      </w:pPr>
      <w:r>
        <w:t xml:space="preserve">En 2025 MIS ingresó 4.317 M USD (con 198 M de canon cobrado a MA) con un resultado operativo ajustado de 2.746 M (63,6 %), y MA 3.611 M con 1.196 M (33,1 %) [5]. MIS es un negocio de costes casi fijos: cada emisión adicional entra con margen muy alto, y cuando la emisión cae el margen baja igual de rápido (2022: ingresos −28 %, resultado −40 %) [7]. MA crece al ritmo de su ARR (3.688 M USD a 30-sep-2026, +8 %) con el 99 % de ingresos recurrentes y un margen que sube (35,3 % en el 3T26) [1]. El precio es palanca en las dos: los ingresos recurrentes de calificación de empresas subieron 38 M en 2025 «sobre todo por las subidas anuales de precio» [5]. Estacionalidad: la emisión se concentra en el primer semestre; el 3T26 fue el primer trimestre con MIS a la baja (−1 %) frente a un 3T25 récord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 Analytics (MA)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 Investors Service (MIS)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 Analytics (MA)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 Investors Service (MIS)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atomizada: ningún cliente llegaba al 10 % de las cuentas por cobrar a fin de 2025 ni de 2024 [5] y el 10-K no cita ningún cliente con peso relevante en ingresos. En MIS el cliente es el emisor, que necesita la calificación para colocar su deuda en mandatos e índices; la tarifa es una fracción pequeña del coste de la emisión, y la empresa sube precios cada año: los recurrentes de calificación de empresas crecieron 38 M USD en 2025 por subidas anuales de precio y más créditos vigilados [5]. En MA el 96 % de los ingresos de 2025 fue recurrente (99 % en el 3T26) [1, 5]; el ARR creció un 8 % en 2025 y otra vez un 8 % hasta septiembre de 2026, con KYC al 12 % y seguros al 10 % [1, 5]. La empresa no publica tasa de renovación.</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MA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3.418 (30-sep-2025)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 (30-sep-2026)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 Solutions +10 %, KYC +12 %, seguros +10 %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 MA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vender Learning Solutions y Regulatory Solutions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transaccionales de MIS (M USD,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Grado de inversión +16 %, alto rendimiento −21 %, préstamos apalancados −35 %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Emisión calificada por MIS (variación interanual del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2026: crecimiento de un dígito medio, sin cambios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 MIS (M USD,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Tarifas de seguimiento y programas: amortiguan la caída de la emisión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 35,3 % (+100 pb); MIS 64,4 % (−80 pb)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16.076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Unas 2.000 en filiales de calificación participadas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de Moody's es doble y mundial. El que decide el beneficio es el de </w:t>
      </w:r>
      <w:r>
        <w:rPr>
          <w:b/>
        </w:rPr>
        <w:t xml:space="preserve">calificaciones de crédito</w:t>
      </w:r>
      <w:r>
        <w:t xml:space="preserve"> (MIS: 53 % de los ingresos externos de 2025 y el 70 % del resultado operativo ajustado) [5]; el segundo, </w:t>
      </w:r>
      <w:r>
        <w:rPr>
          <w:b/>
        </w:rPr>
        <w:t xml:space="preserve">datos, investigación y software de riesgo</w:t>
      </w:r>
      <w:r>
        <w:t xml:space="preserve"> para bancos, aseguradoras, gestoras y empresas (MA). No hay una estadística independiente del tamaño del mercado de calificaciones: la SEC publica cuotas y el peso de las tres grandes en los ingresos de las NRSRO, pero no el total [12]. Por eso la serie es la suma de los ingresos de calificación de Moody's (MIS) y S&amp;P Global (Ratings), que se toman de sus 10-K con el mismo criterio (con el canon cobrado a la división de datos del propio grupo) y que suman unas cuatro quintas partes del mercado (estimación propia: las tres grandes tienen el 92,4 % de los ingresos de las NRSRO y Fitch no publica cuentas) [5, 7, 12, 13, 14]. Para MA se da como referencia el gasto mundial en datos y análisis de mercados financieros de Burton-Taylor, que solo cubre una parte (investigación y datos, no el software de riesgo ni el KYC)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9.041 M USD de ingresos de calificación de Moody's y S&amp;P en 2025 (4.317 + 4.724 M), +8 % [5, 13]; las tres grandes reúnen el 92,4 % de los ingresos de las NRSRO (2024) [12]. Para MA: 49.200 M USD de gasto mundial en datos y análisis de mercados financieros en 2025, +6,5 % (Burton-Taylor)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calificación de Moody's MIS + S&amp;P Global Ratings, con el canon entre divisiones; aproximación al mercado de calificacione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Emisión y refinanciación de deuda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 calificación de Moody's y S&amp;P cayeron un 27 % en 2022 con la subida de tipos y subieron un 31 % en 2024 con la refinanciación [5, 7, 13, 14]. En el 3T26 los ingresos transaccionales de MIS bajaron un 5 % frente a un 3T25 récord: alto rendimiento −40 % y préstamos apalancados −27 % en ingresos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 infraestructura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 grado de inversión de MIS subieron un 18 % en el 3T26 por las grandes emisiones de tecnológicas y de los hiperescaladores ligadas a la IA, y PPIF un 11 % con la financiación de centros de datos [1]. El riesgo es que sea un pico de inversión.</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Crédito privado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lo cita como motor de crecimiento de MIS [5]; en el 3T26 los mercados privados empujaron la actividad de fondos y gestoras dentro de FIG (+2 %)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datos y software de riesgo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mundial en datos y análisis de mercados financieros creció un 6,5 % en 2025 hasta 49.200 M USD [15]; el ARR de MA crece un 8 % (3.688 M USD a septiembre de 2026), con KYC al 12 %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avisa de que la información gratuita o barata disponible con IA generativa puede reducir la demanda y de que las presiones de precio se han intensificado [5]; de momento el ARR de MA sigue creciendo un 8 % y el margen de MA sube 100 pb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y diferenciales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del 21-oct-2026 supone una subida más de la Fed y del BCE antes de fin de año, diferenciales de alto rendimiento hacia 300 pb y una tasa de impago especulativa del 3,8 % (antes, 3 %)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Moody's y Fitch tienen el 93,38 % de las calificaciones vigentes (31-dic-2024) y el 92,4 % de los ingresos de las NRSRO (91,1-93,2 % desde 2021) [12]. En datos y software (MA) la rivalidad es mayor: el 10-K cita competidores diversificados en software, investigación y datos comerciales y financieros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atomizada: ningún cliente llega al 10 % de las cuentas por cobrar [5]. El emisor elige agencia, pero mandatos e índices piden las grandes; Moody's sube precios cada año [5]. El 10-K reconoce que la presión de precios de competidores y clientes se ha intensificado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principal es el personal (2.574 M USD de gasto de personal en 2025, un 33 % de los ingresos) [5]; los datos de terceros vienen de varias fuentes y la empresa dice no depender de ninguna para una parte material del negocio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tres grandes tenían el 98,8 % de las calificaciones vigentes en 2007 y aún el 93,38 % en 2024; en deuda pública, el 98,6 % [12]. Las agencias medianas (KBRA, DBRS) ganan cuota en titulizaciones, pero su peso en ingresos es del 6,5 %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Bancos de inversión, análisis interno de los inversores, agencias no reconocidas y herramientas de IA generativa compiten con calificaciones y datos [5]. Las calificaciones que exigen la regulación y los mandatos son difíciles de sustituir; los datos e investigación de MA son los más expuestos.</w:t>
            </w:r>
          </w:p>
        </w:tc>
      </w:tr>
    </w:tbl>
    <w:p>
      <w:pPr>
        <w:spacing w:after="160" w:before="0"/>
      </w:pPr>
    </w:p>
    <w:p>
      <w:pPr>
        <w:pStyle w:val="Heading2"/>
      </w:pPr>
      <w:r>
        <w:t xml:space="preserve">Ciclo</w:t>
      </w:r>
    </w:p>
    <w:p>
      <w:pPr>
        <w:spacing w:after="100"/>
      </w:pPr>
      <w:r>
        <w:t xml:space="preserve">Los ingresos de calificación de Moody's y S&amp;P marcaron máximos en 2025 (9.041 M USD) tras dos años de refinanciación [5, 13], y el 3T26 es el primer trimestre en que MIS cae (−1 %, transaccionales −5 %) frente a un 3T25 récord [1]. La guía supone tipos al alza, diferenciales que se abren y más impagos (3,8 %) [1]. En 2022 la subida de tipos hundió la emisión: los ingresos de MIS cayeron un 28 % y su resultado un 40 % mientras MA crecía un 15 % [7]. No se han cuadrado con fuente primaria las caídas de 2008-09 y 2020.</w:t>
      </w:r>
    </w:p>
    <w:p>
      <w:pPr>
        <w:pStyle w:val="Heading2"/>
      </w:pPr>
      <w:r>
        <w:t xml:space="preserve">Regulación</w:t>
      </w:r>
    </w:p>
    <w:p>
      <w:pPr>
        <w:spacing w:after="100"/>
      </w:pPr>
      <w:r>
        <w:t xml:space="preserve">MIS está registrada en la SEC como NRSRO (Credit Rating Agency Reform Act de 2006 y Dodd-Frank) y supervisada por ESMA en la UE y por la FCA en el Reino Unido; la regulación limita los conflictos de interés, exige transparencia de métodos y puede afectar a precios y responsabilidad civil [5]. La SEC examina cada año a las NRSRO [12] y en septiembre de 2024 multó a Moody's con 20 M USD por no conservar mensajes de sus empleados [20]. El Reglamento europeo de calificaciones ESG se aplica desde mediados de 2026 y la FCA supervisará a los proveedores de calificaciones ESG desde junio de 2028 [13]. A favor: las normas de capital de bancos y aseguradoras y los mandatos de inversión citan calificaciones de agencias reconocidas [5].</w:t>
      </w:r>
    </w:p>
    <w:p>
      <w:pPr>
        <w:pStyle w:val="Heading2"/>
      </w:pPr>
      <w:r>
        <w:t xml:space="preserve">Tendencias y disrupción</w:t>
      </w:r>
    </w:p>
    <w:p>
      <w:pPr>
        <w:spacing w:after="100"/>
      </w:pPr>
      <w:r>
        <w:t xml:space="preserve">Tres tendencias. La </w:t>
      </w:r>
      <w:r>
        <w:rPr>
          <w:b/>
        </w:rPr>
        <w:t xml:space="preserve">IA generativa</w:t>
      </w:r>
      <w:r>
        <w:t xml:space="preserve"> es la amenaza principal para los datos e investigación de MA (clientes que construyen sus propias herramientas, información gratuita) y una oportunidad para los datos propios y verificables que la empresa vende para flujos de trabajo con IA [5]. El </w:t>
      </w:r>
      <w:r>
        <w:rPr>
          <w:b/>
        </w:rPr>
        <w:t xml:space="preserve">crédito privado</w:t>
      </w:r>
      <w:r>
        <w:t xml:space="preserve"> crece y pide calificaciones privadas; Moody's lo cita como motor de MIS [1, 5]. La </w:t>
      </w:r>
      <w:r>
        <w:rPr>
          <w:b/>
        </w:rPr>
        <w:t xml:space="preserve">financiación de la infraestructura de IA</w:t>
      </w:r>
      <w:r>
        <w:t xml:space="preserve"> ha disparado la emisión de grado de inversión y de proyectos en 2026 [1]. Moody's gana con las tres si la IA no abarata sus datos, con el riesgo de que la emisión ligada a la IA sea un pico.</w:t>
      </w:r>
    </w:p>
    <w:p>
      <w:pPr>
        <w:pStyle w:val="Heading1"/>
      </w:pPr>
      <w:r>
        <w:t xml:space="preserve">4. Posición competitiva y foso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**2.ª agencia de calificación del mundo**: 31,39 % de las calificaciones vigentes de las NRSRO a 31-dic-2024, frente al 49,60 % de S&amp;P y el 12,40 % de Fitch [12]. Por ingresos, MIS facturó 4.317 M USD en 2025 frente a 4.724 M de S&amp;P Ratings (48 % de los dos) [5, 13]. En datos y software de riesgo (MA, 3.611 M USD) compite con S&amp;P Market Intelligence, Bloomberg, LSEG, FactSet y Verisk sin cuota de dos cifras.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SPGI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agencia (49,60 % de las calificaciones vigentes [12]; Ratings 4.724 M USD en 2025 [13]) y rival directo de MA con Market Intelligence (4.916 M) [13]. Ingresos y beneficio operativo de 2025 con Mobility, escindida en 2026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Fitch Ratings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agencia (12,40 % de las calificaciones vigentes); su cuota sube 7,72 puntos sin la deuda pública, fuerte en financieras y titulizaciones [12]. No cotiza ni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(DBRS Morningstar)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Cuarta agencia (3,13 %); Morningstar Credit facturó 354,4 M USD en 2025 (+21,7 %), fuerte en CMBS y ABS [12]. Compite también en datos de fondos. Margen operativo 527 / 2.446 M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KBRA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Quinta agencia (2,08 % de las calificaciones vigentes) y la que más gana en titulizaciones [12].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 (LSEG)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Data &amp; Analytics (Workspace) y Risk Intelligence (KYC, +11,7 % en 2025) compiten con Research and Insights, Data and Information y KYC de MA. Ingresos sin recuperaciones 8.986 M GBP a 1,3447 USD/GBP; margen con el beneficio operativo publicado (2.127 M GBP) [17,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VRSK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Analítica para aseguradoras, incluidos modelos de catástrofes: rival de la línea de seguros de MA (RMS). Margen operativo 1.344 / 3.073 M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 Research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y terminales para gestoras y banca; compite con Research and Insights y Data and Information. Ejercicio cerrado en agosto de 2026; margen operativo 700 / 2.476 M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Bloomberg L.P.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en datos financieros; compite con los datos e investigación de MA. No cotiza ni publica cuentas.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calificación vale porque la usan todos: mandatos, índices y normas de capital piden agencias reconocidas [2]. Las tres grandes tienen el 93,38 % de las calificaciones vigentes y el 98,6 % en deuda pública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 está integrada en los procesos de crédito, seguros y KYC de sus clientes: 99 % de ingresos recurrentes en el 3T26 y ARR +8 % [1]. En MIS las tarifas de seguimiento (373 M USD en el 3T26, +8 %) se cobran mientras la deuda viva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de NRSRO y de ESMA y FCA, más de un siglo de historial de impagos y una marca que todos los inversores reconocen [2, 11]; el margen operativo ajustado de MIS fue del 63,6 % en 2025 y del 64,4 % en el 3T26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reparte el coste fijo de analistas y tecnología: margen ajustado del grupo del 52,6 % en el 3T26 [1]. S&amp;P, con una escala parecida, tiene márgenes similares (42 % operativo publicado en 2025)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solo admite dos agencias globales completas y una tercera: las tres grandes mantienen entre el 91,1 % y el 93,2 % de los ingresos de las NRSRO desde 2021, aunque las medianas ganan en titulizaciones [5].</w:t>
            </w:r>
          </w:p>
        </w:tc>
      </w:tr>
    </w:tbl>
    <w:p>
      <w:pPr>
        <w:spacing w:after="160" w:before="0"/>
      </w:pPr>
    </w:p>
    <w:p>
      <w:pPr>
        <w:pStyle w:val="Heading2"/>
      </w:pPr>
      <w:r>
        <w:t xml:space="preserve">Amenazas</w:t>
      </w:r>
    </w:p>
    <w:p>
      <w:pPr>
        <w:spacing w:after="100"/>
      </w:pPr>
      <w:r>
        <w:t xml:space="preserve">La amenaza más probable es la IA generativa sobre MA: si los clientes construyen modelos de riesgo y KYC con datos más baratos, el ARR (+8 %) podría frenarse y el margen (35,3 % en el 3T26) dejar de subir; el propio 10-K habla de presiones de precio que se han intensificado [1, 5]. En calificaciones, la amenaza es de cuota lenta (las tres grandes han pasado del 98,8 % de las calificaciones vigentes en 2007 al 93,38 % en 2024, con KBRA y DBRS en titulizaciones) [12] o regulatoria (responsabilidad civil, precios). La probabilidad de que el duopolio se rompa en cinco años es baja.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2019-2025: ingresos </w:t>
      </w:r>
      <w:r>
        <w:rPr>
          <w:b/>
          <w:bCs/>
        </w:rPr>
        <w:t xml:space="preserve">8,1 %</w:t>
      </w:r>
      <w:r>
        <w:t xml:space="preserve">, EBITDA </w:t>
      </w:r>
      <w:r>
        <w:rPr>
          <w:b/>
          <w:bCs/>
        </w:rPr>
        <w:t xml:space="preserve">9,7 %</w:t>
      </w:r>
      <w:r>
        <w:t xml:space="preserve">, BPA </w:t>
      </w:r>
      <w:r>
        <w:rPr>
          <w:b/>
          <w:bCs/>
        </w:rPr>
        <w:t xml:space="preserve">10,7 %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4.829 M USD en 2019 a 7.718 M en 2025 (TCAC del 8 %), con un bache en 2022 (−12 %, ingresos de MIS −29 %) cuando la subida de tipos hundió la emisión [5, 7, 9]. Desde entonces: +8 % en 2023, +20 % en 2024 y +9 % en 2025 (+7 % orgánico) [3, 9]. En 2026 el crecimiento se ha frenado de golpe: +8 % en el 1T, +15 % en el 2T y </w:t>
      </w:r>
      <w:r>
        <w:rPr>
          <w:b/>
        </w:rPr>
        <w:t xml:space="preserve">+1 % en el 3T26</w:t>
      </w:r>
      <w:r>
        <w:t xml:space="preserve"> (+3 % orgánico), porque MIS cayó un 1 % frente al récord del 3T25 y MA crece solo un 3 % publicado tras vender Learning y Regulatory Solutions [1, 2]. En nueve meses, +8 % publicado y orgánico [1]. El margen operativo GAAP subió del 34,4 % de 2022 al 43,4 % de 2025 y al 45,7 % en 9M26; el ajustado, del 48,1 % (2024) al 51,1 % (2025) y al 53,7 % (9M26) [1, 3]. Lo mueve MIS, con un apalancamiento operativo muy alto, y la mejora lenta de MA. El crecimiento es casi todo orgánico; las compras son pequeñas salvo Bureau van Dijk (2017) y RMS (2021) [8, 9].</w:t>
      </w:r>
    </w:p>
    <w:p>
      <w:pPr>
        <w:pStyle w:val="Heading2"/>
      </w:pPr>
      <w:r>
        <w:t xml:space="preserve">Ajustes y partidas no recurrentes</w:t>
      </w:r>
    </w:p>
    <w:p>
      <w:pPr>
        <w:spacing w:after="100"/>
      </w:pPr>
      <w:r>
        <w:t xml:space="preserve">La cuenta usa cifras publicadas (US GAAP, XBRL de los 10-K) [9]. El BPA ajustado de Moody's excluye la amortización de intangibles comprados, la reestructuración, los abandonos de activos y, en 2026, una provisión por un impuesto internacional distinto del de sociedades, la doble renta de la nueva sede y las plusvalías por ventas de negocios [1, 3]: 14,94 USD en 2025 (13,67 GAAP), 12,47 en 2024 (11,26) [3]. </w:t>
      </w:r>
      <w:r>
        <w:rPr>
          <w:b/>
        </w:rPr>
        <w:t xml:space="preserve">En 2026 el BPA GAAP supera al ajustado</w:t>
      </w:r>
      <w:r>
        <w:t xml:space="preserve"> por las plusvalías de Regulatory Solutions: 179 M antes de impuestos en el 2T y otros 115 M en el 3T por el cobro contingente que se hizo efectivo (−1,18 USD por acción en la guía) [1, 6]. Por eso el BPA LTM GAAP (16,39 USD) está inflado y el ajustado LTM (16,78 = 3,64 + 13,14) es la base limpia [1, 3]. La reestructuración se repite todos los años desde 2022 (108 M en 2025, 86 M en 9M26): no se trata como no recurrente. En el LTM sí se marcan como no recurrentes dentro del EBITDA la provisión fiscal internacional (36 M en gastos operativos) y la doble renta (9 M)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3T26 (21-oct) rompe la racha: ingresos de 2.023 M (+1 %, +3 % orgánico), BPA ajustado de 4,14 USD (+6 %) y GAAP de 4,24 USD (+18 %, con 115 M de plusvalía por el cobro contingente de Regulatory Solutions) [1]. Frente al consenso que recoge MarketBeat (4,25 USD y 2.080 M), el BPA ajustado y los ingresos quedaron por debajo; en el 2T26 lo había batido (4,68 frente a 4,26) [2, 10]. MIS cayó un 1 % por el alto rendimiento (−40 %) y los préstamos apalancados (−27 %), compensados en parte por el grado de inversión (+18 %, financiación de IA e hiperescaladores) y por PPIF (+11 %, centros de datos) [1]. MA creció un 8 % orgánico con un margen del 35,3 % [1]; un año antes, en el 3T25, el grupo crecía un 9 % orgánico [4]. La dirección </w:t>
      </w:r>
      <w:r>
        <w:rPr>
          <w:b/>
        </w:rPr>
        <w:t xml:space="preserve">mantuvo toda la guía de 2026</w:t>
      </w:r>
      <w:r>
        <w:t xml:space="preserve"> (BPA ajustado 16,50-17,00 USD, ingresos +un dígito alto, MIS +un dígito alto, emisión +un dígito medio, recompras de hasta 3.000 M) pero endureció sus supuestos: tasa de impago especulativo al 3,8 % a fin de año (antes 3 %), una subida más de tipos de la Fed y del BCE [1]. Con 13,14 USD en nueve meses, la guía exige un 4T de 3,36-3,86 USD (3,64 en el 4T25): el punto medio supone crecer un 1 % [1, 3]. En julio la dirección había estrechado el BPA ajustado a 16,50-17,00 y ampliado el programa de reestructuración [2, 6]. La transcripción de la conferencia del 21-oct no estaba disponible al cierre de esta nota: no se recogen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RMS, comprada el 15-sep-21 por 1.927 M: entra en el balance de 2021 y solo con tres meses y medio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Moody's opera con poco capital y deuda estable: la deuda bruta se ha movido entre 6.900 y 7.400 M desde 2021 [1, 9] mientras el EBITDA subía de 2.214 M (2022) a 4.140 M (LTM) [1, 9]. El patrimonio es pequeño (4.054 M en 2025) porque la empresa devuelve todo el flujo libre: en 2026 las recompras de 2.553 M en nueve meses superaron el beneficio y el patrimonio bajó a 3.268 M en septiembre [1]. El activo es sobre todo fondo de comercio (6.304 M) e intangibles (1.694 M) de las compras [1]. El circulante es negativo si se cuentan los ingresos diferidos (1.402 M a corto) y los acreedores y devengos (1.219 M) frente a clientes de 1.830 M [1]. La caja bajó de 2.384 M a 1.513 M en 2026 por las recompras y en 2027 vencen 587 M [1, 5]. Los arrendamientos se dejan en 0 (US GAAP).</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13.682</w:t>
      </w:r>
      <w:r>
        <w:t xml:space="preserve">, conversión </w:t>
      </w:r>
      <w:r>
        <w:rPr>
          <w:b/>
          <w:bCs/>
        </w:rPr>
        <w:t xml:space="preserve">106 %</w:t>
      </w:r>
      <w:r>
        <w:t xml:space="preserve"> del beneficio neto; adquisiciones 3.786, dividendos 3.661, recompras 7.228.</w:t>
      </w:r>
    </w:p>
    <w:p>
      <w:pPr>
        <w:spacing w:after="100"/>
      </w:pPr>
      <w:r>
        <w:t xml:space="preserve">La conversión del beneficio en caja es alta y estable: flujo libre de 2.575 M en 2025 (2.901 M operativo − 326 M de «capital additions», que incluye el software capitalizado), un 105 % del beneficio neto [3, 5]; 2.977 M en los últimos doce meses a septiembre de 2026 (2.200 M en nueve meses, +22 %) [1, 3]. El capex fue del 4,2 % de las ventas en 2025; en 2026 la guía es de ≈450 M, de los que 75-100 M son extraordinarios por las nuevas oficinas de Nueva York y Londres [1]. Con 480 M de amortizaciones, de las que 215 M son de intangibles comprados, la inversión neta en activos propios es casi nula [3]. 2022 fue el año flojo (1.474 M) por la caída de la emisión [9]. Las recompras incluyen las acciones retenidas por impuestos de los planes de acciones (99 M en 2025) [5]. En 2026 entraron 200 M por la venta de Regulatory Solutions [1]. Los intereses se pagan dentro del flujo operativo (235 M en 2025)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audita Moody's desde 2008 [5]. Las cuentas son sencillas: casi no hay inventarios ni contratos a largo plazo, el ingreso de MIS se reconoce al emitir la calificación y el de MA a lo largo de la suscripción, con 1.455 M de ingresos diferidos [1]. Lo que hay que vigilar está en los ajustes: la empresa saca del BPA ajustado la reestructuración, que se repite cada año desde 2022 (programa de 2022-23 de 214 M y el actual, ampliado en julio de 2026, de 285-330 M hasta 2027) [5, 6], y en 2026 una provisión fiscal internacional y la doble renta de la sede [1]. Las plusvalías de 2026 (296 M antes de impuestos por Regulatory Solutions, parte por un cobro contingente reconocido al hacerse efectivo) inflan el BPA GAAP [1, 6]. Los pagos en acciones (232 M en 2025) son el 9 % del beneficio neto [9]. El tipo impositivo oscila por regularizaciones: 11,1 % en el 4T25 por la prescripción de contingencias de una compra antigua [3]. No hay deterioros del fondo de comercio en la serie XBRL [9]. El Altman sale penalizado por un patrimonio contable mínimo, que es fruto de las recompras y no de pérdidas.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 excluida del BPA ajustado pese a repetirse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 M (2024), 108 M (2025), 86 M (9M26); el programa vigente llega a 285-330 M y se amplió en julio de 2026 [1, 3,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por ventas de negocios en el BPA GAAP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294 M por Regulatory Solutions (115 M en el 3T por el cobro contingente) y 2 M por Learning: +1,18 USD por acción; el BPA GAAP del 2T y 3T supera al ajustado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volátil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11,1 % en el 4T25 y 24,0 % en el 3T26 con beneficios por prescripción de contingencias fiscales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por un impuesto internacional distinto del de sociedades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 M antes de impuestos con intereses en 2026, excluidos del ajustado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contable mínimo por las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3.268 M en sep-26 frente a 17.853 M de reservas acumuladas: ROE y Altman poco significativos [1, 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6.368 M en 2025 (el 70 % del capital invertido medio); ha subido más de un 5 % en 3 de 6 años: comprador en serie. ROIC publicado 30,0 %; sin fondo de comercio, 101,4 %.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25,2 % · </w:t>
      </w:r>
      <w:r>
        <w:rPr>
          <w:b/>
          <w:bCs/>
        </w:rPr>
        <w:t xml:space="preserve">WACC</w:t>
      </w:r>
      <w:r>
        <w:t xml:space="preserve">: 10,9 %.</w:t>
      </w:r>
    </w:p>
    <w:p>
      <w:pPr>
        <w:spacing w:after="100"/>
      </w:pPr>
      <w:r>
        <w:t xml:space="preserve">Crea valor con holgura: ROIC del 30,0 % en 2025 (101 % sin el fondo de comercio de Bureau van Dijk y otras compras) frente a un WACC del 10,9 %, y ROIC incremental del 25,2 %. El motor es el margen (49,6 % de EBITDA) y un capital casi nulo fuera del fondo de comercio: los clientes pagan por adelantado.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30-sep-2026: caja de 1.513 M USD e inversiones a corto plazo de 108 M (2.384 M y 64 M a cierre de 2025) [1]. Línea de crédito comprometida de 1.250 M hasta mayo de 2029, que respalda un programa de pagarés de hasta 1.000 M; sin pagarés vivos a 31-dic-25 [5]. Flujo libre de 2.200 M en nueve meses (+22 %) y guía de 2.700-2.900 M para 2026 [1].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a 30-sep-2026: 568 M a corto (bonos al 1,75 % de 2027, en euros) y 6.343 M a largo, 6.911 M en total; el nominal a 31-dic-25 era de 7.168 M en bonos senior con vencimientos de 2027 a 2061 [1, 5]. La línea de crédito exige deuda/EBITDA ≤ 4 veces (4,5 tras una compra de más de 500 M); con 6.911 M de deuda y 4.140 M de EBITDA LTM la ratio es de ≈1,7 veces, con mucha holgura, y la empresa cumplía todos los covenants a cierre de 2025 [1, 5]. Arrendamientos operativos de 581 M (93 + 488) por la nueva sede de Nueva York: en US GAAP su gasto ya está en el EBITDA y no van a la deuda [1]. El plan de pensiones financiado tiene superávit [5]. Posiciones fiscales inciertas: 167 M [1]. Ingresos diferidos de 1.455 M (cobrados por adelantado) que financian el circulante [1]. Salidas de caja pendientes del programa de reestructuración (285-330 M en total, hasta 2028) [6] y la provisión por un impuesto internacional distinto del de sociedades (52 M antes de impuestos con intereses, en 2026) [1]. Litigios propios de una agencia de calificación, sin importes provisionados relevantes publicados [5].</w:t>
      </w:r>
    </w:p>
    <w:p>
      <w:pPr>
        <w:pStyle w:val="Heading1"/>
      </w:pPr>
      <w:r>
        <w:t xml:space="preserve">12. Asignación de capital</w:t>
      </w:r>
    </w:p>
    <w:p>
      <w:pPr>
        <w:pStyle w:val="Confianza"/>
        <w:spacing w:after="100"/>
      </w:pPr>
      <w:r>
        <w:t xml:space="preserve">Confianza: Alta</w:t>
      </w:r>
    </w:p>
    <w:p>
      <w:pPr>
        <w:spacing w:after="100"/>
      </w:pPr>
      <w:r>
        <w:t xml:space="preserve">Moody's devuelve casi todo el flujo libre. En 2026: dividendo trimestral de 1,03 USD (+10 %; el del 4T se declaró el 20-oct y se paga el 11-dic) y recompras de hasta 3.000 M, de las que 2.553 M ya se hicieron en nueve meses (3.100 M devueltos con los dividendos) [1]. La autorización vigente es de 4.000 M (octubre de 2025) [5]. La deuda bruta se mantiene en ≈7.000 M y la empresa recompra con el flujo libre, la caja acumulada y la venta de negocios [1, 5]. Compra negocios pequeños para MA y agencias locales para MIS, y vende los que no encajan (Learning Solutions en 2025, Regulatory Solutions en 2026) [1,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Bureau van Dijk (Orbis, datos de empresas)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negocio de KYC, que en 2026 crece un 12 % en ARR; sin deterioros del fondo de comercio [1,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 (modelos de riesgo de catástrofes para seguros)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nueva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1.376 M de fondo de comercio; los ingresos de seguros de MA crecen un 9-10 % orgánico en 2026; sin deterioros [1, 8,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 Analytics (riesgo inmobiliario con IA) e ICR Chile (calificación)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Pequeñas; sumaron 57 M de ingresos inorgánicos en 2025 [3,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Fintellix y MERIS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Recientes [1, 6].</w:t>
            </w:r>
          </w:p>
        </w:tc>
      </w:tr>
    </w:tbl>
    <w:p>
      <w:pPr>
        <w:spacing w:after="160" w:before="0"/>
      </w:pPr>
    </w:p>
    <w:p>
      <w:pPr>
        <w:spacing w:after="100"/>
      </w:pPr>
      <w:r>
        <w:t xml:space="preserve">La dirección asigna bien el capital: en 2021-2025 generó ≈11.400 M de flujo operativo, invirtió ≈1.300 M en capex y ≈2.700 M en compras, y devolvió ≈2.900 M en dividendos y ≈5.600 M en recompras [5, 9]. Las acciones diluidas bajaron de 191,6 M en 2019 a 179,9 M en 2025 y a 173,3 M en el 3T26 [1, 9]. Las dos compras grandes (Bureau van Dijk y RMS) no han tenido deterioros. En 2026 la recompra (2.553 M en nueve meses, a precios cercanos a máximos) supera al flujo libre (2.200 M) y se financia en parte con caja y la venta de Regulatory Solutions [1]. La venta de negocios con plusvalía y la recompra a múltiplos altos son las dos decisiones que hay que vigilar.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(Rob) Fauber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(President &amp;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Moody's desde 2005: dirigió el área comercial de MIS, fue presidente de MIS (2016-2019) y director de operaciones (2019-2020) antes de ser primer ejecutivo en enero de 2021 [5]. Con él los ingresos pasaron de 5.400 M USD (2020) a 7.718 M (2025) y el BPA ajustado de 10,15 a 14,94 USD, un 8,0 % anual [3, 32]; el TSR a tres años hasta 2025 fue del 88,0 % frente al 85,5 % del S&amp;P 500 [22]. Tiene 73.689 acciones (51.364 directas y 22.325 en un fideicomiso) tras su venta del 1-oct-2026 [27].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Noémie Heuland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(SVP &amp;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abril de 2024 desde Ceridian (Dayforce), donde fue directora financiera de 2020 a 2023; antes, diez años en SAP (directora financiera de Latinoamérica) y ocho en PwC [5]. En su primer ejercicio completo (2025) el BPA ajustado batió el techo de la guía inicial (14,94 frente a 14,00-14,50 USD) [3, 28]. Su participación es testimonial: sin acciones propias, 2.650 opciones ejercitables y 600 RSU a 31-dic-2025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West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Moody's Investors Service (calificaciones)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 su carrera en las calificaciones de Moody's: jefe de Corporate Finance global (2010-2014), de Structured Finance global (2014-2016) y de Ratings and Research (2016-2019) [5]. Con él MIS facturó un 33 % más en 2024 y un 9 % más en 2025 [22, 28]. En el 3T26 los ingresos de MIS bajaron un 1 % y los transaccionales un 5 % [1]. Vendió 7.577 acciones (3,6 M USD) en febrero y marzo de 2026, sin plan 10b5-1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Christina Kosmowski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de Moody's Analytics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Nombrada el 15-abr-2026 y en el cargo desde junio: viene de LogicMonitor; antes fue directora de clientes de Slack y pasó 15 años en Salesforce, donde dirigió una organización de 4.000 M USD de ingresos [37]. Llega nueve meses después de la salida del anterior presidente de MA, Stephen Tulenko (septiembre de 2025) [36]. Recibió 21.542 títulos en una concesión del 1-jul-2026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Steele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Secretario general y director jurídico (SVP &amp; General Counsel)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2006 como director jurídico de Moody's KMV y fue director jurídico de Moody's Analytics desde 2008; es director jurídico del grupo desde septiembre de 2023 [5]. Cobró en 2025 el 101 % de su variable anual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Vincent A. Forlenza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(no ejecutivo,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primer ejecutivo y presidente de Becton Dickinson; consejero desde abril de 2018, consejero independiente coordinador hasta 2023 y presidente desde abril de 2023 [22]. Preside la comisión ejecutiva y forma parte de las de nombramientos y retribuciones [22].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10,30-10,70 USD (febrero de 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12,29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12,40-12,90 USD e ingresos +un dígito alto (febrero de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8,57 USD: la subida de tipos hundió las emisiones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9,00-9,50 USD (enero de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9,90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10,25-11,00 USD (febrero de 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12,47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14,00-14,50 USD (febrero de 2025); 14,50-14,75 en octubre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14,94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Plan a medio plazo (base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+10 % anual como mínimo de media y margen operativo ajustado «en la parte baja de los 50» (febrero de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2022 a 2025 +12,2 % anual (5.468 a 7.718 M USD) y margen ajustado de 2025 del 51,1 %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16,40-17,00 USD (febrero); estrechada a 16,50-17,00 en julio y reiterada el 21-oct; flujo operativo rebajado en julio de 3.250-3.450 a 3.150-3.350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Nueve meses: 13,14 USD (+16 %); el 4T implícito queda en 3,36-3,86 USD frente a 3,64 USD del 4T25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es creíble: superó la guía inicial de BPA ajustado en cuatro de los cinco últimos años (2021, 2023, 2024 y 2025) [3, 28, 29, 30, 32]. En octubre de 2025 ya había subido la de ese año a 14,50-14,75 USD [4]. También cumplió el plan a medio plazo de 2022, con ingresos un 12,2 % anuales y margen ajustado del 51,1 % [3, 22, 31]. El único fallo, 2022 (8,57 USD frente a 12,40-12,90), vino del frenazo de las emisiones por la subida de tipos, no de la gestión [30]. En 2026 estrechó la horquilla a 16,50-17,00 USD en julio [2] y la reiteró el 21-oct pese a un trimestre flojo (ingresos +1 %, MIS transaccional −5 %): el 4T implícito va de −8 % a +6 % [1]. El núcleo es estable (Fauber desde 2021, West desde 2019), pero MA estuvo nueve meses sin máximo responsable y llega una ejecutiva de software sin experiencia en Moody's [36, 37]. No hay sucesor del CEO a la vista: Fauber tiene 55 años [5].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Vincent A. Forlenza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 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Fauber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Sumit Dhawan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(primer ejecutivo de Proofpoint)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Thérèse Esperdy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presidenta mundial del grupo de instituciones financieras de JPMorgan)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Nombramientos y Gobierno;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 M. Minaya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(BNY Investments and Wealth)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Lisa P. Sawicki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presidenta del consejo mundial de PwC)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desde el 12-oct-2026);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Leslie F. Seidman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presidenta del FASB)</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(presidenta); Auditoría;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Zig Serafin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(vicepresidente de Qualtrics)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Bruce Van Saun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y primer ejecutivo de Citizens Financial Group)</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Gobierno;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89 %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13,46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Berkshire Hathaway (Warren Buffett)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a largo plazo (pasivo,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24.669.778 acciones, las mismas desde 2013, según su 13F de 30-jun-2026; el porcentaje sube con las recompras (13,9 % a 31-dic-2025; 14,2 % sobre las 173,2 M de acciones de 30-jun-2026) [6, 22,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14,16 M de acciones según su 13G de febrero de 2024, el último que cita el proxy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12,93 M de acciones según su 13G de enero de 2024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TCI Fund Management (Christopher Hohn)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a largo plazo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12,05 M de acciones según su 13G de febrero de 2024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(13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249.115 acciones con las opciones ejercitables a 31-dic-2025 [22]; en los 12 meses siguientes hubo ventas por 13,8 M USD y ninguna compra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Fauber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Fauber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Fauber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Fauber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Fauber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Michael West (presidente de MIS)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Fauber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Richard Steele (director jurídico),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Michael West (presidente de MIS)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Jason Phillips (director de contabilidad)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Noémie Heuland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Fauber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Fauber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Fauber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Fauber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Fauber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Fauber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Fauber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Fauber cobró 18,1 M USD en 2025: 1,1 M de fijo, 2,2 M de variable anual (101 % del objetivo) y 14,2 M en acciones [22]. El 94 % de su paquete objetivo es variable [22]. Dos tercios del variable anual dependen del resultado operativo de MIS (50 %) y del resultado operativo y los ingresos recurrentes de MA (25 % cada uno); el tercio restante son objetivos cualitativos [22]. A largo plazo cobra un 20 % en opciones, un 20 % en RSU y un 60 % en acciones por objetivos a tres años: BPA ajustado (50 %), precisión de las calificaciones (25 %) e ingresos acumulados de MA (25 %) [22]. No hay métrica de ROIC, flujo de caja ni TSR, y el propio proxy lo dice. El ciclo 2023-2025 pagó el 159 % [22]. Hay recuperación (</w:t>
      </w:r>
      <w:r>
        <w:rPr>
          <w:i/>
        </w:rPr>
        <w:t xml:space="preserve">clawback</w:t>
      </w:r>
      <w:r>
        <w:t xml:space="preserve">) más amplia que la que exige la NYSE [22]. En un cambio de control el CEO cobra tres veces fijo más variable objetivo, y desde 2025 la junta debe ratificar cualquier acuerdo nuevo por encima de 2,99 veces [22, 40]. La relación con el empleado mediano es de 146 a 1 [22]. El voto en contra de la remuneración fue del 6,9 % en 2024, del 12,6 % en 2025 y del 3,4 % en 2026 [23, 24, 25].</w:t>
      </w:r>
    </w:p>
    <w:p>
      <w:pPr>
        <w:pStyle w:val="Heading2"/>
      </w:pPr>
      <w:r>
        <w:t xml:space="preserve">Operaciones vinculadas, estructura de control y defensas</w:t>
      </w:r>
    </w:p>
    <w:p>
      <w:pPr>
        <w:spacing w:after="100"/>
      </w:pPr>
      <w:r>
        <w:t xml:space="preserve">No hay accionista de control. Berkshire Hathaway tiene el 14,2 %, no ha movido la posición desde 2013 y no se sienta en el consejo [22, 42]. Hay una sola clase de acciones, los consejeros se eligen cada año por mayoría y, desde 2024, los accionistas con el 25 % pueden convocar una junta extraordinaria [22, 25]. Presidencia y primera ejecutiva están separadas: preside Forlenza, independiente, y los estatutos obligan a nombrar un consejero coordinador si un día el presidente no lo es [22]. Hasta el 1-nov-2026 el consejo tiene nueve miembros y ocho son independientes. Jorge Bermudez, que presidía la comisión de auditoría, se retiró el 12-oct-2026 «sin desacuerdo» y le sustituye Sawicki, consejera desde el 16-mar-2026 [33, 39]. Keith Demmings, primer ejecutivo de Assurant, entra el 1-nov en auditoría y en nombramientos [38, 39]. En 2025 entró Sumit Dhawan y dimitió Lloyd Howell, también «sin desacuerdo» [34, 35]. Las tres comisiones delegadas son íntegramente independientes [22]. No hay operaciones vinculadas declaradas. Varios consejeros dirigen entidades calificadas por Moody's (Citizens, BNY), con honorarios por debajo del 1 % de los ingresos de cada parte [22].</w:t>
      </w:r>
    </w:p>
    <w:p>
      <w:pPr>
        <w:pStyle w:val="Heading2"/>
      </w:pPr>
      <w:r>
        <w:t xml:space="preserve">Señales de alerta</w:t>
      </w:r>
    </w:p>
    <w:p>
      <w:pPr>
        <w:pStyle w:val="ListParagraph"/>
        <w:numPr>
          <w:ilvl w:val="0"/>
          <w:numId w:val="2"/>
        </w:numPr>
        <w:spacing w:after="60"/>
      </w:pPr>
      <w:r>
        <w:t xml:space="preserve">Ventas de la dirección sin ninguna compra: 13,8 M USD en 12 meses. Fauber vendió 20.152 acciones (9,5 M USD) con un plan 10b5-1 de 30-jul-2025, casi todas al ejercer opciones de 2017-2018 que vencían en 2027-2028; conserva 73.689 acciones (unos 35 M USD a 475,35 USD) [26, 27].</w:t>
      </w:r>
    </w:p>
    <w:p>
      <w:pPr>
        <w:pStyle w:val="ListParagraph"/>
        <w:numPr>
          <w:ilvl w:val="0"/>
          <w:numId w:val="2"/>
        </w:numPr>
        <w:spacing w:after="60"/>
      </w:pPr>
      <w:r>
        <w:t xml:space="preserve">Rotación en la segunda línea: el presidente de MA se fue en septiembre de 2025 y su sucesora, que viene de fuera, no llegó hasta junio de 2026; el director de contabilidad cambió en abril de 2025 [36, 37, 41].</w:t>
      </w:r>
    </w:p>
    <w:p>
      <w:pPr>
        <w:pStyle w:val="ListParagraph"/>
        <w:numPr>
          <w:ilvl w:val="0"/>
          <w:numId w:val="2"/>
        </w:numPr>
        <w:spacing w:after="60"/>
      </w:pPr>
      <w:r>
        <w:t xml:space="preserve">El presidente de la comisión de auditoría, consejero desde 2011, se retiró a mitad de mandato (12-oct-2026). Su sustituta, ex-PwC, lleva siete meses en el consejo; el auditor es KPMG [23, 39].</w:t>
      </w:r>
    </w:p>
    <w:p>
      <w:pPr>
        <w:pStyle w:val="ListParagraph"/>
        <w:numPr>
          <w:ilvl w:val="0"/>
          <w:numId w:val="2"/>
        </w:numPr>
        <w:spacing w:after="60"/>
      </w:pPr>
      <w:r>
        <w:t xml:space="preserve">En 2026 hay una reserva por una obligación fiscal internacional que no es de impuesto sobre beneficios: unos 0,25 USD por acción, excluidos del BPA ajustado [1, 6].</w:t>
      </w:r>
    </w:p>
    <w:p>
      <w:pPr>
        <w:pStyle w:val="ListParagraph"/>
        <w:numPr>
          <w:ilvl w:val="0"/>
          <w:numId w:val="2"/>
        </w:numPr>
        <w:spacing w:after="60"/>
      </w:pPr>
      <w:r>
        <w:t xml:space="preserve">En 2025, el 12,6 % votó contra la remuneración y la propuesta de un accionista sobre indemnizaciones sacó el 9,2 %. La empresa respondió con una política que limita a 2,99 veces las indemnizaciones nuevas, y en 2026 el voto en contra bajó al 3,4 % [23, 24, 40].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reafirmada el 21-oct-2026 con los resultados del 3T, sin ningún cambio frente a la de julio [1]: ingresos con crecimiento de un dígito alto (MA de un dígito medio publicado y alto orgánico; MIS de un dígito alto), emisión calificada global +un dígito medio, margen operativo del 44-45 % (ajustado 52-53 %), BPA GAAP de 16,00-16,50 USD y ajustado de 16,50-17,00 USD (el GAAP lleva 1,18 USD de plusvalía por la venta de Regulatory Solutions), flujo de caja operativo de 3.150-3.350 M, flujo libre de 2.700-2.900 M, capex de unos 450 M y recompras de hasta 3.000 M [1]. Solo cambian los supuestos: tasa de impago especulativa al 3,8 % a fin de año (antes 3 %) y diferenciales de alto rendimiento de unos 300 pb [1]. Con 9 meses a 12,98 USD GAAP y 13,14 USD ajustado, la guía implica un 4T de 3,4-3,9 USD ajustado [1]. No hay plan a medio plazo nuevo.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(ventas, EBITDA, EBIT y dividendo, base publicada) [48]; BPA ajustado de Yahoo, 24 analistas [47] (BPA publicado de MarketScreener: 16,14)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[48]; BPA ajustado de Yahoo, 24 analistas [47] (publicado de MarketScreener: 17,55)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[48]; BPA ajustado: estimación propia = BPA publicado de MarketScreener (19,93) + la diferencia ajustado-publicado de 2027 (1,21 USD, sobre todo amortización de intangibles comprados) [47, 48]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 6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551,38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470,00 – 600,00</w:t>
            </w:r>
          </w:p>
        </w:tc>
      </w:tr>
    </w:tbl>
    <w:p>
      <w:pPr>
        <w:spacing w:after="160" w:before="0"/>
      </w:pPr>
    </w:p>
    <w:p>
      <w:pPr>
        <w:pStyle w:val="Heading2"/>
      </w:pPr>
      <w:r>
        <w:t xml:space="preserve">Revisiones de estimaciones</w:t>
      </w:r>
    </w:p>
    <w:p>
      <w:pPr>
        <w:spacing w:after="100"/>
      </w:pPr>
      <w:r>
        <w:t xml:space="preserve">Las estimaciones apenas se han movido: el BPA ajustado de 2026 pasa de 16,80 USD hace 90 días a 16,90 y el de 2027 de 18,66 a 18,76, aunque en los últimos 30 días bajan algo (16,96 a 16,90 y 18,89 a 18,76; cuatro recortes y dos subidas en 2026) [47]. Los objetivos subieron tras el 2T (julio) y se recortan en octubre antes de los resultados: Morgan Stanley 512 a 470, BMO 515 a 490, JPMorgan 570 a 555, RBC 610 a 575, y Jefferies baja a mantener con 560 [50]. El 3T queda por debajo de lo esperado: ingresos de 2.023 M frente a 2.080 M y BPA ajustado de 4,14 frente a 4,25 USD (19-20 analistas) [1, 47], con la guía sin cambios: cabe esperar recortes del 4T. Dos fuentes cuadran el objetivo medio (551 USD en MarketScreener, Stock Analysis y MarketBeat) [48, 49, 50]. MarketScreener da el BPA publicado (GAAP), Yahoo el ajustado; no hay revisiones a 12 meses gratis.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bl>
    <w:p>
      <w:pPr>
        <w:spacing w:after="160" w:before="0"/>
      </w:pPr>
    </w:p>
    <w:p>
      <w:pPr>
        <w:spacing w:after="100"/>
      </w:pPr>
      <w:r>
        <w:t xml:space="preserve">En diez años Moody's ha ganado un 16,6 % anual frente al 13,7 % del S&amp;P 500, pero los últimos cinco son flojos (4,8 % frente a 11,1 %): la caída de 2022 (−28,7 %, emisión hundida por la subida de tipos) y un 2026 en negativo (−6,9 % en el año frente a +12,7 % del índice) [45]. La caída de 2026 llegó en febrero, cuando el miedo a que la IA abarate los datos y la guía de S&amp;P Global golpearon al sector (mínimo de 402,28 USD el 12-feb) [45, 51]; los resultados del 1T y el 2T la recuperaron hasta 505 USD a finales de agosto, y septiembre la devolvió a 447 USD el 1-oct sin un hecho propio publicado [45]. La beta mensual de 5 años es 1,32 (semanal de 2 años 1,07; ajustadas 1,13-1,21) y la caída máxima, −41,7 % entre oct-2021 y oct-2022 [45]. Posición corta del 1,9 % del capital flotante a 30-sep [47]; Berkshire Hathaway, con 24,7 M de acciones (14,2 %, último 13G citado en el proxy), es el accionista estable que reduce el capital flotante al 85,8 % [22]. Rentabilidades de precio, sin dividendos (el S&amp;P 500 no los lleva).</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 -2,9 % / +3,4 % / +0,9 %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 / +15,3 %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máximo de 546,88 USD (15-ene) al mínimo de 402,28 (12-feb), con caídas del 8,9 % el 3-feb y del 6,8 % el 10-feb: venta de software y datos por el temor a la IA y, el 10-feb, la guía de 2026 de S&amp;P Global por debajo de lo esperado, que arrastró al sector (S&amp;P Global −9,7 %) [45, 51]. No hubo un hecho propio de Moody's: su guía de febrero fue al alza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antes de la apertura: ingresos de 2.023 M (+1 %; +3 % orgánico) frente a 2.080 M esperados, MIS −1 % (transaccional −5 %, alto rendimiento −40 % y préstamos apalancados −27 %) y MA +3 % (+8 % orgánico, ARR +8 %); BPA ajustado de 4,14 USD (+6 %) frente a 4,25 esperado; guía de 2026 reafirmada [1, 47]. En la preapertura la acción cotiza a 462 USD (−2,8 % frente al cierre del 20-oct, 7:28 ET, volumen escaso), antes de la conferencia de las 11:30 ET [46].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baja a mantener (objetivo 560 USD) y RBC recorta de 610 a 575 USD (sobreponderar); antes, Morgan Stanley (512 a 470, 7-oct), BMO (515 a 490, 13-oct) y JPMorgan (570 a 555, 14-oct) [50].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Jorge Bermudez deja el consejo (12-oct) sin desacuerdos; Lisa Sawicki preside la comisión de auditoría; Keith Demmings (consejero delegado de Assurant) entra el 1-nov [38,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21-abr los directivos solo venden, todo con planes 10b5-1: 4,10 M USD (Rob Fauber, consejero delegado, 3,88 M; Richard Steele, secretario general, 0,22 M); ninguna compra en mercado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2026 MA vendió Learning Solutions y Regulatory Solutions: 200 M USD cobrados y 296 M de plusvalía en nueve meses (fuera del BPA ajustado); restan unos 4 puntos al crecimiento publicado de MA en 2026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lateral-alcista (+1,4 % sobre la media de 200 sesiones) y a un 11,9 % del máximo de 52 semanas, sin avisos de movimiento [45]. Lo que la ha movido en el año es sectorial: el miedo a la IA en febrero y la rotación de septiembre. El hecho pendiente es la reacción de hoy: el 3T se queda corto en ingresos (+1 %, frente a +3,5 % esperado) y en BPA ajustado (−2,6 % frente al consenso), aunque la guía se mantiene, y la preapertura marca −2,8 % [1, 46, 47]. Una reacción mayor del 5 % movería el PER actual y la rentabilidad a 12 meses, así que la conclusión espera al cierre de hoy. Se buscó en EDGAR (8-K, Form 4, 144), MarketBeat y prensa [26, 38, 39, 50]. Próximos resultados (4T26): fecha sin anunciar; el año pasado fueron el 18-feb [5].</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BPA ajustado y PER adelantado (cierre del año ÷ BPA ajustado real del año siguiente), Moody's pasó de 16-20 veces en 2016-2018 a 23-24 en 2019-2020 y a 28-32 en 2022-2025 [5, 7, 8, 43, 44, 45]. Hoy cotiza a 25,8 veces el BPA ajustado de consenso de los próximos 12 meses [47]: un 15 % por debajo de la mediana de cinco años (30,5) y en la media larga (25,7). El 2021 queda fuera (45,6 veces sobre un BPA de 2022 hundido un 30 % por la caída de la emisión) y 2022 se excluye en los múltiplos de los últimos 12 meses por la misma razón. La compresión de 2026 coincide con el temor a la IA en datos y con unos tipos a 10 años del 5,1 % [51, 52]: el mercado ha bajado el múltiplo de todo el grupo, no solo el de Moody's.</w:t>
      </w:r>
    </w:p>
    <w:p>
      <w:pPr>
        <w:pStyle w:val="Heading1"/>
      </w:pPr>
      <w:r>
        <w:t xml:space="preserve">18. Comparables cotizados</w:t>
      </w:r>
    </w:p>
    <w:p>
      <w:pPr>
        <w:pStyle w:val="Confianza"/>
        <w:spacing w:after="100"/>
      </w:pPr>
      <w:r>
        <w:t xml:space="preserve">Confianza: Media</w:t>
      </w:r>
    </w:p>
    <w:p>
      <w:pPr>
        <w:spacing w:after="100"/>
      </w:pPr>
      <w:r>
        <w:t xml:space="preserve">Nueve cotizadas de calificaciones, índices, datos y bolsas con ingresos recurrentes y márgenes altos. S&amp;P Global es el gemelo (calificaciones e índices); MSCI compite en índices y analítica; Verisk, FactSet y Thomson Reuters, en datos y analítica como MA; LSEG, con Refinitiv; ICE, CME y Nasdaq aportan datos e índices. Tabla de la ficha sectorial (MarketScreener y Stock Analysis, cierres del 13/14-oct) [55, 56, 57, 58, 59, 60, 61, 62, 63, 64, 65, 66, 67, 68, 69, 70, 71] llevada al cierre del 20-oct con la variación de precio de Yahoo y la deuda neta constante; LSEG, a 1,3308 USD/GBP [72]. El PER de los próximos 12 meses es sobre BPA AJUSTADO de consenso de Yahoo (misma base que Moody's) [47]; el de MarketScreener es publicado y lleva la amortización de intangibles (ICE 21,9 frente a 18,1). Fuera: Morningstar (tres analistas) y Fitch (no cotiza).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FactSet Research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 / 15,1x / 18,3x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16,7x / 20,2x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458,85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 / 22,2x / 22,9x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 / 10,3x / 11,1x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492,83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(9 comparables): múltiplo = 9,2 + 0,85 × crecimiento; R² = 0,14. El crecimiento explica poco los múltiplos de estos comparables (R² &lt; 0,3): la regresión no se usa en la valoración.</w:t>
      </w:r>
    </w:p>
    <w:p>
      <w:pPr>
        <w:spacing w:after="100"/>
      </w:pPr>
      <w:r>
        <w:t xml:space="preserve">Moody's cotiza a 25,8 veces el BPA ajustado de los próximos 12 meses, con prima del 16 % sobre la mediana de los comparables (22,2) y por debajo solo de MSCI (27,1) [47]. S&amp;P Global, el gemelo, está a 22,2 veces tras subir un 6,9 % desde el 13-oct [72]. La prima se apoya en el margen (51 % EBITDA, entre los más altos sin contar las bolsas), un ROIC de alrededor del 30 % que solo MSCI y Verisk igualan y el duopolio en calificaciones; pero el crecimiento esperado (7 % anual en 2026-2027 [48]) es el de la mediana, no superior. En EV/EBITDA la lectura es parecida: el grupo de datos (S&amp;P Global, MSCI, Verisk) cotiza a 15-21 veces los próximos 12 meses y las bolsas de 10-20. Usaría el PER ajustado y una prima moderada, no la de MSCI, que crece más.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en efectivo: 167 USD por acción. Ventas (870 M) y EBITDA (430 M) de los últimos 12 meses a junio de 2026; la prima es la que publica el folleto [73,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With Intelligence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Vendedor, Motive Partners (capital privado). Unos 130 M de ingresos esperados en 2025, con crecimiento del valor anual de contratos en la parte alta de la decena; el múltiplo es sobre esos ingresos previstos. No se publicó el EBITDA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Preqin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2.550 M GBP (unos 3.200 M USD) en efectivo por el 100 % del capital [76]. El 8-K no da ingresos ni EBITDA, así que no hay múltiplo verificado.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Thoma Bravo, con 5.750 M en efectivo y 85,6 M de acciones de Nasdaq. Múltiplos sobre las previsiones de 2023 que publicó Nasdaq (unos 590 M de ingresos y un margen EBITDA ajustado del 58 %), no sobre los últimos 12 meses: estimación propia [77].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0,2838 acciones de S&amp;P Global por cada una de IHS Markit. Valor empresa publicado, 44.000 M, con 4.800 M de deuda neta. Ventas (4.288 M) y EBITDA ajustado (1.837 M) del ejercicio cerrado en noviembre de 2020 [78, 79].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Refinitiv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London Stock Exchange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acciones: los vendedores (Blackstone y Thomson Reuters) se quedaron con el 37 % económico de LSEG. El valor empresa incluye 12.500 M de deuda neta. Ingresos ajustados de 2018, 6.204 M; EBITDA ajustado, 2.054 M, antes de los 650 M de ahorros en marcha [80]. Anunciada en agosto de 2019 y cerrada en enero de 2021, al límite del periodo de siete años.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 Knight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septiembre de 2023 a 76 USD por acción. La cifra es lo pagado por las acciones; además, ICE asumió unos 1.000 M de bonos. No hay EBITDA oficial del perímetro comprado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(13,1x – 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286,79 – 591,06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pagan a 13-31 veces el EBITDA (mediana en torno a 18 veces) y a 4-18 veces las ventas: los activos de datos con ingresos recurrentes cotizan caros también en privado. Moody's no es un objetivo realista (80.000 M de capitalización, Berkshire como mayor accionista y una agencia de calificación que ningún competidor podría comprar por competencia), así que las transacciones solo sirven de referencia de valor para MA. En 2026 Moody's ha sido vendedora (Learning Solutions y Regulatory Solutions de MA, 200 M USD cobrados) [1], sin múltiplo publicado.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(+7,5 %) sigue la guía de crecimiento de «un dígito alto», que la empresa mantiene pese a un 3T de +1 % (MIS −1 %, transaccional −5 %) [1]. Después +7 % en 2027e-2028e (MA crece un 8 % orgánico con un ARR de 3.688 M; la emisión recurrente y el grado de inversión, ligado a la financiación de la IA, sostienen MIS [1]) y convergencia al 4 % en 2035e: una TCAC del 5,7 %, por debajo del 8,1 % histórico.</w:t>
      </w:r>
    </w:p>
    <w:p>
      <w:pPr>
        <w:keepNext/>
        <w:spacing w:after="100"/>
      </w:pPr>
      <w:r>
        <w:rPr>
          <w:b/>
          <w:bCs/>
        </w:rPr>
        <w:t xml:space="preserve">Márgenes.</w:t>
      </w:r>
    </w:p>
    <w:p>
      <w:pPr>
        <w:spacing w:after="100"/>
      </w:pPr>
      <w:r>
        <w:t xml:space="preserve">Margen EBITDA del 50,0 % en 2026e (49,6 % en 2025 y 50,6 % en los últimos 12 meses) [1, 5], que sube al 53 % con el apalancamiento operativo de MA (margen ajustado del 35,3 % en el 3T26, +100 pb) [1].</w:t>
      </w:r>
    </w:p>
    <w:p>
      <w:pPr>
        <w:keepNext/>
        <w:spacing w:after="100"/>
      </w:pPr>
      <w:r>
        <w:rPr>
          <w:b/>
          <w:bCs/>
        </w:rPr>
        <w:t xml:space="preserve">Inversión y circulante.</w:t>
      </w:r>
    </w:p>
    <w:p>
      <w:pPr>
        <w:spacing w:after="100"/>
      </w:pPr>
      <w:r>
        <w:t xml:space="preserve">Capex del 4,3-5,0 % de las ventas (software capitalizado), con la amortización bajando del 6,0 % al 5,0 % al agotarse los intangibles comprados. Circulante del 25 % de las ventas, el real.</w:t>
      </w:r>
    </w:p>
    <w:p>
      <w:pPr>
        <w:keepNext/>
        <w:spacing w:after="100"/>
      </w:pPr>
      <w:r>
        <w:rPr>
          <w:b/>
          <w:bCs/>
        </w:rPr>
        <w:t xml:space="preserve">Coste del capital.</w:t>
      </w:r>
    </w:p>
    <w:p>
      <w:pPr>
        <w:spacing w:after="100"/>
      </w:pPr>
      <w:r>
        <w:t xml:space="preserve">Tasa libre del 5,12 % (bono del Tesoro a 10 años, 20-oct) [52]; beta 1,15 (entre la semanal ajustada de 5 años, 1,13, y la mensual ajustada, 1,21) [45]; prima de mercado del 5,5 %. Deuda del 7,7 % del valor al 5,8 % antes de impuestos. WACC del 10,90 %: alto para un negocio de esta calidad, por la tasa libre de EE. UU.</w:t>
      </w:r>
    </w:p>
    <w:p>
      <w:pPr>
        <w:keepNext/>
        <w:spacing w:after="100"/>
      </w:pPr>
      <w:r>
        <w:rPr>
          <w:b/>
          <w:bCs/>
        </w:rPr>
        <w:t xml:space="preserve">Valor terminal.</w:t>
      </w:r>
    </w:p>
    <w:p>
      <w:pPr>
        <w:spacing w:after="100"/>
      </w:pPr>
      <w:r>
        <w:t xml:space="preserve">Media de Gordon al 3 % y de 18 veces el EBITDA de salida (por debajo de su historia, 20-25 veces).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290,97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375,76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(reinvierte el 17 %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 (histórico: 25,2 %)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frente al 5,7 %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638 M, el 2 % del NOPAT, con un capex bruto medio del 4,7 % de las ventas). En un negocio de activos ligeros, el crecimiento medio del 5,7 %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subidas anuales de tarifas de calificación (los recurrentes de empresas subieron 38 M en 2025 solo por precio) [5]; volumen: MA (+8 % orgánico) y grado de inversión.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 la deuda de 2020-2021 y emisión ligada a centros de datos; MA con ARR al 8 %.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con algo menos de MA.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cercano al de la deuda mundial más precio.</w:t>
            </w:r>
          </w:p>
        </w:tc>
      </w:tr>
    </w:tbl>
    <w:p>
      <w:pPr>
        <w:spacing w:after="160" w:before="0"/>
      </w:pPr>
    </w:p>
    <w:p>
      <w:pPr>
        <w:spacing w:after="100"/>
      </w:pPr>
      <w:r>
        <w:t xml:space="preserve">Sí. Es un negocio de activos ligeros: el crecimiento (5,7 % medio) sale del precio (las agencias suben tarifas cada año en un duopolio con S&amp;P: Moody's tiene el 31,4 % de los ingresos de calificación del sector y las tres grandes el 92,4 %) [12] y del volumen de deuda, sin capital nuevo. ROIC del 30,0 % en 2025 frente a un WACC del 10,9 % y ROIC incremental del 25,2 %.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76,7 % (base: 53,0 %)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 (WACC: 10,9 %)</w:t>
            </w:r>
          </w:p>
        </w:tc>
      </w:tr>
    </w:tbl>
    <w:p>
      <w:pPr>
        <w:spacing w:after="160" w:before="0"/>
      </w:pPr>
    </w:p>
    <w:p>
      <w:pPr>
        <w:spacing w:after="100"/>
      </w:pPr>
      <w:r>
        <w:t xml:space="preserve">El DCF da 311,97 USD por acción, un 34,4 % por debajo del precio, con un WACC del 10,90 % y un valor terminal que pesa el 62 %. El DCF inverso dice que el precio de 475,35 USD descuenta un crecimiento del 11,4 % anual frente al 5,5 % de nuestro base, o una rentabilidad implícita del 7,4 %. Con la prima de riesgo que hoy pide el mercado (4,2 %) vale 361,44 USD: ni así llega al precio. El valor depende sobre todo de la tasa: el mercado paga a Moody's como un activo de máxima calidad con un coste de capital muy por debajo del nuestro.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236,63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año de emisión como 2022: los diferenciales se abren, el alto rendimiento y los préstamos apalancados siguen cayendo y el grado de inversión se frena; MIS cae y el margen baja 2 puntos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 crece con la refinanciación y el precio; MA mantiene un 7-8 %; margen del 50 % al 53 %.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financiación de la IA y la refinanciación de 2027-2028 llevan a MIS a crecer al doble dígito; 2 puntos más de crecimiento y 1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475,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307,10 USD (-35,4 %).</w:t>
      </w:r>
    </w:p>
    <w:p>
      <w:pPr>
        <w:spacing w:after="100"/>
      </w:pPr>
      <w:r>
        <w:t xml:space="preserve">Los tres escenarios del valor intrínseco quedan por debajo del precio: el alcista (367,83 USD) un 22,6 % y el bajista (236,63) un 50,2 %. A 12 meses es distinto: el PER de la regla (27,9x en el base, a mitad de camino hacia su mediana adelantada de 30,6x) da un objetivo ponderado de 553,01 USD (+17,2 %). Las dos lecturas chocan: la regla exige las dos cosas para comprar.</w:t>
      </w:r>
    </w:p>
    <w:p>
      <w:pPr>
        <w:pStyle w:val="Heading1"/>
      </w:pPr>
      <w:r>
        <w:t xml:space="preserve">22. Suma de partes</w:t>
      </w:r>
    </w:p>
    <w:p>
      <w:pPr>
        <w:pStyle w:val="Confianza"/>
        <w:spacing w:after="100"/>
      </w:pPr>
      <w:r>
        <w:t xml:space="preserve">Confianza: Media</w:t>
      </w:r>
    </w:p>
    <w:p>
      <w:pPr>
        <w:spacing w:after="100"/>
      </w:pPr>
      <w:r>
        <w:t xml:space="preserve">MIS y MA comparten marca, datos y clientes, y la empresa no reparte deuda ni costes centrales por segmento: la suma de partes añadiría supuestos sin mejorar la valoración.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475,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339,13 USD (-28,7 % sobre 475,35).</w:t>
      </w:r>
    </w:p>
    <w:p>
      <w:pPr>
        <w:spacing w:after="100"/>
      </w:pPr>
      <w:r>
        <w:t xml:space="preserve">Pesos: DCF 40 %, comparables 35 % y escenarios 25 %. Los comparables pesan más que en otras empresas porque el DCF depende mucho de la tasa; aun así, a la mediana del sector (22,2x) la acción valdría ≈ 410 USD. La síntesis da 339,13 USD (−28,7 %). El puente resta la deuda (6.911 M) y suma la caja (1.621 M) y las participadas (483 M) [1, 6].</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(25.4x) a mitad de camino hacia la mediana de 5 años (30.6x)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+42,2 %</w:t>
            </w:r>
          </w:p>
        </w:tc>
      </w:tr>
    </w:tbl>
    <w:p>
      <w:pPr>
        <w:spacing w:after="160" w:before="0"/>
      </w:pPr>
    </w:p>
    <w:p>
      <w:pPr>
        <w:spacing w:after="100"/>
      </w:pPr>
      <w:r>
        <w:rPr>
          <w:b/>
          <w:bCs/>
        </w:rPr>
        <w:t xml:space="preserve">Objetivo a 12 meses (ponderado):</w:t>
      </w:r>
      <w:r>
        <w:t xml:space="preserve"> 553,01 USD · rentabilidad +17,2 % (base +22,4 %) · señal Mantener.</w:t>
      </w:r>
    </w:p>
    <w:p>
      <w:pPr>
        <w:keepNext/>
        <w:spacing w:after="100"/>
      </w:pPr>
      <w:r>
        <w:rPr>
          <w:b/>
          <w:bCs/>
        </w:rPr>
        <w:t xml:space="preserve">Frente al consenso (solo contraste).</w:t>
      </w:r>
    </w:p>
    <w:p>
      <w:pPr>
        <w:spacing w:after="100"/>
      </w:pPr>
      <w:r>
        <w:t xml:space="preserve">Nuestro BPA ajustado de 2026e (16,67 USD) está en la mitad de la guía (16,50-17,00) y un 1,4 % bajo el consenso (16,90); el de 2027e (18,68) casi igual al consenso (18,76) [47]. La diferencia con el objetivo medio de los analistas (551,38 USD, 24 analistas) es pequeña: nuestro objetivo ponderado es de 553,01 USD.</w:t>
      </w:r>
    </w:p>
    <w:p>
      <w:pPr>
        <w:keepNext/>
        <w:spacing w:after="100"/>
      </w:pPr>
      <w:r>
        <w:rPr>
          <w:b/>
          <w:bCs/>
        </w:rPr>
        <w:t xml:space="preserve">Del valor intrínseco al objetivo a 12 meses.</w:t>
      </w:r>
    </w:p>
    <w:p>
      <w:pPr>
        <w:spacing w:after="100"/>
      </w:pPr>
      <w:r>
        <w:t xml:space="preserve">Objetivo ponderado de 553,01 USD: +17,2 % con dividendo (+22,4 % en el base), por encima del 15 %. El base supone que el BPA ajustado crece un 11,5 % anual hasta 2028e y que el PER sube de 25,4x a 27,9x, a mitad de camino hacia su mediana adelantada (30,6x). Pero el valor intrínseco (339,13 USD) está un 28,7 % por debajo del precio: la regla no da Comprar. Con el BPA un 10 % más bajo, la rentabilidad cae al 5,5 %.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crecimiento de MIS con la refinanciación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Mensual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deuda de empresas (alto rendimiento y préstamos apalancados)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indicador de los ingresos transaccionales de MIS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Bajadas o subidas de tipos de la Fed y el BCE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ya supone otra subida en su guía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emisión de deuda (alto rendimiento −40 % en el 3T26)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del BPA en un año como 2022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recurrentes de MA (99 % recurrentes) y de vigilancia de calificaciones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transaccionales de MIS con caídas de dos dígitos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abarata los datos y el software de 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propios (Orbis, calificaciones) y ARR creciendo un 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por debajo del +6 %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25,4 veces el BPA ajustado de 2027e frente a 22,2 de los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si cotiza como los comparables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duopolio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objetivos de los analistas (cinco en octubre) [50]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las agencias de calificación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Multas; en 2024 la SEC multó con 20 M USD por registros [20]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Barreras de entrada que la propia regulación crea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Expedientes de la SEC o de ESMA</w:t>
            </w:r>
          </w:p>
        </w:tc>
      </w:tr>
    </w:tbl>
    <w:p>
      <w:pPr>
        <w:spacing w:after="160" w:before="0"/>
      </w:pPr>
    </w:p>
    <w:p>
      <w:pPr>
        <w:pStyle w:val="Heading2"/>
      </w:pPr>
      <w:r>
        <w:t xml:space="preserve">Pre-mortem</w:t>
      </w:r>
    </w:p>
    <w:p>
      <w:pPr>
        <w:spacing w:after="100"/>
      </w:pPr>
      <w:r>
        <w:t xml:space="preserve">Es octubre de 2027 y Moody's ha perdido un 30 %. Lo más probable: una recesión suave en 2027 cerró el mercado de alto rendimiento y de préstamos apalancados, MIS cayó un 10 % y el BPA ajustado se quedó plano; a la vez, el mercado dejó de pagar 25-30 veces por las empresas de datos por miedo a la IA, como en febrero de 2026. La señal: los ingresos transaccionales de MIS cayendo dos trimestres seguidos.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por sexto año seguido) [21]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FTSE Russell (FTSE4Good)</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Incluida en el índice por octavo año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Medalla de bronce (35 % mejor)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2024-10</w:t>
            </w:r>
          </w:p>
        </w:tc>
      </w:tr>
    </w:tbl>
    <w:p>
      <w:pPr>
        <w:spacing w:after="160" w:before="0"/>
      </w:pPr>
    </w:p>
    <w:p>
      <w:pPr>
        <w:pStyle w:val="Heading2"/>
      </w:pPr>
      <w:r>
        <w:t xml:space="preserve">Asuntos materiales</w:t>
      </w:r>
    </w:p>
    <w:p>
      <w:pPr>
        <w:spacing w:after="100"/>
      </w:pPr>
      <w:r>
        <w:t xml:space="preserve">Para una agencia de calificación lo material es el </w:t>
      </w:r>
      <w:r>
        <w:rPr>
          <w:b/>
        </w:rPr>
        <w:t xml:space="preserve">gobierno y la integridad del producto</w:t>
      </w:r>
      <w:r>
        <w:t xml:space="preserve">: el modelo de pago por el emisor crea un conflicto de interés que regulan la SEC, ESMA y la FCA, y una pérdida de credibilidad afectaría directamente a los ingresos [5]. El segundo asunto es el </w:t>
      </w:r>
      <w:r>
        <w:rPr>
          <w:b/>
        </w:rPr>
        <w:t xml:space="preserve">capital humano</w:t>
      </w:r>
      <w:r>
        <w:t xml:space="preserve">: el gasto de personal fue de 2.574 M USD en 2025, un 33 % de los ingresos, con 16.076 empleados [5]. El tercero, </w:t>
      </w:r>
      <w:r>
        <w:rPr>
          <w:b/>
        </w:rPr>
        <w:t xml:space="preserve">datos, ciberseguridad e IA</w:t>
      </w:r>
      <w:r>
        <w:t xml:space="preserve">: MA vende datos y modelos, y el 10-K cita errores de los productos con IA y ataques informáticos entre los riesgos de reputación [5]. El impacto ambiental directo es pequeño; la empresa compra electricidad renovable para sus oficinas [5] y está en la lista A de CDP por sexto año [21].</w:t>
      </w:r>
    </w:p>
    <w:p>
      <w:pPr>
        <w:pStyle w:val="Heading2"/>
      </w:pPr>
      <w:r>
        <w:t xml:space="preserve">Controversias</w:t>
      </w:r>
    </w:p>
    <w:p>
      <w:pPr>
        <w:spacing w:after="100"/>
      </w:pPr>
      <w:r>
        <w:t xml:space="preserve">En septiembre de 2024 la SEC multó a Moody's Investors Service con 20 M USD por no conservar comunicaciones electrónicas de sus empleados (mensajes en dispositivos personales), dentro de una actuación contra seis agencias [20]. En 2026 la empresa dotó una provisión por una obligación fiscal internacional distinta del impuesto sobre beneficios (unos 0,25 USD por acción) [1]. El 10-K no detalla ningún litigio material abierto [5]. Fuera del plazo de tres años: el acuerdo de 863 M USD de 2017 por las calificaciones previas a la crisis [18].</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Cuarto trimestre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ingresos necesita el 4T26 para cumplir la guía de «un dígito alto» tras un 3T de +1 %?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no llega, el consenso de 2026 baja.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emisión de grado de inversión de 2026 viene de grandes tecnológicas y centros de datos?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una concentración nueva de los ingresos de MIS.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¿Seguirá recomprando por encima del flujo libre (2.553 M en nueve meses) si baja la emisión?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deuda sube y el patrimonio baja [1].</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de MCO)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21-jul al 21-oct, 34 mensajes: 11 marcados alcistas y 1 bajista; el resto, noticias y análisis técnico. Domina la idea de que los datos propios ganan a la IA y de que la acción está barata tras la caída; poco debate y menos actividad que en febrero-julio (85 mensajes) [83].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noticias del valor)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piezas desde el 16-jul (solo titulares: el texto y los comentarios piden suscripción). Dos artículos alcistas tras el 2T26 y dos de cautela por valoración («Valuation once again limits the upside», 16-jul; «AAA business, highly valued», 3-sep); hoy, la noticia de que el 3T26 queda por debajo del consenso en BPA ajustado e ingresos [82].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Insider Monkey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Plantea la acción como un peaje sobre la deuda mundial a unas 28 veces beneficios: el foso del duopolio es real, pero el múltiplo solo se sostiene si la emisión no se gira; añade el riesgo político y regulatorio de las agencias [84].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Walnut (casos alcista y 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Página actualizada a mediados de octubre: el caso bajista es la ciclicidad de las calificaciones y las herramientas de riesgo propias o con IA; subraya que varios bancos recortaron el precio objetivo la semana antes de los resultados [85].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(EE. UU.)</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Defiende el foso de S&amp;P Global y Moody's (las dos rondan el 80 % de las calificaciones que exigen dos agencias) y atribuye el peor comportamiento del año a los tipos; ve la valoración razonable para mantener a largo plazo [87].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TIKR (blog)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la caída de hasta el 23,6 % de febrero por el miedo a la emisión y a la IA, y defiende la tesis del crédito privado y de los datos de impagos que la IA no puede replicar [86].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¿compounder o cíclica a 28 veces?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precio del informe (475,35 USD) y con la guía de BPA ajustado de 2026 reiterada hoy (16,50-17,00 USD), la acción cotiza a unas 28,4 veces (cálculo propio con el punto medio) [1]. El debate es legítimo: el BPA ajustado del 3T26 crece solo un 6 % y el múltiplo descuenta crecimiento de dos cifras.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emisión: la deuda apalancada se frena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bajistas aciertan en el 3T26: ingresos de MIS −1 % y transaccionales −5 %, alto rendimiento −40 % y préstamos apalancados −27 % en ingresos; lo compensa el grado de inversión (+18 %). La guía de MIS (subida de un dígito alto) y la de emisión calificada (un dígito medio) no cambian [1].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amenaza para Moody's Analytics o canal de venta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foros domina la idea de que los datos propios ganan a la IA. Los datos la apoyan por ahora: ARR de MA +8 % hasta 3.688 millones, Decision Solutions +10 % y margen ajustado de MA del 35,3 % (+100 pb) [1]; integración con Gemini Enterprise de Google en agosto [82]. El riesgo sigue en el precio, no en las cifras.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 IA, centros de datos y crédito privado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confirma: el grado de inversión crece por la financiación de grandes tecnológicas ligada a la IA, la financiación de proyectos por los centros de datos y las instituciones financieras por los mercados privados [1]. Es una concentración nueva: si se frena el gasto en IA, cae la parte de la emisión que hoy compensa la deuda apalancada.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Recortes de precio objetivo antes de los resultados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octubre recortaron RBC (610 → 575 USD), JPMorgan (570 → 555), BMO (515 → 490) y Morgan Stanley (512 → 470) [88, 89, 90, 91]. Los foros de particulares no lo recogían. El 3T26 les da la razón a corto: BPA ajustado de 4,14 USD frente a unos 4,25 esperados [82, 85], y antes de la apertura la acción cedía hasta unos 462 USD (−2,8 % a las 7:30 ET) [92].</w:t>
            </w:r>
          </w:p>
        </w:tc>
      </w:tr>
    </w:tbl>
    <w:p>
      <w:pPr>
        <w:spacing w:after="160" w:before="0"/>
      </w:pPr>
    </w:p>
    <w:p>
      <w:pPr>
        <w:spacing w:after="100"/>
      </w:pPr>
      <w:r>
        <w:t xml:space="preserve">El particular sigue alcista (Stocktwits, Motley Fool, TIKR) y apoya la tesis en el foso del duopolio y en que la IA no sustituye los datos propios de Moody's; los analistas, en cambio, venían recortando objetivos antes del 3T26, y el trimestre les da la razón a corto: MIS cae un 1 % por la deuda apalancada y el BPA ajustado queda por debajo de lo esperado [1, 82]. No hay euforia ni capitulación: el debate central es si 28 veces beneficios es precio de compounder o de cíclica. Los foros no traen un riesgo que el informe no recoja, salvo uno que conviene subrayar: la emisión que hoy sostiene a MIS depende cada vez más de la financiación de la IA [1]. Sentimiento poco seguido (Reddit y los comentarios de Seeking Alpha no se pudieron leer), así que pesa poco.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92 (51 primarias); citas distintas en el texto: 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25,0 % frente a 25,4 % real: genera una variación de circulante de 112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0,14: el crecimiento no explica los múltiplos de estos comparables; no uses el valor de la regresión. Explicación: Con ocho comparables de negocios distintos (agencias, bolsas, datos) el crecimiento no explica el múltiplo (R² 0,14): no usamos la regresión; los comparables entran por su mediana de PER (22,2x) [47, 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92 fuentes (51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nota 16 de deuda y liquidez (la línea de crédito cita «index debt ratings» sin dar la nota); 2) 10-Q del 2T26 y comunicado del 3T26; 3) búsqueda web de la calificación de S&amp;P o Fitch de Moody's Corporation sin fuente primaria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4T24-2T25 y comparación con el consenso 4T24-1T26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del 4T25, 3T25 y 2T26 (solo dan el orgánico de su trimestre); 2) XBRL de los 10-Q (no lo etiqueta); 3) MarketBeat solo da las estimaciones de los dos últimos trimestres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(solo el audio, sin transcripción el mismo día); 2) búsqueda de la transcripción en Seeking Alpha y otros; 3) resúmenes de prensa del 21-oct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Guía de Moody's del 21-oct-2026 y 10-K 2025 (solo previsión de emisión de 2026, no a cinco años); 2) 10-K 2025 de S&amp;P Global e informe de NRSRO de la SEC (sin previsión de mercado); 3) estudio Burton-Taylor resumido por FOW (solo dato de 2025, y de datos, no de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sostenibilidad de Moody's (solo CDP, FTSE4Good, EcoVadis); 2) búsqueda web de la calificación MSCI y del ESG Risk Rating de Sustainalytics de MCO (sin resultado de la fuente); 3) página de Sustainalytics (no muestra la puntuación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análisis (solo 2026 y 2027); 2) Stock Analysis, previsiones (2027-2028 de pago); 3) MarketScreener da 2028 en base publicada (19,93 USD): ajustado derivado sumando la diferencia de 2027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los resultados del 4T26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3T26 (no la da); 2) EDGAR, 8-K recientes; 3) MarketBeat y prensa (sin fecha anunciada)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de Reddit y comentarios de lectores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búsqueda de Reddit (search.json, último mes): 403 bloqueado; 2) artículos de Seeking Alpha del 16-jul, 23-jul y 3-sep: 403 con captcha, solo se leen los titulares del RSS; 3) sustituidos por Stocktwits (API), Motley Fool, Insider Monkey y Walnut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resultados del 3T26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https://www.sec.gov/Archives/edgar/data/1059556/000162828026066594/a3q26earningsrelease.htm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resultados del 2T26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https://www.sec.gov/Archives/edgar/data/1059556/000162828026049104/a2q26earningsrelease.htm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resultados del 4T25 y del ejercicio 2025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https://www.sec.gov/Archives/edgar/data/1059556/000162828026008788/a4q25earningsrelease.htm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resultados del 3T25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https://www.sec.gov/Archives/edgar/data/1059556/000162828025045770/a3q25earningsrelease.htm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informe anual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https://www.sec.gov/Archives/edgar/data/1059556/000162828026009136/mco-20251231.htm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https://www.sec.gov/Archives/edgar/data/1059556/000162828026049398/mco-20260630.htm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informe anual 10-K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https://www.sec.gov/Archives/edgar/data/1059556/000105955624000017/mco-20231231.htm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informe anual 10-K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https://www.sec.gov/Archives/edgar/data/1059556/000105955622000012/mco-20211231.htm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hechos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https://data.sec.gov/api/xbrl/companyfacts/CIK0001059556.json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resultados frente a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https://www.marketbeat.com/instant-alerts/moodys-nysemco-announces-quarterly-earnings-results-beats-expectations-by-042-eps-2026-07-22/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Completes Acquisition of Bureau van Dijk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https://www.sec.gov/Archives/edgar/data/0001059556/000119312517253667/d439601dex991.htm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Staff Report on Nationally Recognized Statistical Rating Organizations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Office of Credit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https://www.sec.gov/files/2025-ocr-staff-report-compliant-4-24-26.pdf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https://www.sec.gov/Archives/edgar/data/64040/000006404026000013/spgi-20251231.htm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https://www.sec.gov/Archives/edgar/data/64040/000006404023000058/spgi-20221231.htm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data spend hits $49.2bn as AI, volatility and algos drive growth (estudio Burton-Taylor)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https://www.fow.com/insights/market-data-spend-hits-usd49-2bn-as-ai-volatility-and-algos-drive-growth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(ingresos y beneficio operativo de los 10-K): S&amp;P Global, Verisk, Morningstar, FactSet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https://data.sec.gov/api/xbrl/companyfacts/CIK0000064040.json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Preliminary results for the year ended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https://www.lseg.com/en/media-centre/press-releases/2026/london-stock-exchange-group-plc-preliminary-results-for-the-year-ended-31-december-2025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https://en.wikipedia.org/wiki/Moody%27s_Corporation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U.K. Pound Sterling Spot Exchange Rate (DEXUSUK)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Six Credit Rating Agencies with Significant Recordkeeping Failures (comunicado 2024-114)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https://www.sec.gov/newsroom/press-releases/2024-114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Sustainability (reconocimientos y calificaciones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https://www.moodys.com/web/en/us/about-us/sustainability.html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https://www.sec.gov/Archives/edgar/data/1059556/000105955626000019/mco-20260304.htm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 14-abr-2026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https://www.sec.gov/Archives/edgar/data/1059556/000105955626000031/mco-20260414.htm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 15-abr-2025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https://www.sec.gov/Archives/edgar/data/1059556/000105955625000107/mco-20250415.htm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 2024 y reforma estatutaria (Items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https://www.sec.gov/Archives/edgar/data/1059556/000119312524102931/d810321d8k.htm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Moody's, 21-oct-2025 a 21-oct-2026 (73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https://www.sec.gov/cgi-bin/browse-edgar?action=getcompany&amp;CIK=0001059556&amp;type=4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Robert Fauber (operaciones del 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https://www.sec.gov/Archives/edgar/data/1059556/000148115326000018/wk-form4_1790971440.xml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resultados del 4T24 y guía de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https://www.sec.gov/Archives/edgar/data/1059556/000105955625000021/a4q24earningsrelease.htm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resultados del 4T23 y guía de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https://www.sec.gov/Archives/edgar/data/1059556/000105955624000012/a4q23earningsrelease.htm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resultados del 4T22 y guía de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https://www.sec.gov/Archives/edgar/data/1059556/000105955623000005/a4q22earningsprnew.htm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resultados del 4T21, guía de 2022 y guía a medio plazo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https://www.sec.gov/Archives/edgar/data/1059556/000115752322000174/a52577033ex99_1.htm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resultados del 4T20 y guía de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https://www.sec.gov/Archives/edgar/data/1059556/000115752321000173/a52378147ex99_1.htm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nombramiento de Lisa P. Sawicki como consejera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https://www.sec.gov/Archives/edgar/data/1059556/000105955626000004/mco-20260108.htm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nombramiento de Sumit Dhawan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https://www.sec.gov/Archives/edgar/data/1059556/000105955625000159/mco-20250715.htm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dimisión del consejero Lloyd W. Howell, Jr.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https://www.sec.gov/Archives/edgar/data/1059556/000119312525161475/d864647d8k.htm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dimisión de Stephen Tulenko, presidente de Moody's Analytics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https://www.sec.gov/Archives/edgar/data/1059556/000119312525185346/d926227d8k.htm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y nota de prensa: Christina Kosmowski, consejera delegada de Moody's Analytics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https://www.sec.gov/Archives/edgar/data/1059556/000105955626000028/pressreleaseapril2026.htm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nombramiento de Keith Demmings como consejero (efectivo el 1-nov-2026)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https://www.sec.gov/Archives/edgar/data/1059556/000105955626000038/mco-20260811.htm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8-K/A: retirada de Jorge Bermudez y nueva presidencia de la comisión de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https://www.sec.gov/Archives/edgar/data/1059556/000105955626000041/mco-20260811.htm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política de indemnizaciones en efectivo de los directivos (límite de 2,99 veces)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https://www.sec.gov/Archives/edgar/data/1059556/000105955625000012/mco-20250211.htm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relevo del director de contabilidad (Caroline Sullivan por Jason Phillips)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https://www.sec.gov/Archives/edgar/data/1059556/000105955625000080/mco-20250305.htm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Berkshire Hathaway: 13F-HR a 30-jun-2026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https://www.sec.gov/Archives/edgar/data/1067983/000119312526352200/56757.xml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Formulario 10-K de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https://www.sec.gov/Archives/edgar/data/1059556/000105955620000005/mco-20191231.htm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Formulario 10-K de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https://www.sec.gov/Archives/edgar/data/1059556/000119312519048576/d679514d10k.htm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MCO, S&amp;P 500 (^GSPC) e iShares US Financials (IYF)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MCO: cotización intradía con preapertura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MCO y comparables: estimaciones de BPA de consenso (earnings trend), capitalización y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https://finance.yahoo.com/quote/MCO/analysis/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Stock Forecast and Price Target: recent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https://www.marketbeat.com/stocks/NYSE/MCO/forecast/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shares fall on weak 2026 forecast, AI concerns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https://www.investing.com/news/economy-news/sp-global-forecasts-2026-profit-below-estimates-shares-plunge-4496477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bolsas y datos financieros, tabla de comparables (repositorio propio)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 (MarketScreener y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https://www.marketscreener.com/quote/stock/INTERCONTINENTAL-EXCHANGE-14931198/finances/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https://www.marketscreener.com/quote/stock/CME-GROUP-INC-3782767/finances/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https://www.marketscreener.com/quote/stock/NASDAQ-INC-10173/finances/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https://www.marketscreener.com/quote/stock/FACTSET-RESEARCH-SYSTEMS--12584/finances/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https://www.marketscreener.com/quote/stock/LONDON-STOCK-EXCHANGE-GRO-4005918/finances/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https://www.marketscreener.com/quote/stock/THOMSON-REUTERS-CORPORATI-47342166/finances/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(ICE)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(CME)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https://stockanalysis.com/stocks/cme/statistics/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(NDAQ)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https://stockanalysis.com/stocks/ndaq/statistics/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(FDS)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https://stockanalysis.com/stocks/fds/statistics/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(LON:LSEG)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https://stockanalysis.com/quote/lon/LSEG/statistics/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(TRI)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SPGI, MSCI, ICE, CME, NDAQ, VRSK, TRI, FDS, LSEG.L y GBPUSD (13 a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https://finance.yahoo.com/quote/SPGI/history/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folleto definitivo de la fusión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https://www.sec.gov/Archives/edgar/data/1278021/000119312526395678/d171374ddefm14a.htm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formulario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https://www.sec.gov/Archives/edgar/data/1278021/000119312526340249/mktx-20260630.htm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agrees to acquire With Intelligence from Motive Partners for $1.8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Motive Partners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https://motivepartners.com/news/s-p-global-agrees-to-acquire-with-intelligence-from-motive-partners-for-1-8-billion-establishing-its-leadership-in-private-markets-intelligence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acuerdo de compra de Preqin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https://www.sec.gov/Archives/edgar/data/1364742/000119312524172680/d797846d8k.htm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https://www.sec.gov/Archives/edgar/data/1598014/000095010320023248/dp141981_ex9901.htm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formulario 10-K del ejercicio cerrado el 30-nov-2020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https://www.sec.gov/Archives/edgar/data/1598014/000159801421000015/info-20201130.htm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all-share acquisition of Refinitiv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https://www.lseg.com/content/dam/lseg/en_us/documents/investor-relations/mergers-and-acquisitions/refinitiv/lseg-refinitiv-acquisition-all-share-proposed-rns-01aug2019.pdf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formulario 10-K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https://www.sec.gov/Archives/edgar/data/1571949/000157194924000007/ice-20231231.htm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MCO: artículos y noticias del valor (canal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https://seekingalpha.com/api/sa/combined/MCO.xml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de mensajes de $MCO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https://api.stocktwits.com/api/2/streams/symbol/MCO.json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is its credit-ratings duopoly moat unbreakable?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https://www.insidermonkey.com/news/moodys-mco-is-its-credit-ratings-duopoly-moat-unbreakable-1848040/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MCO a buy or a sell? The bull and bear case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https://walnutinvest.com/stocks/mco/is-it-a-buy-or-sell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 Corporation stock fell 23% in early 2026: why the private credit boom could fuel a rebound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https://www.tikr.com/blog/moody-corporation-stock-fell-23-in-early-2026-why-the-private-credit-boom-could-fuel-a-63-rebound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Moody's have rated debt for more than 100 years. Here's why that moat still holds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https://www.fool.com/investing/2026/09/28/sp-global-and-moodys-have-rated-debt-for-more-than/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price target cut to $575.00 by analysts at Royal Bank of Canada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https://www.marketbeat.com/instant-alerts/analyst-moodys-nyse-mco-price-target-cut-to-57500-by-analysts-at-royal-bank-of-canada-2026-10-16/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stock price target cut by JPMorgan Chase &amp; 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https://www.marketbeat.com/instant-alerts/analyst-moodys-nyse-mco-stock-price-target-cut-by-jpmorgan-chase-co-2026-10-14/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BMO Capital Markets has lowered expectations for Moody's stock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https://www.marketbeat.com/instant-alerts/analyst-bmo-capital-markets-has-lowered-expectations-for-moodys-nyse-mco-stock-price-2026-10-13/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given new $470.00 price target at Morgan Stanley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https://www.marketbeat.com/instant-alerts/analyst-moodys-nyse-mco-given-new-47000-price-target-at-morgan-stanley-2026-10-07/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MCO: cotización de cinco minutos con preapertura (21-oct-2026, 7:28 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https://query1.finance.yahoo.com/v8/finance/chart/MCO?interval=5m&amp;range=1d&amp;includePrePost=true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riesgos</w:t>
      </w:r>
      <w:r>
        <w:t xml:space="preserve"> · Generado el 21 oct 2026.</w:t>
      </w:r>
    </w:p>
    <w:p>
      <w:pPr>
        <w:pStyle w:val="Nota"/>
        <w:spacing w:after="100"/>
      </w:pPr>
      <w:r>
        <w:t xml:space="preserve">Cifras en millones de USD, ejercicio a 31 de diciembre, US GAAP. Cuentas anuales del XBRL de los 10-K (2016-2025) y trimestres de los 8-K de resultados [1, 2, 3, 4, 5, 6, 7, 8, 9]. El 10-Q del 3T26 aún no está: las asociadas y las pensiones del puente son de junio [6]. El BPA del objetivo a 12 meses y su historia van en la base AJUSTADA de la empresa (sin amortización de intangibles comprados ni reestructuración), la del consenso; el BPA publicado de 2026 lleva 296 M de plusvalías por la venta de Regulatory Solutions y Learning Solutions [1]. El patrimonio contable es pequeño por las recompras: el ROE no significa nada. Precio: cierre del 20-oct-2026 (475,35 USD), antes de los resultados; en la preapertura del 21-oct cotizaba a 462 USD (−2,8 %) a las 7:28 ET [46].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Moody's Corporation (MCO)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475,35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(402,28 – 546,88)</c:v>
                </c:pt>
                <c:pt idx="1">
                  <c:v>Precio objetivo de los analistas (470,00 – 600,00)</c:v>
                </c:pt>
                <c:pt idx="2">
                  <c:v>Comparables: EV/EBITDA NTM (348,01 – 463,80)</c:v>
                </c:pt>
                <c:pt idx="3">
                  <c:v>Comparables: PER NTM (333,01 – 421,32)</c:v>
                </c:pt>
                <c:pt idx="4">
                  <c:v>Transacciones precedentes (EV/EBITDA) (286,79 – 591,06)</c:v>
                </c:pt>
                <c:pt idx="5">
                  <c:v>DCF (WACC y g ± 0,5) (293,18 – 334,35)</c:v>
                </c:pt>
                <c:pt idx="6">
                  <c:v>Escenarios (bajista – alcista) (236,63 – 367,83)</c:v>
                </c:pt>
                <c:pt idx="7">
                  <c:v>DCF con la prima implícita del mercado (4,2 %)</c:v>
                </c:pt>
                <c:pt idx="8">
                  <c:v>Precio actual (475,35)</c:v>
                </c:pt>
              </c:strCache>
            </c:strRef>
          </c:cat>
          <c:val>
            <c:numRef>
              <c:f>Hoja1!$B$2:$B$10</c:f>
              <c:numCache>
                <c:formatCode>#,##0</c:formatCode>
                <c:ptCount val="9"/>
                <c:pt idx="0">
                  <c:v>402.28</c:v>
                </c:pt>
                <c:pt idx="1">
                  <c:v>470</c:v>
                </c:pt>
                <c:pt idx="2">
                  <c:v>348.01</c:v>
                </c:pt>
                <c:pt idx="3">
                  <c:v>333.01</c:v>
                </c:pt>
                <c:pt idx="4">
                  <c:v>286.79</c:v>
                </c:pt>
                <c:pt idx="5">
                  <c:v>293.18</c:v>
                </c:pt>
                <c:pt idx="6">
                  <c:v>236.63</c:v>
                </c:pt>
                <c:pt idx="7">
                  <c:v>341.91</c:v>
                </c:pt>
                <c:pt idx="8">
                  <c:v>472.97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(402,28 – 546,88)</c:v>
                </c:pt>
                <c:pt idx="1">
                  <c:v>Precio objetivo de los analistas (470,00 – 600,00)</c:v>
                </c:pt>
                <c:pt idx="2">
                  <c:v>Comparables: EV/EBITDA NTM (348,01 – 463,80)</c:v>
                </c:pt>
                <c:pt idx="3">
                  <c:v>Comparables: PER NTM (333,01 – 421,32)</c:v>
                </c:pt>
                <c:pt idx="4">
                  <c:v>Transacciones precedentes (EV/EBITDA) (286,79 – 591,06)</c:v>
                </c:pt>
                <c:pt idx="5">
                  <c:v>DCF (WACC y g ± 0,5) (293,18 – 334,35)</c:v>
                </c:pt>
                <c:pt idx="6">
                  <c:v>Escenarios (bajista – alcista) (236,63 – 367,83)</c:v>
                </c:pt>
                <c:pt idx="7">
                  <c:v>DCF con la prima implícita del mercado (4,2 %)</c:v>
                </c:pt>
                <c:pt idx="8">
                  <c:v>Precio actual (475,35)</c:v>
                </c:pt>
              </c:strCache>
            </c:strRef>
          </c:cat>
          <c:val>
            <c:numRef>
              <c:f>Hoja1!$C$2:$C$10</c:f>
              <c:numCache>
                <c:formatCode>#,##0</c:formatCode>
                <c:ptCount val="9"/>
                <c:pt idx="0">
                  <c:v>144.60000000000002</c:v>
                </c:pt>
                <c:pt idx="1">
                  <c:v>130</c:v>
                </c:pt>
                <c:pt idx="2">
                  <c:v>115.79000000000002</c:v>
                </c:pt>
                <c:pt idx="3">
                  <c:v>88.31</c:v>
                </c:pt>
                <c:pt idx="4">
                  <c:v>304.2699999999999</c:v>
                </c:pt>
                <c:pt idx="5">
                  <c:v>41.170000000000016</c:v>
                </c:pt>
                <c:pt idx="6">
                  <c:v>131.2</c:v>
                </c:pt>
                <c:pt idx="7">
                  <c:v>41.35999999999996</c:v>
                </c:pt>
                <c:pt idx="8">
                  <c:v>4.759999999999991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Moody's Analytics (MA)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2413</c:v>
                </c:pt>
                <c:pt idx="1">
                  <c:v>2777</c:v>
                </c:pt>
                <c:pt idx="2">
                  <c:v>3069</c:v>
                </c:pt>
                <c:pt idx="3">
                  <c:v>3308</c:v>
                </c:pt>
                <c:pt idx="4">
                  <c:v>3611</c:v>
                </c:pt>
              </c:numCache>
            </c:numRef>
          </c:val>
        </c:ser>
        <c:ser>
          <c:idx val="1"/>
          <c:order val="1"/>
          <c:tx>
            <c:strRef>
              <c:f>Hoja1!$C$1</c:f>
              <c:strCache>
                <c:ptCount val="1"/>
                <c:pt idx="0">
                  <c:v>Moody's Investors Service (MIS)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3977</c:v>
                </c:pt>
                <c:pt idx="1">
                  <c:v>2873</c:v>
                </c:pt>
                <c:pt idx="2">
                  <c:v>3046</c:v>
                </c:pt>
                <c:pt idx="3">
                  <c:v>3986</c:v>
                </c:pt>
                <c:pt idx="4">
                  <c:v>4317</c:v>
                </c:pt>
              </c:numCache>
            </c:numRef>
          </c:val>
        </c:ser>
        <c:ser>
          <c:idx val="2"/>
          <c:order val="2"/>
          <c:tx>
            <c:strRef>
              <c:f>Hoja1!$D$1</c:f>
              <c:strCache>
                <c:ptCount val="1"/>
                <c:pt idx="0">
                  <c:v>Eliminaciones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-172</c:v>
                </c:pt>
                <c:pt idx="1">
                  <c:v>-182</c:v>
                </c:pt>
                <c:pt idx="2">
                  <c:v>-199</c:v>
                </c:pt>
                <c:pt idx="3">
                  <c:v>-206</c:v>
                </c:pt>
                <c:pt idx="4">
                  <c:v>-210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Moody's Analytics (MA)</c:v>
                </c:pt>
                <c:pt idx="1">
                  <c:v>Moody's Investors Service (MIS)</c:v>
                </c:pt>
                <c:pt idx="2">
                  <c:v>Eliminaciones</c:v>
                </c:pt>
              </c:strCache>
            </c:strRef>
          </c:cat>
          <c:val>
            <c:numRef>
              <c:f>Hoja1!$B$2:$B$4</c:f>
              <c:numCache>
                <c:formatCode>General</c:formatCode>
                <c:ptCount val="3"/>
                <c:pt idx="0">
                  <c:v>46.8</c:v>
                </c:pt>
                <c:pt idx="1">
                  <c:v>55.9</c:v>
                </c:pt>
                <c:pt idx="2">
                  <c:v>-2.7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Europa, Oriente Medio y África</c:v>
                </c:pt>
                <c:pt idx="2">
                  <c:v>Asia-Pacífico</c:v>
                </c:pt>
                <c:pt idx="3">
                  <c:v>Resto de América</c:v>
                </c:pt>
              </c:strCache>
            </c:strRef>
          </c:cat>
          <c:val>
            <c:numRef>
              <c:f>Hoja1!$B$2:$B$5</c:f>
              <c:numCache>
                <c:formatCode>0"%"</c:formatCode>
                <c:ptCount val="4"/>
                <c:pt idx="0">
                  <c:v>54</c:v>
                </c:pt>
                <c:pt idx="1">
                  <c:v>30.8</c:v>
                </c:pt>
                <c:pt idx="2">
                  <c:v>9.1</c:v>
                </c:pt>
                <c:pt idx="3">
                  <c:v>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calificación de Moody's MIS + S&amp;P Global Ratings, con el canon entre divisiones; aproximación al mercado de calificaciones))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c:formatCode>
                <c:ptCount val="5"/>
                <c:pt idx="0">
                  <c:v>8074</c:v>
                </c:pt>
                <c:pt idx="1">
                  <c:v>5923</c:v>
                </c:pt>
                <c:pt idx="2">
                  <c:v>6378</c:v>
                </c:pt>
                <c:pt idx="3">
                  <c:v>8356</c:v>
                </c:pt>
                <c:pt idx="4">
                  <c:v>9041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1</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Moody's</c:v>
                </c:pt>
                <c:pt idx="1">
                  <c:v>S&amp;P Global</c:v>
                </c:pt>
                <c:pt idx="2">
                  <c:v>Fitch Ratings</c:v>
                </c:pt>
                <c:pt idx="3">
                  <c:v>Morningstar (DBRS Morningstar)</c:v>
                </c:pt>
                <c:pt idx="4">
                  <c:v>KBRA</c:v>
                </c:pt>
                <c:pt idx="5">
                  <c:v>London Stock Exchange Group (LSEG)</c:v>
                </c:pt>
                <c:pt idx="6">
                  <c:v>Verisk Analytics</c:v>
                </c:pt>
                <c:pt idx="7">
                  <c:v>FactSet Research Systems</c:v>
                </c:pt>
                <c:pt idx="8">
                  <c:v>Bloomberg L.P.</c:v>
                </c:pt>
              </c:strCache>
            </c:strRef>
          </c:cat>
          <c:val>
            <c:numRef>
              <c:f>Hoja1!$B$2:$B$10</c:f>
              <c:numCache>
                <c:formatCode>0.0"%"</c:formatCode>
                <c:ptCount val="9"/>
                <c:pt idx="0">
                  <c:v>43.4</c:v>
                </c:pt>
                <c:pt idx="1">
                  <c:v>42.2</c:v>
                </c:pt>
                <c:pt idx="3">
                  <c:v>21.5</c:v>
                </c:pt>
                <c:pt idx="5">
                  <c:v>23.7</c:v>
                </c:pt>
                <c:pt idx="6">
                  <c:v>43.7</c:v>
                </c:pt>
                <c:pt idx="7">
                  <c:v>28.3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4829</c:v>
                </c:pt>
                <c:pt idx="1">
                  <c:v>5371</c:v>
                </c:pt>
                <c:pt idx="2">
                  <c:v>6218</c:v>
                </c:pt>
                <c:pt idx="3">
                  <c:v>5468</c:v>
                </c:pt>
                <c:pt idx="4">
                  <c:v>5916</c:v>
                </c:pt>
                <c:pt idx="5">
                  <c:v>7088</c:v>
                </c:pt>
                <c:pt idx="6">
                  <c:v>7718</c:v>
                </c:pt>
                <c:pt idx="7">
                  <c:v>8297</c:v>
                </c:pt>
                <c:pt idx="8">
                  <c:v>8878</c:v>
                </c:pt>
                <c:pt idx="9">
                  <c:v>9499</c:v>
                </c:pt>
                <c:pt idx="10">
                  <c:v>10117</c:v>
                </c:pt>
                <c:pt idx="11">
                  <c:v>10723</c:v>
                </c:pt>
                <c:pt idx="12">
                  <c:v>11313</c:v>
                </c:pt>
                <c:pt idx="13">
                  <c:v>11879</c:v>
                </c:pt>
                <c:pt idx="14">
                  <c:v>12414</c:v>
                </c:pt>
                <c:pt idx="15">
                  <c:v>12910</c:v>
                </c:pt>
                <c:pt idx="16">
                  <c:v>13426</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2198</c:v>
                </c:pt>
                <c:pt idx="1">
                  <c:v>2608</c:v>
                </c:pt>
                <c:pt idx="2">
                  <c:v>3101</c:v>
                </c:pt>
                <c:pt idx="3">
                  <c:v>2214</c:v>
                </c:pt>
                <c:pt idx="4">
                  <c:v>2510</c:v>
                </c:pt>
                <c:pt idx="5">
                  <c:v>3306</c:v>
                </c:pt>
                <c:pt idx="6">
                  <c:v>3831</c:v>
                </c:pt>
                <c:pt idx="7">
                  <c:v>4148</c:v>
                </c:pt>
                <c:pt idx="8">
                  <c:v>4528</c:v>
                </c:pt>
                <c:pt idx="9">
                  <c:v>4892</c:v>
                </c:pt>
                <c:pt idx="10">
                  <c:v>5261</c:v>
                </c:pt>
                <c:pt idx="11">
                  <c:v>5630</c:v>
                </c:pt>
                <c:pt idx="12">
                  <c:v>5939</c:v>
                </c:pt>
                <c:pt idx="13">
                  <c:v>6296</c:v>
                </c:pt>
                <c:pt idx="14">
                  <c:v>6579</c:v>
                </c:pt>
                <c:pt idx="15">
                  <c:v>6842</c:v>
                </c:pt>
                <c:pt idx="16">
                  <c:v>7116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71.3</c:v>
                </c:pt>
                <c:pt idx="1">
                  <c:v>72.5</c:v>
                </c:pt>
                <c:pt idx="2">
                  <c:v>73.7</c:v>
                </c:pt>
                <c:pt idx="3">
                  <c:v>70.5</c:v>
                </c:pt>
                <c:pt idx="4">
                  <c:v>71.5</c:v>
                </c:pt>
                <c:pt idx="5">
                  <c:v>72.6</c:v>
                </c:pt>
                <c:pt idx="6">
                  <c:v>74.4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45.5</c:v>
                </c:pt>
                <c:pt idx="1">
                  <c:v>48.6</c:v>
                </c:pt>
                <c:pt idx="2">
                  <c:v>49.9</c:v>
                </c:pt>
                <c:pt idx="3">
                  <c:v>40.5</c:v>
                </c:pt>
                <c:pt idx="4">
                  <c:v>42.4</c:v>
                </c:pt>
                <c:pt idx="5">
                  <c:v>46.6</c:v>
                </c:pt>
                <c:pt idx="6">
                  <c:v>49.6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41.4</c:v>
                </c:pt>
                <c:pt idx="1">
                  <c:v>44.5</c:v>
                </c:pt>
                <c:pt idx="2">
                  <c:v>45.7</c:v>
                </c:pt>
                <c:pt idx="3">
                  <c:v>34.4</c:v>
                </c:pt>
                <c:pt idx="4">
                  <c:v>36.1</c:v>
                </c:pt>
                <c:pt idx="5">
                  <c:v>40.6</c:v>
                </c:pt>
                <c:pt idx="6">
                  <c:v>43.4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29.4</c:v>
                </c:pt>
                <c:pt idx="1">
                  <c:v>33.1</c:v>
                </c:pt>
                <c:pt idx="2">
                  <c:v>35.6</c:v>
                </c:pt>
                <c:pt idx="3">
                  <c:v>25.1</c:v>
                </c:pt>
                <c:pt idx="4">
                  <c:v>27.2</c:v>
                </c:pt>
                <c:pt idx="5">
                  <c:v>29</c:v>
                </c:pt>
                <c:pt idx="6">
                  <c:v>31.9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13</c:v>
                </c:pt>
                <c:pt idx="1">
                  <c:v>7.7</c:v>
                </c:pt>
                <c:pt idx="2">
                  <c:v>4.5</c:v>
                </c:pt>
                <c:pt idx="3">
                  <c:v>10.7</c:v>
                </c:pt>
                <c:pt idx="4">
                  <c:v>13</c:v>
                </c:pt>
                <c:pt idx="5">
                  <c:v>8.1</c:v>
                </c:pt>
                <c:pt idx="6">
                  <c:v>15.1</c:v>
                </c:pt>
                <c:pt idx="7">
                  <c:v>0.8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3">
                  <c:v>9</c:v>
                </c:pt>
                <c:pt idx="4">
                  <c:v>11</c:v>
                </c:pt>
                <c:pt idx="5">
                  <c:v>6.2</c:v>
                </c:pt>
                <c:pt idx="6">
                  <c:v>16</c:v>
                </c:pt>
                <c:pt idx="7">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107</c:v>
                </c:pt>
                <c:pt idx="1">
                  <c:v>97</c:v>
                </c:pt>
                <c:pt idx="2">
                  <c:v>101</c:v>
                </c:pt>
                <c:pt idx="3">
                  <c:v>110</c:v>
                </c:pt>
                <c:pt idx="4">
                  <c:v>102</c:v>
                </c:pt>
                <c:pt idx="5">
                  <c:v>93</c:v>
                </c:pt>
                <c:pt idx="6">
                  <c:v>96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10</c:v>
                </c:pt>
                <c:pt idx="1">
                  <c:v>10</c:v>
                </c:pt>
                <c:pt idx="2">
                  <c:v>10</c:v>
                </c:pt>
                <c:pt idx="3">
                  <c:v>12</c:v>
                </c:pt>
                <c:pt idx="4">
                  <c:v>5</c:v>
                </c:pt>
                <c:pt idx="5">
                  <c:v>10</c:v>
                </c:pt>
                <c:pt idx="6">
                  <c:v>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1606</c:v>
                </c:pt>
                <c:pt idx="1">
                  <c:v>2043</c:v>
                </c:pt>
                <c:pt idx="2">
                  <c:v>1866</c:v>
                </c:pt>
                <c:pt idx="3">
                  <c:v>1191</c:v>
                </c:pt>
                <c:pt idx="4">
                  <c:v>1880</c:v>
                </c:pt>
                <c:pt idx="5">
                  <c:v>2521</c:v>
                </c:pt>
                <c:pt idx="6">
                  <c:v>2575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1422</c:v>
                </c:pt>
                <c:pt idx="1">
                  <c:v>1778</c:v>
                </c:pt>
                <c:pt idx="2">
                  <c:v>2214</c:v>
                </c:pt>
                <c:pt idx="3">
                  <c:v>1374</c:v>
                </c:pt>
                <c:pt idx="4">
                  <c:v>1607</c:v>
                </c:pt>
                <c:pt idx="5">
                  <c:v>2058</c:v>
                </c:pt>
                <c:pt idx="6">
                  <c:v>2459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34.4</c:v>
                </c:pt>
                <c:pt idx="1">
                  <c:v>37.4</c:v>
                </c:pt>
                <c:pt idx="2">
                  <c:v>32.4</c:v>
                </c:pt>
                <c:pt idx="3">
                  <c:v>17.5</c:v>
                </c:pt>
                <c:pt idx="4">
                  <c:v>21.3</c:v>
                </c:pt>
                <c:pt idx="5">
                  <c:v>25.7</c:v>
                </c:pt>
                <c:pt idx="6">
                  <c:v>30</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10.9</c:v>
                </c:pt>
                <c:pt idx="1">
                  <c:v>10.9</c:v>
                </c:pt>
                <c:pt idx="2">
                  <c:v>10.9</c:v>
                </c:pt>
                <c:pt idx="3">
                  <c:v>10.9</c:v>
                </c:pt>
                <c:pt idx="4">
                  <c:v>10.9</c:v>
                </c:pt>
                <c:pt idx="5">
                  <c:v>10.9</c:v>
                </c:pt>
                <c:pt idx="6">
                  <c:v>10.9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232.4</c:v>
                </c:pt>
                <c:pt idx="1">
                  <c:v>163</c:v>
                </c:pt>
                <c:pt idx="2">
                  <c:v>103.1</c:v>
                </c:pt>
                <c:pt idx="3">
                  <c:v>52.4</c:v>
                </c:pt>
                <c:pt idx="4">
                  <c:v>55.1</c:v>
                </c:pt>
                <c:pt idx="5">
                  <c:v>59.8</c:v>
                </c:pt>
                <c:pt idx="6">
                  <c:v>64.5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1.71</c:v>
                </c:pt>
                <c:pt idx="1">
                  <c:v>1.47</c:v>
                </c:pt>
                <c:pt idx="2">
                  <c:v>1.81</c:v>
                </c:pt>
                <c:pt idx="3">
                  <c:v>2.54</c:v>
                </c:pt>
                <c:pt idx="4">
                  <c:v>1.94</c:v>
                </c:pt>
                <c:pt idx="5">
                  <c:v>1.52</c:v>
                </c:pt>
                <c:pt idx="6">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0</c:v>
                </c:pt>
                <c:pt idx="1">
                  <c:v>587</c:v>
                </c:pt>
                <c:pt idx="2">
                  <c:v>500</c:v>
                </c:pt>
                <c:pt idx="3">
                  <c:v>400</c:v>
                </c:pt>
                <c:pt idx="4">
                  <c:v>881</c:v>
                </c:pt>
                <c:pt idx="5">
                  <c:v>4800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162</c:v>
                </c:pt>
                <c:pt idx="1">
                  <c:v>897</c:v>
                </c:pt>
                <c:pt idx="2">
                  <c:v>2179</c:v>
                </c:pt>
                <c:pt idx="3">
                  <c:v>97</c:v>
                </c:pt>
                <c:pt idx="4">
                  <c:v>3</c:v>
                </c:pt>
                <c:pt idx="5">
                  <c:v>221</c:v>
                </c:pt>
                <c:pt idx="6">
                  <c:v>227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378</c:v>
                </c:pt>
                <c:pt idx="1">
                  <c:v>420</c:v>
                </c:pt>
                <c:pt idx="2">
                  <c:v>463</c:v>
                </c:pt>
                <c:pt idx="3">
                  <c:v>515</c:v>
                </c:pt>
                <c:pt idx="4">
                  <c:v>564</c:v>
                </c:pt>
                <c:pt idx="5">
                  <c:v>620</c:v>
                </c:pt>
                <c:pt idx="6">
                  <c:v>701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1068</c:v>
                </c:pt>
                <c:pt idx="1">
                  <c:v>607</c:v>
                </c:pt>
                <c:pt idx="2">
                  <c:v>833</c:v>
                </c:pt>
                <c:pt idx="3">
                  <c:v>1070</c:v>
                </c:pt>
                <c:pt idx="4">
                  <c:v>561</c:v>
                </c:pt>
                <c:pt idx="5">
                  <c:v>1383</c:v>
                </c:pt>
                <c:pt idx="6">
                  <c:v>1706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8</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Berkshire Hathaway (Warren Buffett)</c:v>
                </c:pt>
                <c:pt idx="1">
                  <c:v>The Vanguard Group</c:v>
                </c:pt>
                <c:pt idx="2">
                  <c:v>BlackRock</c:v>
                </c:pt>
                <c:pt idx="3">
                  <c:v>TCI Fund Management (Christopher Hohn)</c:v>
                </c:pt>
                <c:pt idx="4">
                  <c:v>Consejeros y directivos (13 personas)</c:v>
                </c:pt>
              </c:strCache>
            </c:strRef>
          </c:cat>
          <c:val>
            <c:numRef>
              <c:f>Hoja1!$B$2:$B$6</c:f>
              <c:numCache>
                <c:formatCode>0.0"%"</c:formatCode>
                <c:ptCount val="5"/>
                <c:pt idx="0">
                  <c:v>14.2</c:v>
                </c:pt>
                <c:pt idx="1">
                  <c:v>7.98</c:v>
                </c:pt>
                <c:pt idx="2">
                  <c:v>7.28</c:v>
                </c:pt>
                <c:pt idx="3">
                  <c:v>6.79</c:v>
                </c:pt>
                <c:pt idx="4">
                  <c:v>0.14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c:v>
                </c:pt>
                <c:pt idx="1">
                  <c:v>56.6</c:v>
                </c:pt>
                <c:pt idx="2">
                  <c:v>-5.1</c:v>
                </c:pt>
                <c:pt idx="3">
                  <c:v>69.5</c:v>
                </c:pt>
                <c:pt idx="4">
                  <c:v>22.3</c:v>
                </c:pt>
                <c:pt idx="5">
                  <c:v>34.6</c:v>
                </c:pt>
                <c:pt idx="6">
                  <c:v>-28.7</c:v>
                </c:pt>
                <c:pt idx="7">
                  <c:v>40.2</c:v>
                </c:pt>
                <c:pt idx="8">
                  <c:v>21.2</c:v>
                </c:pt>
                <c:pt idx="9">
                  <c:v>7.9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3">
                  <c:v>22.5</c:v>
                </c:pt>
                <c:pt idx="4">
                  <c:v>22.6</c:v>
                </c:pt>
                <c:pt idx="5">
                  <c:v>25.5</c:v>
                </c:pt>
                <c:pt idx="6">
                  <c:v>25.9</c:v>
                </c:pt>
                <c:pt idx="7">
                  <c:v>30.6</c:v>
                </c:pt>
                <c:pt idx="8">
                  <c:v>27.7</c:v>
                </c:pt>
                <c:pt idx="9">
                  <c:v>25.2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25.4</c:v>
                </c:pt>
                <c:pt idx="1">
                  <c:v>25.4</c:v>
                </c:pt>
                <c:pt idx="2">
                  <c:v>25.4</c:v>
                </c:pt>
                <c:pt idx="3">
                  <c:v>25.4</c:v>
                </c:pt>
                <c:pt idx="4">
                  <c:v>25.4</c:v>
                </c:pt>
                <c:pt idx="5">
                  <c:v>25.4</c:v>
                </c:pt>
                <c:pt idx="6">
                  <c:v>25.4</c:v>
                </c:pt>
                <c:pt idx="7">
                  <c:v>25.4</c:v>
                </c:pt>
                <c:pt idx="8">
                  <c:v>25.4</c:v>
                </c:pt>
                <c:pt idx="9">
                  <c:v>25.4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Moody's</c:v>
                </c:pt>
                <c:pt idx="1">
                  <c:v>S&amp;P Global</c:v>
                </c:pt>
                <c:pt idx="2">
                  <c:v>MSCI</c:v>
                </c:pt>
                <c:pt idx="3">
                  <c:v>Intercontinental Exchange</c:v>
                </c:pt>
                <c:pt idx="4">
                  <c:v>CME Group</c:v>
                </c:pt>
                <c:pt idx="5">
                  <c:v>Nasdaq</c:v>
                </c:pt>
                <c:pt idx="6">
                  <c:v>Verisk Analytics</c:v>
                </c:pt>
                <c:pt idx="7">
                  <c:v>Thomson Reuters</c:v>
                </c:pt>
                <c:pt idx="8">
                  <c:v>London Stock Exchange Group</c:v>
                </c:pt>
                <c:pt idx="9">
                  <c:v>FactSet Research Systems</c:v>
                </c:pt>
              </c:strCache>
            </c:strRef>
          </c:cat>
          <c:val>
            <c:numRef>
              <c:f>Hoja1!$B$2:$B$11</c:f>
              <c:numCache>
                <c:formatCode>0.0"x"</c:formatCode>
                <c:ptCount val="10"/>
                <c:pt idx="0">
                  <c:v>18.7</c:v>
                </c:pt>
                <c:pt idx="1">
                  <c:v>18.3</c:v>
                </c:pt>
                <c:pt idx="2">
                  <c:v>21.2</c:v>
                </c:pt>
                <c:pt idx="3">
                  <c:v>14</c:v>
                </c:pt>
                <c:pt idx="4">
                  <c:v>20.2</c:v>
                </c:pt>
                <c:pt idx="5">
                  <c:v>16.3</c:v>
                </c:pt>
                <c:pt idx="6">
                  <c:v>15.1</c:v>
                </c:pt>
                <c:pt idx="7">
                  <c:v>14.6</c:v>
                </c:pt>
                <c:pt idx="8">
                  <c:v>9.8</c:v>
                </c:pt>
                <c:pt idx="9">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Moody's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6.4</c:v>
                </c:pt>
              </c:numCache>
            </c:numRef>
          </c:xVal>
          <c:yVal>
            <c:numRef>
              <c:f>Hoja1!$C$2</c:f>
              <c:numCache>
                <c:formatCode>0.0"x"</c:formatCode>
                <c:ptCount val="1"/>
                <c:pt idx="0">
                  <c:v>18.7</c:v>
                </c:pt>
              </c:numCache>
            </c:numRef>
          </c:yVal>
          <c:smooth val="0"/>
        </c:ser>
        <c:ser>
          <c:idx val="1"/>
          <c:order val="1"/>
          <c:tx>
            <c:strRef>
              <c:f>Hoja1!$A$3</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7.6</c:v>
                </c:pt>
              </c:numCache>
            </c:numRef>
          </c:xVal>
          <c:yVal>
            <c:numRef>
              <c:f>Hoja1!$C$3</c:f>
              <c:numCache>
                <c:formatCode>0.0"x"</c:formatCode>
                <c:ptCount val="1"/>
                <c:pt idx="0">
                  <c:v>18.3</c:v>
                </c:pt>
              </c:numCache>
            </c:numRef>
          </c:yVal>
          <c:smooth val="0"/>
        </c:ser>
        <c:ser>
          <c:idx val="2"/>
          <c:order val="2"/>
          <c:tx>
            <c:strRef>
              <c:f>Hoja1!$A$4</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10.2</c:v>
                </c:pt>
              </c:numCache>
            </c:numRef>
          </c:xVal>
          <c:yVal>
            <c:numRef>
              <c:f>Hoja1!$C$4</c:f>
              <c:numCache>
                <c:formatCode>0.0"x"</c:formatCode>
                <c:ptCount val="1"/>
                <c:pt idx="0">
                  <c:v>21.2</c:v>
                </c:pt>
              </c:numCache>
            </c:numRef>
          </c:yVal>
          <c:smooth val="0"/>
        </c:ser>
        <c:ser>
          <c:idx val="3"/>
          <c:order val="3"/>
          <c:tx>
            <c:strRef>
              <c:f>Hoja1!$A$5</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8.1</c:v>
                </c:pt>
              </c:numCache>
            </c:numRef>
          </c:xVal>
          <c:yVal>
            <c:numRef>
              <c:f>Hoja1!$C$5</c:f>
              <c:numCache>
                <c:formatCode>0.0"x"</c:formatCode>
                <c:ptCount val="1"/>
                <c:pt idx="0">
                  <c:v>14</c:v>
                </c:pt>
              </c:numCache>
            </c:numRef>
          </c:yVal>
          <c:smooth val="0"/>
        </c:ser>
        <c:ser>
          <c:idx val="4"/>
          <c:order val="4"/>
          <c:tx>
            <c:strRef>
              <c:f>Hoja1!$A$6</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5.9</c:v>
                </c:pt>
              </c:numCache>
            </c:numRef>
          </c:xVal>
          <c:yVal>
            <c:numRef>
              <c:f>Hoja1!$C$6</c:f>
              <c:numCache>
                <c:formatCode>0.0"x"</c:formatCode>
                <c:ptCount val="1"/>
                <c:pt idx="0">
                  <c:v>20.2</c:v>
                </c:pt>
              </c:numCache>
            </c:numRef>
          </c:yVal>
          <c:smooth val="0"/>
        </c:ser>
        <c:ser>
          <c:idx val="5"/>
          <c:order val="5"/>
          <c:tx>
            <c:strRef>
              <c:f>Hoja1!$A$7</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10.1</c:v>
                </c:pt>
              </c:numCache>
            </c:numRef>
          </c:xVal>
          <c:yVal>
            <c:numRef>
              <c:f>Hoja1!$C$7</c:f>
              <c:numCache>
                <c:formatCode>0.0"x"</c:formatCode>
                <c:ptCount val="1"/>
                <c:pt idx="0">
                  <c:v>16.3</c:v>
                </c:pt>
              </c:numCache>
            </c:numRef>
          </c:yVal>
          <c:smooth val="0"/>
        </c:ser>
        <c:ser>
          <c:idx val="6"/>
          <c:order val="6"/>
          <c:tx>
            <c:strRef>
              <c:f>Hoja1!$A$8</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6.1</c:v>
                </c:pt>
              </c:numCache>
            </c:numRef>
          </c:xVal>
          <c:yVal>
            <c:numRef>
              <c:f>Hoja1!$C$8</c:f>
              <c:numCache>
                <c:formatCode>0.0"x"</c:formatCode>
                <c:ptCount val="1"/>
                <c:pt idx="0">
                  <c:v>15.1</c:v>
                </c:pt>
              </c:numCache>
            </c:numRef>
          </c:yVal>
          <c:smooth val="0"/>
        </c:ser>
        <c:ser>
          <c:idx val="7"/>
          <c:order val="7"/>
          <c:tx>
            <c:strRef>
              <c:f>Hoja1!$A$9</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8.2</c:v>
                </c:pt>
              </c:numCache>
            </c:numRef>
          </c:xVal>
          <c:yVal>
            <c:numRef>
              <c:f>Hoja1!$C$9</c:f>
              <c:numCache>
                <c:formatCode>0.0"x"</c:formatCode>
                <c:ptCount val="1"/>
                <c:pt idx="0">
                  <c:v>14.6</c:v>
                </c:pt>
              </c:numCache>
            </c:numRef>
          </c:yVal>
          <c:smooth val="0"/>
        </c:ser>
        <c:ser>
          <c:idx val="8"/>
          <c:order val="8"/>
          <c:tx>
            <c:strRef>
              <c:f>Hoja1!$A$10</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6.5</c:v>
                </c:pt>
              </c:numCache>
            </c:numRef>
          </c:xVal>
          <c:yVal>
            <c:numRef>
              <c:f>Hoja1!$C$10</c:f>
              <c:numCache>
                <c:formatCode>0.0"x"</c:formatCode>
                <c:ptCount val="1"/>
                <c:pt idx="0">
                  <c:v>9.8</c:v>
                </c:pt>
              </c:numCache>
            </c:numRef>
          </c:yVal>
          <c:smooth val="0"/>
        </c:ser>
        <c:ser>
          <c:idx val="9"/>
          <c:order val="9"/>
          <c:tx>
            <c:strRef>
              <c:f>Hoja1!$A$11</c:f>
              <c:strCache>
                <c:ptCount val="1"/>
                <c:pt idx="0">
                  <c:v>FactSet Research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6.3</c:v>
                </c:pt>
              </c:numCache>
            </c:numRef>
          </c:xVal>
          <c:yVal>
            <c:numRef>
              <c:f>Hoja1!$C$11</c:f>
              <c:numCache>
                <c:formatCode>0.0"x"</c:formatCode>
                <c:ptCount val="1"/>
                <c:pt idx="0">
                  <c:v>12.3</c:v>
                </c:pt>
              </c:numCache>
            </c:numRef>
          </c:yVal>
          <c:smooth val="0"/>
        </c:ser>
        <c:axId val="10"/>
        <c:axId val="20"/>
      </c:scatterChart>
      <c:valAx>
        <c:axId val="10"/>
        <c:scaling>
          <c:orientation val="minMax"/>
          <c:max val="12"/>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MarketAxess Holdings</c:v>
                </c:pt>
                <c:pt idx="1">
                  <c:v>With Intelligence</c:v>
                </c:pt>
                <c:pt idx="2">
                  <c:v>Preqin</c:v>
                </c:pt>
                <c:pt idx="3">
                  <c:v>Adenza</c:v>
                </c:pt>
                <c:pt idx="4">
                  <c:v>IHS Markit</c:v>
                </c:pt>
                <c:pt idx="5">
                  <c:v>Refinitiv</c:v>
                </c:pt>
                <c:pt idx="6">
                  <c:v>Black Knight</c:v>
                </c:pt>
              </c:strCache>
            </c:strRef>
          </c:cat>
          <c:val>
            <c:numRef>
              <c:f>Hoja1!$B$2:$B$8</c:f>
              <c:numCache>
                <c:formatCode>0.0"x"</c:formatCode>
                <c:ptCount val="7"/>
                <c:pt idx="0">
                  <c:v>13</c:v>
                </c:pt>
                <c:pt idx="3">
                  <c:v>30.7</c:v>
                </c:pt>
                <c:pt idx="4">
                  <c:v>24</c:v>
                </c:pt>
                <c:pt idx="5">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2803</c:v>
                </c:pt>
                <c:pt idx="1">
                  <c:v>3040</c:v>
                </c:pt>
                <c:pt idx="2">
                  <c:v>3277</c:v>
                </c:pt>
                <c:pt idx="3">
                  <c:v>3524</c:v>
                </c:pt>
                <c:pt idx="4">
                  <c:v>3773</c:v>
                </c:pt>
                <c:pt idx="5">
                  <c:v>3979</c:v>
                </c:pt>
                <c:pt idx="6">
                  <c:v>4221</c:v>
                </c:pt>
                <c:pt idx="7">
                  <c:v>4410</c:v>
                </c:pt>
                <c:pt idx="8">
                  <c:v>4585</c:v>
                </c:pt>
                <c:pt idx="9">
                  <c:v>4769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22349</c:v>
                </c:pt>
                <c:pt idx="1">
                  <c:v>36734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475,35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236.63</c:v>
                </c:pt>
                <c:pt idx="1">
                  <c:v>311.97</c:v>
                </c:pt>
                <c:pt idx="2">
                  <c:v>367.83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475,35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(402,28 – 546,88)</c:v>
                </c:pt>
                <c:pt idx="1">
                  <c:v>Precio objetivo de los analistas (470,00 – 600,00)</c:v>
                </c:pt>
                <c:pt idx="2">
                  <c:v>Comparables: EV/EBITDA NTM (348,01 – 463,80)</c:v>
                </c:pt>
                <c:pt idx="3">
                  <c:v>Comparables: PER NTM (333,01 – 421,32)</c:v>
                </c:pt>
                <c:pt idx="4">
                  <c:v>Transacciones precedentes (EV/EBITDA) (286,79 – 591,06)</c:v>
                </c:pt>
                <c:pt idx="5">
                  <c:v>DCF (WACC y g ± 0,5) (293,18 – 334,35)</c:v>
                </c:pt>
                <c:pt idx="6">
                  <c:v>Escenarios (bajista – alcista) (236,63 – 367,83)</c:v>
                </c:pt>
                <c:pt idx="7">
                  <c:v>DCF con la prima implícita del mercado (4,2 %)</c:v>
                </c:pt>
                <c:pt idx="8">
                  <c:v>Precio actual (475,35)</c:v>
                </c:pt>
              </c:strCache>
            </c:strRef>
          </c:cat>
          <c:val>
            <c:numRef>
              <c:f>Hoja1!$B$2:$B$10</c:f>
              <c:numCache>
                <c:formatCode>#,##0</c:formatCode>
                <c:ptCount val="9"/>
                <c:pt idx="0">
                  <c:v>402.28</c:v>
                </c:pt>
                <c:pt idx="1">
                  <c:v>470</c:v>
                </c:pt>
                <c:pt idx="2">
                  <c:v>348.01</c:v>
                </c:pt>
                <c:pt idx="3">
                  <c:v>333.01</c:v>
                </c:pt>
                <c:pt idx="4">
                  <c:v>286.79</c:v>
                </c:pt>
                <c:pt idx="5">
                  <c:v>293.18</c:v>
                </c:pt>
                <c:pt idx="6">
                  <c:v>236.63</c:v>
                </c:pt>
                <c:pt idx="7">
                  <c:v>341.91</c:v>
                </c:pt>
                <c:pt idx="8">
                  <c:v>472.97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(402,28 – 546,88)</c:v>
                </c:pt>
                <c:pt idx="1">
                  <c:v>Precio objetivo de los analistas (470,00 – 600,00)</c:v>
                </c:pt>
                <c:pt idx="2">
                  <c:v>Comparables: EV/EBITDA NTM (348,01 – 463,80)</c:v>
                </c:pt>
                <c:pt idx="3">
                  <c:v>Comparables: PER NTM (333,01 – 421,32)</c:v>
                </c:pt>
                <c:pt idx="4">
                  <c:v>Transacciones precedentes (EV/EBITDA) (286,79 – 591,06)</c:v>
                </c:pt>
                <c:pt idx="5">
                  <c:v>DCF (WACC y g ± 0,5) (293,18 – 334,35)</c:v>
                </c:pt>
                <c:pt idx="6">
                  <c:v>Escenarios (bajista – alcista) (236,63 – 367,83)</c:v>
                </c:pt>
                <c:pt idx="7">
                  <c:v>DCF con la prima implícita del mercado (4,2 %)</c:v>
                </c:pt>
                <c:pt idx="8">
                  <c:v>Precio actual (475,35)</c:v>
                </c:pt>
              </c:strCache>
            </c:strRef>
          </c:cat>
          <c:val>
            <c:numRef>
              <c:f>Hoja1!$C$2:$C$10</c:f>
              <c:numCache>
                <c:formatCode>#,##0</c:formatCode>
                <c:ptCount val="9"/>
                <c:pt idx="0">
                  <c:v>144.60000000000002</c:v>
                </c:pt>
                <c:pt idx="1">
                  <c:v>130</c:v>
                </c:pt>
                <c:pt idx="2">
                  <c:v>115.79000000000002</c:v>
                </c:pt>
                <c:pt idx="3">
                  <c:v>88.31</c:v>
                </c:pt>
                <c:pt idx="4">
                  <c:v>304.2699999999999</c:v>
                </c:pt>
                <c:pt idx="5">
                  <c:v>41.170000000000016</c:v>
                </c:pt>
                <c:pt idx="6">
                  <c:v>131.2</c:v>
                </c:pt>
                <c:pt idx="7">
                  <c:v>41.35999999999996</c:v>
                </c:pt>
                <c:pt idx="8">
                  <c:v>4.759999999999991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