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Epiroc AB (publ)</w:t>
      </w:r>
    </w:p>
    <w:p>
      <w:pPr>
        <w:spacing w:after="60"/>
        <w:rPr>
          <w:color w:val="52514E"/>
          <w:sz w:val="22"/>
          <w:szCs w:val="22"/>
        </w:rPr>
      </w:pPr>
      <w:r>
        <w:rPr>
          <w:color w:val="52514E"/>
          <w:sz w:val="22"/>
          <w:szCs w:val="22"/>
        </w:rPr>
        <w:t xml:space="preserve">EPI A · Nasdaq Stockholm (Large Cap) · ISIN SE0015658109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269,40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244,68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-7,8 % (base +2,1 %)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135,39 SEK · mercado 150,66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325.947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Epiroc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EPI A / SE0015658109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agrícola y de construcción pesada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Nacka (Estocolmo) · 1873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https://www.epirocgroup.com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269,40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186,60 – 284,30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325.947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337.507 M SEK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368,9 M SEK/día (3 meses, acción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244,68 SEK</w:t>
      </w:r>
      <w:r>
        <w:t xml:space="preserve"> frente a 269,40 · Rentabilidad a 12 meses </w:t>
      </w:r>
      <w:r>
        <w:rPr>
          <w:b/>
          <w:bCs/>
        </w:rPr>
        <w:t xml:space="preserve">-7,8 % (base +2,1 %)</w:t>
      </w:r>
      <w:r>
        <w:t xml:space="preserve"> · Valor intrínseco 135,39 SEK · con la prima implícita del mercado: 150,66 (-44,1 %) · Alcista / bajista -49,1 % / -66,1 %</w:t>
      </w:r>
    </w:p>
    <w:p>
      <w:pPr>
        <w:spacing w:after="100"/>
      </w:pPr>
      <w:r>
        <w:rPr>
          <w:b/>
        </w:rPr>
        <w:t xml:space="preserve">La recomendación y por qué.</w:t>
      </w:r>
      <w:r>
        <w:t xml:space="preserve"> Mantener, con convicción media. El objetivo a 12 meses es de 244,68 SEK, con una rentabilidad ponderada del −7,8 % y del 2,1 % en el caso base (dividendo incluido), frente a un precio de 269,40 SEK; el valor intrínseco es de 135,39 SEK, un 49,7 % por debajo. El objetivo medio de los analistas (284,86 SEK) queda por encima de nuestro rango central. La asimetría a 12 meses es de 0,17: el alcista gana un 9,2 % y el bajista pierde un 44,5 %. La razón principal: Epiroc es un negocio de calidad en un ciclo minero alto, y el precio ya paga 30,6 veces nuestro beneficio de 2027. La convicción es media porque las dos reglas coinciden y la ponderada está a 2,2 puntos del umbral de venta; bajaría a Vender por encima de 276,09 SEK o si el 3T26 (28-oct) recorta el BPA de 2026 por debajo de 7,5 SEK.</w:t>
      </w:r>
    </w:p>
    <w:p>
      <w:pPr>
        <w:spacing w:after="100"/>
      </w:pPr>
      <w:r>
        <w:rPr>
          <w:b/>
        </w:rPr>
        <w:t xml:space="preserve">El negocio.</w:t>
      </w:r>
      <w:r>
        <w:t xml:space="preserve"> Dos tercios de los ingresos son posventa (servicio 42 %, herramientas 24 %), que aguanta el ciclo: en 2020 los ingresos cayeron un 12 % y el margen subió [1]. El ROIC del 16,3 % supera en 6,5 puntos al WACC del 9,79 %, pero era del 33,0 % en 2021: las compras y el circulante han diluido la rentabilidad, y el ROIC incremental es del 9,4 %. El crecimiento proyectado es sostenible («Sí») con el caso base ya rebajado: financia un 4,0 % de volumen al ROIC actual y deja la cuota estable.</w:t>
      </w:r>
    </w:p>
    <w:p>
      <w:pPr>
        <w:spacing w:after="100"/>
      </w:pPr>
      <w:r>
        <w:rPr>
          <w:b/>
        </w:rPr>
        <w:t xml:space="preserve">Sector y ciclo.</w:t>
      </w:r>
      <w:r>
        <w:t xml:space="preserve"> El 65 % de los pedidos mineros es de cobre y oro, en máximos (6,64 USD/lb y 4.105 USD/oz) [1, 19]. Los pedidos de equipos suben un 30 % orgánico [4]: estamos en la parte alta del ciclo, y el PER de un cíclico engaña en el fondo y en el pico.</w:t>
      </w:r>
    </w:p>
    <w:p>
      <w:pPr>
        <w:spacing w:after="100"/>
      </w:pPr>
      <w:r>
        <w:rPr>
          <w:b/>
        </w:rPr>
        <w:t xml:space="preserve">Finanzas.</w:t>
      </w:r>
      <w:r>
        <w:t xml:space="preserve"> Deuda neta de 11.430 M SEK (0,75 veces el EBITDA) y rating BBB+ [4]; conversión de caja del 80 % en 2020-2025, con el circulante en el 37 % de las ventas.</w:t>
      </w:r>
    </w:p>
    <w:p>
      <w:pPr>
        <w:spacing w:after="100"/>
      </w:pPr>
      <w:r>
        <w:rPr>
          <w:b/>
        </w:rPr>
        <w:t xml:space="preserve">Equipo y gobierno.</w:t>
      </w:r>
      <w:r>
        <w:t xml:space="preserve"> Investor AB controla el 22,7 % de los votos con acciones A; equipo estable y que cumple su objetivo de crecimiento a lo largo del ciclo [1]. Suma estabilidad, no cambia la tesis.</w:t>
      </w:r>
    </w:p>
    <w:p>
      <w:pPr>
        <w:spacing w:after="100"/>
      </w:pPr>
      <w:r>
        <w:rPr>
          <w:b/>
        </w:rPr>
        <w:t xml:space="preserve">Valoración.</w:t>
      </w:r>
      <w:r>
        <w:t xml:space="preserve"> El DCF inverso exige un crecimiento del 26,3 % anual o un margen EBITDA del 44,9 %: el precio ofrece un 4,7 % de rentabilidad implícita. Cotiza a 17,9 veces el EBITDA a 12 meses frente a 12,6 de los comparables y a 22,1 veces el de los últimos 12 meses, en el percentil 83 de su historia. Nuestro BPA de 2027 (8,80 SEK) está un 12 % por debajo del consenso: no suponemos más aceleración del ciclo.</w:t>
      </w:r>
    </w:p>
    <w:p>
      <w:pPr>
        <w:spacing w:after="100"/>
      </w:pPr>
      <w:r>
        <w:rPr>
          <w:b/>
        </w:rPr>
        <w:t xml:space="preserve">Riesgos y catalizadores.</w:t>
      </w:r>
      <w:r>
        <w:t xml:space="preserve"> Un giro del cobre y el oro llevaría el precio al bajista (145,82 SEK, −46 %); una vuelta del PER a la mediana de los comparables restaría un 30 %. El riesgo de que la IA se coma el negocio es bajo: Epiroc vende máquinas y recambios para mover roca, y la IA refuerza su automatización. Catalizadores: 3T26 el 28-oct y 4T26 el 26-ene-27. Los foros, pocos y favorables, no añaden riesgos.</w:t>
      </w:r>
    </w:p>
    <w:p>
      <w:pPr>
        <w:spacing w:after="100"/>
      </w:pPr>
      <w:r>
        <w:rPr>
          <w:b/>
        </w:rPr>
        <w:t xml:space="preserve">Qué cambiaría la decisión.</w:t>
      </w:r>
      <w:r>
        <w:t xml:space="preserve"> Comprar por debajo de 135,39 SEK; vender por encima de 276,09 SEK. Pasaríamos a Vender con dos trimestres de pedidos de equipos cayendo a dos dígitos o con un BPA de 2026 por debajo de 7,5 SEK.</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244,68 SEK</w:t>
      </w:r>
      <w:r>
        <w:t xml:space="preserve"> (rentabilidad -7,8 % (base +2,1 %)) · Valor intrínseco: 135,39 SEK (-49,7 % sobre 269,40) · con la prima implícita del mercado: 150,66 (-44,1 %)</w:t>
      </w:r>
    </w:p>
    <w:p>
      <w:pPr>
        <w:spacing w:after="100"/>
      </w:pPr>
      <w:r>
        <w:t xml:space="preserve">Epiroc es, con Sandvik, uno de los dos líderes mundiales en perforación y minería subterránea en roca dura, con un 66 % de los ingresos en posventa y un margen EBIT medio del 20,3 % desde 2016 [1]. El 82 % de sus pedidos viene de la minería y el 65 % de los pedidos mineros de minas de cobre y oro [1, 4]: es el mejor vehículo cotizado para el ciclo de inversión en esos metales.</w:t>
      </w:r>
    </w:p>
    <w:p>
      <w:pPr>
        <w:spacing w:after="100"/>
      </w:pPr>
      <w:r>
        <w:t xml:space="preserve">El precio (269,40 SEK) descuenta mucho: 30,6 veces nuestro BPA de 2027, 22,1 veces el EBITDA de los últimos 12 meses y, en el DCF inverso, un crecimiento del 26,3 % anual o una rentabilidad implícita del 4,7 %. Los comparables cotizan a 12,6 veces el EBITDA a 12 meses.</w:t>
      </w:r>
    </w:p>
    <w:p>
      <w:pPr>
        <w:spacing w:after="100"/>
      </w:pPr>
      <w:r>
        <w:t xml:space="preserve">El mercado acierta en la calidad y en el ciclo de corto plazo, y se arriesga en extrapolarlo: paga un múltiplo de pico sobre un beneficio de pico. Para invertir hay que creer en un superciclo largo del cobre que mantenga el PER por encima de 28 veces y el BPA creciendo al 15 % anual, como espera el consenso [25]. Nosotros vemos un 2,1 % en el base y un −7,8 % ponderado.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244,68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 × 6,34 = 145,82 · 28,8x × 9,42 = 271,30 · 28,8x × 10,08 = 290,30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 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284,86 (nuestro base -4,8 %)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135,39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 / -66,1 %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frente a 9,8 %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150,66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 frente a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(5,0 % anual proyectado; financiable al ROIC actual: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135,39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135,39 y 276,09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276,09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276,09 SEK (rentabilidad ponderada a 12 meses ≤ −10 %): Vender.</w:t>
      </w:r>
    </w:p>
    <w:p>
      <w:pPr>
        <w:pStyle w:val="ListParagraph"/>
        <w:numPr>
          <w:ilvl w:val="0"/>
          <w:numId w:val="2"/>
        </w:numPr>
        <w:spacing w:after="60"/>
      </w:pPr>
      <w:r>
        <w:t xml:space="preserve">Precio por debajo de 135,39 SEK (ponderada ≥ 15 %, base ≥ 12 % y precio ≤ valor intrínseco): Comprar.</w:t>
      </w:r>
    </w:p>
    <w:p>
      <w:pPr>
        <w:pStyle w:val="ListParagraph"/>
        <w:numPr>
          <w:ilvl w:val="0"/>
          <w:numId w:val="2"/>
        </w:numPr>
        <w:spacing w:after="60"/>
      </w:pPr>
      <w:r>
        <w:t xml:space="preserve">BPA de 2026 por debajo de 7,5 SEK tras el 3T26 o el 4T26: revisar a la baja y probablemente Vender.</w:t>
      </w:r>
    </w:p>
    <w:p>
      <w:pPr>
        <w:pStyle w:val="ListParagraph"/>
        <w:numPr>
          <w:ilvl w:val="0"/>
          <w:numId w:val="2"/>
        </w:numPr>
        <w:spacing w:after="60"/>
      </w:pPr>
      <w:r>
        <w:t xml:space="preserve">Pedidos de equipos con caída orgánica de dos dígitos dos trimestres seguidos: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minero largo: BPA de 10,03 SEK en 2027 y 11,09 en 2028 (consenso), con un PER que se mantiene por encima de 27 veces, en la parte alta de su historia, como en 2021 [24, 25].</w:t>
      </w:r>
    </w:p>
    <w:p>
      <w:pPr>
        <w:keepNext/>
        <w:spacing w:after="100"/>
      </w:pPr>
      <w:r>
        <w:rPr>
          <w:b/>
          <w:bCs/>
        </w:rPr>
        <w:t xml:space="preserve">Lo que creemos nosotros.</w:t>
      </w:r>
    </w:p>
    <w:p>
      <w:pPr>
        <w:spacing w:after="100"/>
      </w:pPr>
      <w:r>
        <w:t xml:space="preserve">El ciclo es real (pedidos de equipos +30 %), pero nuestro BPA de 2028 es un 15 % menor (9,42 SEK) porque no suponemos más aceleración ni una corona más débil, y el PER del pico tiende a bajar hacia la mediana. A 12 meses el precio queda plano (+2,1 % en el base).</w:t>
      </w:r>
    </w:p>
    <w:p>
      <w:pPr>
        <w:keepNext/>
        <w:spacing w:after="100"/>
      </w:pPr>
      <w:r>
        <w:rPr>
          <w:b/>
          <w:bCs/>
        </w:rPr>
        <w:t xml:space="preserve">Por qué podemos tener razón.</w:t>
      </w:r>
    </w:p>
    <w:p>
      <w:pPr>
        <w:spacing w:after="100"/>
      </w:pPr>
      <w:r>
        <w:t xml:space="preserve">En los cíclicos el mercado paga el pico como si fuera permanente: en 2021 Epiroc cotizó a 33 veces el beneficio de 2022 y en 2022 cayó un 17 % con beneficios al alza [1, 24]. El ROIC ya ha bajado a la mitad y el circulante consume el 38 % de cada corona de crecimiento.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269,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Posventa del 66 %</w:t>
      </w:r>
      <w:r>
        <w:t xml:space="preserve">: servicio y herramientas sostienen el margen en las caídas (en 2020 los ingresos −12 % y el margen subió) [1].</w:t>
      </w:r>
    </w:p>
    <w:p>
      <w:pPr>
        <w:pStyle w:val="ListParagraph"/>
        <w:numPr>
          <w:ilvl w:val="0"/>
          <w:numId w:val="2"/>
        </w:numPr>
        <w:spacing w:after="60"/>
      </w:pPr>
      <w:r>
        <w:rPr>
          <w:b/>
        </w:rPr>
        <w:t xml:space="preserve">Ciclo del cobre y el oro</w:t>
      </w:r>
      <w:r>
        <w:t xml:space="preserve">: el 65 % de los pedidos mineros, con precios en máximos y pedidos de equipos +30 % orgánico [1, 4].</w:t>
      </w:r>
    </w:p>
    <w:p>
      <w:pPr>
        <w:pStyle w:val="ListParagraph"/>
        <w:numPr>
          <w:ilvl w:val="0"/>
          <w:numId w:val="2"/>
        </w:numPr>
        <w:spacing w:after="60"/>
      </w:pPr>
      <w:r>
        <w:rPr>
          <w:b/>
        </w:rPr>
        <w:t xml:space="preserve">Duopolio en roca dura</w:t>
      </w:r>
      <w:r>
        <w:t xml:space="preserve">: margen EBIT del 19,2 % frente al 17,8 % de Sandvik y al 15,8 % de Metso [13, 16].</w:t>
      </w:r>
    </w:p>
    <w:p>
      <w:pPr>
        <w:pStyle w:val="ListParagraph"/>
        <w:numPr>
          <w:ilvl w:val="0"/>
          <w:numId w:val="2"/>
        </w:numPr>
        <w:spacing w:after="60"/>
      </w:pPr>
      <w:r>
        <w:rPr>
          <w:b/>
        </w:rPr>
        <w:t xml:space="preserve">Balance sólido</w:t>
      </w:r>
      <w:r>
        <w:t xml:space="preserve">: deuda neta de 0,75 veces el EBITDA y rating BBB+ [4].</w:t>
      </w:r>
    </w:p>
    <w:p>
      <w:pPr>
        <w:pStyle w:val="ListParagraph"/>
        <w:numPr>
          <w:ilvl w:val="0"/>
          <w:numId w:val="2"/>
        </w:numPr>
        <w:spacing w:after="60"/>
      </w:pPr>
      <w:r>
        <w:rPr>
          <w:b/>
        </w:rPr>
        <w:t xml:space="preserve">Automatización independiente del fabricante</w:t>
      </w:r>
      <w:r>
        <w:t xml:space="preserve">: el contrato récord de Fortescue (350 M AUD) y Roy Hill [1].</w:t>
      </w:r>
    </w:p>
    <w:p>
      <w:pPr>
        <w:pStyle w:val="Heading2"/>
      </w:pPr>
      <w:r>
        <w:t xml:space="preserve">En contra</w:t>
      </w:r>
    </w:p>
    <w:p>
      <w:pPr>
        <w:pStyle w:val="ListParagraph"/>
        <w:numPr>
          <w:ilvl w:val="0"/>
          <w:numId w:val="2"/>
        </w:numPr>
        <w:spacing w:after="60"/>
      </w:pPr>
      <w:r>
        <w:rPr>
          <w:b/>
        </w:rPr>
        <w:t xml:space="preserve">Precio exigente</w:t>
      </w:r>
      <w:r>
        <w:t xml:space="preserve">: 30,6 veces nuestro BPA de 2027 y DCF inverso con un 26,3 % de crecimiento anual.</w:t>
      </w:r>
    </w:p>
    <w:p>
      <w:pPr>
        <w:pStyle w:val="ListParagraph"/>
        <w:numPr>
          <w:ilvl w:val="0"/>
          <w:numId w:val="2"/>
        </w:numPr>
        <w:spacing w:after="60"/>
      </w:pPr>
      <w:r>
        <w:rPr>
          <w:b/>
        </w:rPr>
        <w:t xml:space="preserve">ROIC a la mitad</w:t>
      </w:r>
      <w:r>
        <w:t xml:space="preserve">: del 33,0 % de 2021 al 16,3 % de 2025; ROIC incremental del 9,4 %.</w:t>
      </w:r>
    </w:p>
    <w:p>
      <w:pPr>
        <w:pStyle w:val="ListParagraph"/>
        <w:numPr>
          <w:ilvl w:val="0"/>
          <w:numId w:val="2"/>
        </w:numPr>
        <w:spacing w:after="60"/>
      </w:pPr>
      <w:r>
        <w:rPr>
          <w:b/>
        </w:rPr>
        <w:t xml:space="preserve">Circulante pesado</w:t>
      </w:r>
      <w:r>
        <w:t xml:space="preserve">: el 37 % de las ventas; existencias +26 % en un año [4].</w:t>
      </w:r>
    </w:p>
    <w:p>
      <w:pPr>
        <w:pStyle w:val="ListParagraph"/>
        <w:numPr>
          <w:ilvl w:val="0"/>
          <w:numId w:val="2"/>
        </w:numPr>
        <w:spacing w:after="60"/>
      </w:pPr>
      <w:r>
        <w:rPr>
          <w:b/>
        </w:rPr>
        <w:t xml:space="preserve">Cíclico en lo alto</w:t>
      </w:r>
      <w:r>
        <w:t xml:space="preserve">: el bajista a 12 meses pierde un 44,5 %.</w:t>
      </w:r>
    </w:p>
    <w:p>
      <w:pPr>
        <w:pStyle w:val="ListParagraph"/>
        <w:numPr>
          <w:ilvl w:val="0"/>
          <w:numId w:val="2"/>
        </w:numPr>
        <w:spacing w:after="60"/>
      </w:pPr>
      <w:r>
        <w:rPr>
          <w:b/>
        </w:rPr>
        <w:t xml:space="preserve">Corona</w:t>
      </w:r>
      <w:r>
        <w:t xml:space="preserve">: restó un 10 % a los ingresos en el 1T26 y 1 punto de margen en el 2T26 [4, 5].</w:t>
      </w:r>
    </w:p>
    <w:p>
      <w:pPr>
        <w:pStyle w:val="Heading2"/>
      </w:pPr>
      <w:r>
        <w:t xml:space="preserve">Qué tiene que pasar para que la tesis funcione</w:t>
      </w:r>
    </w:p>
    <w:p>
      <w:pPr>
        <w:spacing w:after="100"/>
      </w:pPr>
      <w:r>
        <w:t xml:space="preserve">La tesis depende de que el ciclo minero no gire en 2027. La señal de que gira: pedidos de equipos con caída orgánica de dos dígitos dos trimestres seguidos, libro-facturación por debajo del 95 % y existencias subiendo por encima del 38 % de las ventas; y, fuera de la empresa, el cobre por debajo de 5 USD por libra.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equipos (crecimiento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Libro-facturación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baja, la cartera se consume.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20 %.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 ventas de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Inventario de pico de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cobre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 USD/lb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USD/lb</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36 % de los pedidos mineros.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 / 17,9x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36,9x / 27,9x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Epiroc nace en 2018 como escisión de la división de minería e infraestructura de Atlas Copco, que fabricaba perforadoras de roca desde 1873 (Atlas Diesel, AB Atlas, Atlas Copco). Salió a bolsa en Estocolmo el 18-jun-2018 con dos clases de acciones (A con un voto, B con una décima) e Investor AB como primer accionista. Desde entonces ha comprado más de 20 empresas, sobre todo de posventa, automatización y herramientas, y en 2024 hizo la mayor compra de su historia, Stanley Infrastructure (8.200 M SEK). Helena Hedblom es consejera delegada desde marzo de 2020 y en septiembre de 2025 la empresa se reorganizó en dos áreas de negocio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AB Atlas, origen de Atlas Copco y de su negocio de perforación de roca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Atlas Copco y salida a bolsa de Epiroc (18-jun)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Helena Hedblom, consejera delegada; reparto extraordinario de 3,00 SEK por acción mediante amortización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53 % de Radlink (redes para minas automatizadas) y de varias empresas de herramientas y posventa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Stanley Infrastructure (EE. UU., 760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contrato de su historia (Fortescue, 350 M AUD, equipos autónomos y eléctricos); dos áreas de negocio desde el 1-sep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 global con SANY (mayo) y día del inversor (8-jun) que reafirma los objetivos [4, 20].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Epiroc fabrica y mantiene equipos para minería subterránea y a cielo abierto y para obra civil en roca: perforadoras (Boomer, Pit Viper), cargadoras y camiones de mina, equipos de sostenimiento, ventilación y exploración, más herramientas de perforación, implementos hidráulicos para excavadoras y soluciones digitales y de automatización independientes del fabricante. El 82 % de los pedidos del 2T26 viene de la minería y el 18 % de infraestructura [4]. Vende sobre todo de forma directa (80 % de los ingresos de 2025) con unos 19.400 empleados y servicio en unos 150 países; entre sus clientes están Anglo American, Barrick, BHP, Freeport, Glencore, Newmont, Rio Tinto y Vale [1].</w:t>
      </w:r>
    </w:p>
    <w:p>
      <w:pPr>
        <w:pStyle w:val="Heading2"/>
      </w:pPr>
      <w:r>
        <w:t xml:space="preserve">Cómo gana dinero</w:t>
      </w:r>
    </w:p>
    <w:p>
      <w:pPr>
        <w:spacing w:after="100"/>
      </w:pPr>
      <w:r>
        <w:t xml:space="preserve">Dos tercios de los ingresos son posventa: servicio y recambios (42 % en 2025) y herramientas y consumibles (24 %); el tercio restante son equipos nuevos (34 %) [1]. La posventa crece con el parque instalado y las horas de trabajo de las minas, que se mantienen aunque baje la inversión, y deja más margen; los equipos dependen del ciclo de inversión minera y de los pedidos grandes (&gt; 150 M SEK). El margen depende de la mezcla (más equipos, menos margen), del aprovechamiento de las fábricas de Suecia, EE. UU., India y China y de la divisa: la corona fuerte restó 1,0 punto de margen en el 2T26 [4]. La demanda de infraestructura es más fuerte en el primer semestre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Equipment &amp; Service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Tools &amp; Attachments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comunes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Equipment &amp; Service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Tools &amp; Attachments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comunes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diez primeros clientes, todos mineros, suman el 18 % de los ingresos de 2025 (20 % en 2024) y ninguno es dominante [1]. El 65 % de los pedidos de minería viene de minas de cobre (36 %) y oro (29 %); el hierro pesa un 14 % [1]. Los contratos de equipos se cierran pedido a pedido, salvo los grandes de flotas autónomas (Fortescue: 350 M AUD a cinco años) [1]. El poder de precio se ve en el margen bruto, que subió del 33,6 % de 2016 al 37,1 % de 2025 pese a la inflación de costes de 2022-2023 [1]. El coste de los equipos es una parte pequeña del coste de la mina, pero una parada cuesta mucho: el cliente paga por disponibilidad y servicio, no por precio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62.974 (2025); 35.645 en 1S26 (+12 %)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(orgánico +7 %)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Libro-facturación de 104 % en el 2T26 y 128 % en el 1T26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posventa (servicio + herramientas) en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(2T26); 66 % en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porque los equipos crecen más (pedidos de equipos +30 % orgánico en el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20,3 % desde 2016; divisa −1,0 pp en el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circulante medio /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Muy alto para un industrial: inventario de recambios en ~150 países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24,1 % desde 2016; cae por el fondo de comercio de las compras de 2022-2024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Pedidos de minería sobre 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Cobre 36 % y oro 29 % de los pedidos de minería en 2025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Maquinaria y servicios para minería (perforación, carga y transporte, trituración y procesado, sostenimiento) y equipos de perforación y demolición para obra civil, con su posventa. Usamos la cifra de Ken Research de maquinaria minera mundial (133.090 M USD en 2025) como techo amplio: incluye camiones y palas de cielo abierto y procesado, donde Epiroc no compite, por lo que su cuota en su nicho de roca dura es bastante mayor que la que sale sobre ese total [11]. IMARC da una cifra más alta (156.190 M USD en 2024) con un perímetro aún más amplio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133.090 M USD en 2025 (≈ 1.312.000 M SEK) [11]; 156.190 M USD en 2024 según IMARC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SEK (Ken Research, a 9,86 SEK/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 y del oro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6,64 USD/lb y oro 4.105 USD/oz en oct-26, frente a 4,28 y 1.774 en nov-21 [19]; el 65 % de los pedidos mineros de Epiroc es de cobre y oro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Leyes decrecientes y minas más profundas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roca movida por tonelada de metal y más minería subterránea, donde Epiroc es líder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electrificación y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Fortescue (350 M AUD) de equipos autónomos y eléctricos; objetivo de gama sin emisiones completa en 2030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transición energética (demanda de cobre)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exploración de 3.100 M SEK en 12 meses (4,7 % del grupo) por precios récord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infraestructura y construcción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 en 2024-2025; fin del desabastecimiento de distribuidores a finales de 2025; Epiroc espera una mejora leve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Corona sueca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un 10-11 % a los ingresos en el 4T25 y el 1T26 y 1 punto al margen del 2T26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 es el gran rival en roca dura; Caterpillar y Komatsu en carga y transporte; chinos (SANY, XCMG) entrando por precio. Margen EBIT de Epiroc 19,2 % frente a 17,8 % de Sandvik y 15,8 % de Metso en 2025 [1, 13,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Mineras grandes y concentradas, pero los diez primeros solo suponen el 18 % de los ingresos y la disponibilidad pesa más que el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componentes hidráulicos y baterías con varias fuentes; la inflación de 2022 se trasladó a precio (margen bruto 38,3 %)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servicio global y el parque instalado son la barrera; los fabricantes chinos entran en gama baja y por alianzas (Epiroc-SANY) [1,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roca hay que perforarla y moverla; la minería continua y la voladura alternativa no desplazan a la perforación en roca dura [1].</w:t>
            </w:r>
          </w:p>
        </w:tc>
      </w:tr>
    </w:tbl>
    <w:p>
      <w:pPr>
        <w:spacing w:after="160" w:before="0"/>
      </w:pPr>
    </w:p>
    <w:p>
      <w:pPr>
        <w:pStyle w:val="Heading2"/>
      </w:pPr>
      <w:r>
        <w:t xml:space="preserve">Ciclo</w:t>
      </w:r>
    </w:p>
    <w:p>
      <w:pPr>
        <w:spacing w:after="100"/>
      </w:pPr>
      <w:r>
        <w:t xml:space="preserve">Pedidos récord (18.340 M SEK en el 1T26; libro-facturación 104-128 %), precios del cobre en máximos y del oro cerca de máximos [4, 19]. En 2009 los ingresos de la división de minería de Atlas Copco cayeron cerca de un 25 %; en 2015-2016 los de Epiroc (entonces dentro de Atlas Copco) bajaron un 5 % y el margen tocó el 16,8 %; en 2020 los ingresos cayeron un 12 % y el margen subió, porque la posventa aguantó [1]. 2022-2023 fueron años de crecimiento con inflación.</w:t>
      </w:r>
    </w:p>
    <w:p>
      <w:pPr>
        <w:pStyle w:val="Heading2"/>
      </w:pPr>
      <w:r>
        <w:t xml:space="preserve">Regulación</w:t>
      </w:r>
    </w:p>
    <w:p>
      <w:pPr>
        <w:spacing w:after="100"/>
      </w:pPr>
      <w:r>
        <w:t xml:space="preserve">Seguridad minera (sistemas anticolisión obligatorios en Sudáfrica, Australia e India) y emisiones de diésel en minas subterráneas empujan la sustitución por equipos eléctricos y automatizados [1]. Aranceles de EE. UU. sobre importaciones (2025-2026) afectan a la cadena de suministro; Epiroc fabrica en EE. UU. (Pit Viper en Garland, Texas) [1].</w:t>
      </w:r>
    </w:p>
    <w:p>
      <w:pPr>
        <w:pStyle w:val="Heading2"/>
      </w:pPr>
      <w:r>
        <w:t xml:space="preserve">Tendencias y disrupción</w:t>
      </w:r>
    </w:p>
    <w:p>
      <w:pPr>
        <w:spacing w:after="100"/>
      </w:pPr>
      <w:r>
        <w:t xml:space="preserve">Autonomía de flotas mixtas (Roy Hill, mayor mina autónoma independiente del fabricante, oct-25), electrificación con baterías y trolley, y software de planificación minera: los rivales compran software (Weir-Micromine 2025, Sandvik-Deswik) [1]. Los fabricantes chinos ganan cuota en gama media; Epiroc responde con marcas locales (GIA en China) y la alianza con SANY [4,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líderes mundiales en equipos de perforación y minería subterránea con Sandvik; 4,7 % sobre el total de maquinaria minera de Ken Research (estimación propia: 61.998 M SEK ÷ 1.312.000 M SEK), muy por encima en roca dura y subterránea.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Caterpillar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camiones y palas de cielo abierto y en carga subterránea; menos presente en perforación [1,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Komatsu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subterráneos y de cielo abierto (Joy Global); ejercicio a marzo de 2026 [1,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ATCO 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Antigua matriz; compresores y vacío, no compite en minería; referencia de calidad del grupo Wallenberg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Sandvik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perforación, carga y transporte en roca dura (Mining and Rock Solutions) [1,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Metso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METSO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Trituración, procesado y recambios de desgaste; compite poco en perforación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Bombas y piezas de desgaste (ESCO), 80 % posventa; compró Micromine en 2025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flotas conectadas y la automatización independiente del fabricante crean algo de efecto red, aún pequeño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Parque instalado con recambios propios, formación de operarios y sistemas de automatización integrados; posventa del 66 % de los ingresos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Pit Viper, Boomer, Scooptram; I+D del 3,2 % de las ventas; margen bruto del 37 %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India y China; escala similar a la de Sandvik; sin ventaja clara frente a los chinos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Duopolio Epiroc-Sandvik en perforación de roca dura con red de servicio en ~150 países; margen EBIT medio del 20,3 % desde 2016 [1].</w:t>
            </w:r>
          </w:p>
        </w:tc>
      </w:tr>
    </w:tbl>
    <w:p>
      <w:pPr>
        <w:spacing w:after="160" w:before="0"/>
      </w:pPr>
    </w:p>
    <w:p>
      <w:pPr>
        <w:pStyle w:val="Heading2"/>
      </w:pPr>
      <w:r>
        <w:t xml:space="preserve">Amenazas</w:t>
      </w:r>
    </w:p>
    <w:p>
      <w:pPr>
        <w:spacing w:after="100"/>
      </w:pPr>
      <w:r>
        <w:t xml:space="preserve">La mayor amenaza es la entrada de fabricantes chinos (SANY, XCMG) con equipos un 20-30 % más baratos en Asia, África y Sudamérica; Epiroc ha optado por aliarse con SANY [20]. También que las mineras internalicen el servicio o compren posventa a terceros independientes, y que un competidor gane la carrera de la automatización de flotas mixtas (Caterpillar, Komatsu) [1]. Probabilidad media a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2020-2025: ingresos </w:t>
      </w:r>
      <w:r>
        <w:rPr>
          <w:b/>
          <w:bCs/>
        </w:rPr>
        <w:t xml:space="preserve">11,4 %</w:t>
      </w:r>
      <w:r>
        <w:t xml:space="preserve">, EBITDA </w:t>
      </w:r>
      <w:r>
        <w:rPr>
          <w:b/>
          <w:bCs/>
        </w:rPr>
        <w:t xml:space="preserve">10,5 %</w:t>
      </w:r>
      <w:r>
        <w:t xml:space="preserve">, BPA </w:t>
      </w:r>
      <w:r>
        <w:rPr>
          <w:b/>
          <w:bCs/>
        </w:rPr>
        <w:t xml:space="preserve">9,7 %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de 36.122 M SEK en 2020 a 63.604 M en 2024 (TCAC 11,4 %, la mitad orgánica y la mitad por compras, sobre todo Stanley Infrastructure en 2024) y bajaron un 3 % en 2025 a 61.998 M por la corona (orgánico +2 %) [1]. Las cifras de 2020-2024 salen del XBRL ESEF y se cotejan con los informes anuales de 2021 y 2023 [2, 3, 9]. El margen EBIT alcanzó el 22,7 % en 2021 y bajó al 19,2 % en 2025: la mezcla con más equipos y con Stanley (margen menor), los costes de eficiencia y la divisa restaron unos 350 puntos básicos [1]. En el 1S26 los ingresos suben un 1 % (orgánico +7 %) y el margen ajustado se queda en el 20,0 %; el BPA del 2T26 (2,01 SEK) es el más alto desde 2023 [4]. 2024 no es comparable con 2023 por Stanley (nueve meses consolidados).</w:t>
      </w:r>
    </w:p>
    <w:p>
      <w:pPr>
        <w:pStyle w:val="Heading2"/>
      </w:pPr>
      <w:r>
        <w:t xml:space="preserve">Ajustes y partidas no recurrentes</w:t>
      </w:r>
    </w:p>
    <w:p>
      <w:pPr>
        <w:spacing w:after="100"/>
      </w:pPr>
      <w:r>
        <w:t xml:space="preserve">Usamos las cifras publicadas. Epiroc da además un beneficio operativo «ajustado» que excluye los cambios de la provisión de incentivos en acciones, reestructuraciones y efectos de compras: 200 M SEK de gasto neto en 2025 (0,3 % de las ventas), 239 M en 2024 (con un deterioro de 347 M) y 33 M en el 2T26 [1, 4]. Como se repiten casi todos los años, no los tratamos como no recurrentes. El consenso usa el EBIT y el EBITDA ajustados, que quedan un 0,3 % de las ventas por encima de los publicados. El BPA no lleva partidas fiscales extraordinarias: tipo efectivo del 23,5 % en 2024 y 2025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(17-jul-26) la consejera delegada destacó una actividad minera «alta» apoyada en precios históricamente altos del cobre y el oro: pedidos +13 % orgánico, equipos +30 % y pedidos grandes de 720 M frente a 230 M, con la exploración como lo que más crece [4]. Avisó de que los pedidos bajaron un 9 % frente al 1T26, que tuvo pedidos grandes excepcionales (1.280 M) [4, 5]. El margen ajustado subió al 20,1 % por las medidas de eficiencia y la facturación alta, pese a que la divisa restó 1,0 punto [4]. Entre el 1T26 y el 2T26 el discurso pasó de «mejora leve en infraestructura» a «la demanda de infraestructura aumentará algo», y en el día del inversor del 8-jun se reafirmaron los objetivos (8 % de crecimiento a lo largo del ciclo y margen líder) [10]. En 2025 los ingresos orgánicos volvieron a crecer (+1 %, +5 % y +4 % en el 2T, 3T y 4T) con margen EBITDA de entre el 23,4 % y el 24,7 % [6, 7, 8]. La acción cayó un 6,0 % el día de la presentación [24]: el margen ajustado quedó por debajo de lo esperado según los bancos que bajaron objetivos (Goldman Sachs, Citigroup, Barclays) [26]. La empresa no da cifras de guía y evita cuantificar cuánto de la cartera de equipos se factura en 2026; no tenemos la transcripción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Stanley Infrastructure (ventas 4.725 M SEK), consolidada desde el 1-abr-24: nueve meses en la cuenta de 2024.).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pasó de caja neta en 2020-2021 a 14.778 M SEK en 2024 por las compras (Stanley) y bajó a 11.004 M en 2025 y 11.430 M en jun-26 (0,75 veces el EBITDA) [1, 4]. El circulante es el gran consumidor de capital: el 37 % de las ventas de media en 12 meses, frente al 29 % de 2021, porque Epiroc mantiene inventario de recambios en todo el mundo y la producción para la cartera de equipos lo subió a 22.652 M en jun-26 (+26 % en un año) [4]. Vida media de la deuda a largo plazo de 3,8 años y coste del 4,1 %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37.901</w:t>
      </w:r>
      <w:r>
        <w:t xml:space="preserve">, conversión </w:t>
      </w:r>
      <w:r>
        <w:rPr>
          <w:b/>
          <w:bCs/>
        </w:rPr>
        <w:t xml:space="preserve">80 %</w:t>
      </w:r>
      <w:r>
        <w:t xml:space="preserve"> del beneficio neto; adquisiciones 20.884, dividendos 22.815, recompras 284.</w:t>
      </w:r>
    </w:p>
    <w:p>
      <w:pPr>
        <w:spacing w:after="100"/>
      </w:pPr>
      <w:r>
        <w:t xml:space="preserve">Entre 2020 y 2025 Epiroc generó 37.901 M SEK de caja libre (conversión del 80 % del beneficio), de los que pagó 22.815 M en dividendos y gastó 20.884 M en compras: la diferencia se financió con deuda. La conversión fue baja en 2022-2023 (49 % y 52 %) por el circulante y alta en 2024 (104 % según la empresa) cuando lo liberó [1]. El capex bruto de inmovilizado e intangibles es pequeño (3,2 % de las ventas en 2025), pero hay que sumarle la inversión neta en equipos de alquiler (353 M, dentro del flujo operativo) y las altas de derechos de uso (739 M): el capex total que publica la empresa en la nota de segmentos fue de 3.651 M, el 5,9 % de las ventas [1]. Estimación propia: el capex de mantenimiento está cerca de la amortización sin intangibles de compras (≈4 % de las ventas).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AB (socio firmante Erik Sandström desde 2022; antes Deloitte)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Ernst &amp; Young desde la junta de 2022 (antes Deloitte), opinión favorable [1]. El motor da un Altman Z de 7,56 (zona segura), un Piotroski de 7 sobre 9 y un Beneish M de −2,72 (por debajo del umbral de manipulación). No hay capitalización agresiva: la I+D capitalizada fue de 723 M SEK en 2025 (el 37 % del gasto en I+D de 1.966 M) y se amortiza en unos cinco años [1]. Los «elementos que afectan a la comparabilidad» son pequeños y repetidos (200 M en 2025). El fondo de comercio (14.531 M) es el 34 % del patrimonio y cayó 2.168 M en 2025 por divisa; en 2024 hubo un deterioro de intangibles de 347 M en Equipment &amp; Service y en 2025 un ajuste de −196 M al fondo de comercio de Tools &amp; Attachments al cerrar el precio de compra [1]. La remuneración en acciones es menor (opciones liquidadas con acciones propias compradas en el mercado).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al alza (existencias +26 % en un año a jun-26)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producción para la cartera (libro-facturación del 128 % en el 1T26) o exceso de inventario si los pedidos frenan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al precio de compra de Stanley Infrastructure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−196 M y plantas cerradas; el mercado de construcción no ha acompañado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operativo «ajustado» como medida de la dirección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pequeña y repetida (0,3 % de las ventas); usamos el publicado.</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9,4 % · </w:t>
      </w:r>
      <w:r>
        <w:rPr>
          <w:b/>
          <w:bCs/>
        </w:rPr>
        <w:t xml:space="preserve">WACC</w:t>
      </w:r>
      <w:r>
        <w:t xml:space="preserve">: 9,8 %.</w:t>
      </w:r>
    </w:p>
    <w:p>
      <w:pPr>
        <w:spacing w:after="100"/>
      </w:pPr>
      <w:r>
        <w:t xml:space="preserve">Epiroc crea valor, pero cada vez menos: el ROIC del motor bajó del 33,0 % de 2021 al 16,3 % de 2025, frente a un WACC del 9,79 % (6,5 puntos de diferencia). La caída no viene del margen (el neto apenas pasó del 17,8 % al 13,9 %) sino del capital: el capital invertido se multiplicó por 2,3 (de 24.183 M a 55.870 M SEK) por el fondo de comercio de las compras de 2021-2024 y por el circulante, y la rotación bajó de 0,86 a 0,76. El ROIC incremental de esos años, del 9,4 %, está apenas por encima del coste de capital: las compras (Stanley, sobre todo) no han rendido lo que el negocio orgánico. Las cotizadas del sector no publican un ROIC homogéneo; por margen EBITDA, Sandvik (23,4 %) y Metso (17,8 %) quedan por debajo de Epiroc y Atlas Copco (26,4 %) por encima [13, 16, 18].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11.237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6.928 M SEK y activos financieros corrientes 1.701 M a 30-jun-26 [4]; línea de crédito comprometida no dispuesta de 4.000 M (vence en 2030) y programa de pagarés de 2.000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perspectiva estable (confirmado en mayo de 2023; sin cambios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prestación definida pequeñas (178 M SEK a dic-25, 193 M a jun-26), que van netas de impuestos al puente [1, 4]. Pagos aplazados de compras (earn-outs) de 198 M a jun-26 (331 M a dic-25), en otros ajustes del puente [4]. Provisiones de 747 M a dic-25 (garantías y reestructuración) [1]. No hay covenants financieros relevantes en la nota de deuda; rating BBB+ estable de S&amp;P [1]. Epiroc Financial Solutions financia equipos a clientes (cuentas a cobrar por arrendamientos dentro de otros activos financieros). El segundo plazo del dividendo (1,90 SEK, 2.299 M) se paga el 22-oct-26 y estaba en otros pasivos a 30-jun; quien compra hoy lo cobra, así que no lo restamos del valor por acción [4].</w:t>
      </w:r>
    </w:p>
    <w:p>
      <w:pPr>
        <w:pStyle w:val="Heading1"/>
      </w:pPr>
      <w:r>
        <w:t xml:space="preserve">12. Asignación de capital</w:t>
      </w:r>
    </w:p>
    <w:p>
      <w:pPr>
        <w:pStyle w:val="Confianza"/>
        <w:spacing w:after="100"/>
      </w:pPr>
      <w:r>
        <w:t xml:space="preserve">Confianza: Media</w:t>
      </w:r>
    </w:p>
    <w:p>
      <w:pPr>
        <w:spacing w:after="100"/>
      </w:pPr>
      <w:r>
        <w:t xml:space="preserve">Dividendo del 50 % del beneficio a lo largo del ciclo, «estable y creciente», pagado en dos plazos (media del 51 % desde 2018; 3,80 SEK por acción en 2023, 2024 y 2025, el 53 % del beneficio de 2025) [1]. No hay recompras para amortizar: solo compras y ventas de acciones A para cubrir las opciones de directivos y consejeros [4]. Prioridades: crecimiento orgánico, compras selectivas de posventa, herramientas y tecnología, y mantener el rating de grado de inversión (BBB+) [1]. En 2020 devolvió 3,00 SEK extraordinarios por acción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Stanley Infrastructure (EE. UU., implementos hidráulicos; ventas 4.725 M SEK)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puente refinanciado con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construcción débil en 2024-2025; reestructuración de plantas; deterioro de intangibles de 347 M en 2024 en E&amp;S (otra adquisición) y ajuste de fondo de comercio de −196 M en T&amp;A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Radlink (47 % restante; redes de comunicación minera, ventas ~1.330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2022; base de la automatización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Eventspec (Sudáfrica, recambios y reconstrucción; ventas ~160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ago-26; refuerza el servicio [4].</w:t>
            </w:r>
          </w:p>
        </w:tc>
      </w:tr>
    </w:tbl>
    <w:p>
      <w:pPr>
        <w:spacing w:after="160" w:before="0"/>
      </w:pPr>
    </w:p>
    <w:p>
      <w:pPr>
        <w:spacing w:after="100"/>
      </w:pPr>
      <w:r>
        <w:t xml:space="preserve">Asignación de capital correcta pero no brillante: entre 2020 y 2025 repartió 22.815 M SEK en dividendos y gastó 20.884 M en compras, por encima de la caja libre (37.901 M), y el ROIC incremental de esa inversión fue del 9,4 %, cerca del coste de capital. Stanley Infrastructure (8.200 M SEK, 1,7 veces las ventas) llegó justo antes de dos años malos de construcción y su margen va por debajo del grupo; las compras de posventa y automatización (Radlink, ASI Mining, Weco, Eventspec) encajan mejor [1, 4]. No diluye: las acciones se mantienen en unas 1.210 M desde 2018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Helena Hedblom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y presidenta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de materiales (KTH); 20 años en Atlas Copco y Epiroc, antes responsable de Minería e Infraestructura. Con ella los ingresos pasaron de 36.122 M SEK en 2020 a 61.998 M en 2025 (TCAC 11 %) y el margen EBIT del 20,4 % al 19,2 %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Håkan Folin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Atlas Copco y en el área financiera de Epiroc; ha comprado acciones en el mercado en 2022 y 2023 [1,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Ronnie Leten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Exconsejero delegado de Atlas Copco (2009-2017) y expresidente de Ericsson y Electrolux; independiente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Jess Kindler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área Equipment &amp; Service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76 % de los ingresos desde la reorganización de sep-25; compró acciones (ADR) en feb y mar-26 [1,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Manuel Sánchez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área Tools &amp; Attachments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del área que integró Stanley Infrastructure; margen del área del 9,4 % en 2024 al 12,2 % en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anual de ingresos del 8 % a lo largo del ciclo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 del 10 % desde 2016; −3 % en 2025 por divisa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líder del sector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del 20,3 % desde 2016 frente a pares de equipos mineros y de construcción por debajo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50 % del beneficio a lo largo del ciclo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del 51 % desde 2018; 53 % en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Recuperar el margen tras la caída de 2024 con medidas de eficiencia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19,6 % en 2025 y del 20,1 % en el 2T26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Mantener el rating de grado de inversión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BBB+ estable desde 2018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salido de la casa: la consejera delegada lleva seis años en el cargo y más de veinte en el grupo, y el director financiero, cinco [1]. La reorganización de sep-25 en dos áreas redujo la dirección de doce a cinco puestos y la de jul-26 la amplió a siete con dos relevos de comunicación y personas [22]. Ha cumplido los objetivos de crecimiento a lo largo del ciclo y de margen frente a los rivales, no el de mantener el margen en 2024-2025 [1]. Sin plan de sucesión público; Investor AB suele promover relevos internos.</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Ronnie Leten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Forssell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Ulla Litzén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Helena Hedblom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Sigurd Mareels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Anthea Bath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Jenny Lindqvist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Fredric Stahl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Eeva Sipilä</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Walker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Kristina Kanestad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0,13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Investor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(grupo Wallenberg); 22,7 %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Alecta Tjänstepension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Handelsbanken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(FMR)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4,70 M a dic-25; 3,80 M a jun-26 (cobertura de opciones)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Jess Kindler (presidente de Equipment &amp; Service)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Jess Kindler (presidente de Equipment &amp; Service)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devengó 23,99 M SEK en 2025: 13,65 M de fijo, 3,74 M de variable anual, 4,78 M de pensión y 1,69 M de opciones [1]. El variable anual depende del beneficio operativo, el capital circulante y objetivos de sostenibilidad; el plan a largo plazo son opciones sobre acciones A con condición de rentabilidad (valor creado sobre el capital), que la junta de 2026 renovó [1, 21]. La consejera delegada debe invertir parte de su variable en acciones. El ratio frente al salario medio (38 veces) es una estimación propia con los sueldos y salarios de 12.082 M y 19.055 empleados [1]. La junta de 2026 aprobó el informe de remuneración; el comunicado no da el recuento [21].</w:t>
      </w:r>
    </w:p>
    <w:p>
      <w:pPr>
        <w:pStyle w:val="Heading2"/>
      </w:pPr>
      <w:r>
        <w:t xml:space="preserve">Operaciones vinculadas, estructura de control y defensas</w:t>
      </w:r>
    </w:p>
    <w:p>
      <w:pPr>
        <w:spacing w:after="100"/>
      </w:pPr>
      <w:r>
        <w:t xml:space="preserve">Investor AB, del grupo Wallenberg, tiene el 17,1 % del capital y el 22,7 % de los votos gracias a las acciones A (un voto) frente a las B (una décima de voto): controla de hecho la comisión de nombramientos y tiene dos consejeros (Forssell y Stahl) [1]. No hay pactos ni blindajes estatutarios. No hay operaciones vinculadas relevantes; el presidente, Ronnie Leten, es independiente de Investor [1]. La doble clase deja a las B con un descuento del 16 % frente a las A (225,8 frente a 269,4 SEK el 14-oct-26).</w:t>
      </w:r>
    </w:p>
    <w:p>
      <w:pPr>
        <w:pStyle w:val="Heading2"/>
      </w:pPr>
      <w:r>
        <w:t xml:space="preserve">Señales de alerta</w:t>
      </w:r>
    </w:p>
    <w:p>
      <w:pPr>
        <w:pStyle w:val="ListParagraph"/>
        <w:numPr>
          <w:ilvl w:val="0"/>
          <w:numId w:val="2"/>
        </w:numPr>
        <w:spacing w:after="60"/>
      </w:pPr>
      <w:r>
        <w:t xml:space="preserve">Ninguna relevante detectada tras revisar el informe de gobierno 2025, el registro de directivos de la Finansinspektionen y los comunicados de 12 meses.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Epiroc no da cifras de guía: solo perspectiva cualitativa. En el 2T26 (17-jul-26) espera que la demanda minera siga alta y que la de infraestructura mejore algo; lo reafirmó en el día del inversor del 8-jun-26 con los objetivos a medio plazo: crecimiento del 8 % anual a lo largo del ciclo, margen operativo líder del sector, mejora del ROCE, dividendo del 50 % del beneficio y rating de grado de inversión [1,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 analistas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82.056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21.222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230,00 – 340,00</w:t>
            </w:r>
          </w:p>
        </w:tc>
      </w:tr>
    </w:tbl>
    <w:p>
      <w:pPr>
        <w:spacing w:after="160" w:before="0"/>
      </w:pPr>
    </w:p>
    <w:p>
      <w:pPr>
        <w:pStyle w:val="Heading2"/>
      </w:pPr>
      <w:r>
        <w:t xml:space="preserve">Revisiones de estimaciones</w:t>
      </w:r>
    </w:p>
    <w:p>
      <w:pPr>
        <w:spacing w:after="100"/>
      </w:pPr>
      <w:r>
        <w:t xml:space="preserve">Tras el 2T26 los objetivos bajaron (Goldman Sachs 319 → 295, Citigroup 305 → 301, Barclays 285 → 280) porque el margen ajustado (20,1 %) quedó algo por debajo de lo esperado; desde finales de septiembre suben con el cobre y el oro: Citigroup 317, Goldman 305, BNP Paribas 305, Pareto 290, Barclays 285, Deutsche Bank 270 y Danske 265; Oddo mantiene Infraponderar con 245 y SB1 Markets bajó a Neutral [26]. Consenso medio «Sobreponderar». Solo una fuente con estimaciones completas (MarketScreener); el precio objetivo se contrasta con las notas de cada banco que recoge la misma página.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A sube un 28,3 % en 2026 y un 30,1 % en un año, frente al 13,6 % y el 20,4 % del OMX Stockholm 30 (rentabilidades de precio) [24]: el mercado ha comprado el ciclo del cobre y del oro y la mejora de pedidos del 1T26. En tres y cinco años lo ha hecho peor que el índice (8,6 % y 6,8 % anual frente a 14,4 % y 7,4 %) por la caída de márgenes de 2023-2025. Beta de 1,29 a cinco años (1,19 ajustada) [24]. Las mayores caídas de un día de los últimos doce meses fueron con resultados: −6,8 % el 29-oct-25, −6,0 % el 17-jul-26 [24].</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cierre de cada año, Epiroc ha cotizado de media a 17,7 veces el EBITDA y a 28,4 veces el beneficio de los últimos 12 meses; hoy está a 22,1 y 36,9 veces, en el percentil 83 de su historia. Con el BPA del año siguiente (base adelantada), la mediana de 2021-2025 es de 27,1 veces y hoy está a 30,6 veces nuestro BPA de 2027. La prima se explica por el ciclo: el mercado paga el beneficio de 2027-2028 con pedidos récord, no el de 2025, que fue un año de márgenes bajos y corona fuerte.</w:t>
      </w:r>
    </w:p>
    <w:p>
      <w:pPr>
        <w:pStyle w:val="Heading1"/>
      </w:pPr>
      <w:r>
        <w:t xml:space="preserve">18. Comparables cotizados</w:t>
      </w:r>
    </w:p>
    <w:p>
      <w:pPr>
        <w:pStyle w:val="Confianza"/>
        <w:spacing w:after="100"/>
      </w:pPr>
      <w:r>
        <w:t xml:space="preserve">Confianza: Media</w:t>
      </w:r>
    </w:p>
    <w:p>
      <w:pPr>
        <w:spacing w:after="100"/>
      </w:pPr>
      <w:r>
        <w:t xml:space="preserve">Fabricantes de equipos y posventa para minería: Sandvik (rival directo), Metso y Weir (procesado y piezas de desgaste, mucha posventa), Caterpillar y Komatsu (equipos pesados), y Atlas Copco (antigua matriz y referencia sueca de calidad). No incluimos FLSmidth (reestructuración), Hitachi Construction (sin estimaciones gratis) ni Sany o XCMG (otro mercado de capitales). Sandvik y Caterpillar llevan en 2026 crecimientos estimados con perímetro cambiante, que inflan su crecimiento a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Epiroc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Sandvik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1.017.266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Caterpillar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3.450.423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Komatsu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Metso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 / 12,6x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15,3x / 20,6x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 / 20,4x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3,4x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7,9 + 0,44 × crecimiento; R² = 0,36. Para el crecimiento esperado de la empresa (14,7 %), el múltiplo ajustado es 14,3x y el valor por acción, 213,51.</w:t>
      </w:r>
    </w:p>
    <w:p>
      <w:pPr>
        <w:spacing w:after="100"/>
      </w:pPr>
      <w:r>
        <w:t xml:space="preserve">Epiroc cotiza con prima sobre la mediana de los comparables: 17,9 veces el EBITDA de los próximos 12 meses frente a 12,6 y 27,9 veces el beneficio (consenso) frente a 20,4. Solo Atlas Copco y Caterpillar cotizan en su nivel. La prima tiene parte de razón (margen EBITDA del 24,5 % frente al 22,0 % de la mediana y posventa del 66 %), pero no toda: la regresión de los seis comparables da 14,3 veces para su crecimiento esperado (R² 0,36) y por PER los comparables valen entre 186,64 y 221,13 SEK por acción. Los seis comparables son los de la ficha sectorial [39], convertidos a SEK con los tipos del BCE del 14-oct [28]. Usamos el EV/EBITDA y el PER de los próximos 12 meses con peso del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Micromine (software de minería,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no equipos: múltiplo de otra industria; fuera de la media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Stanley Infrastructure (implementos hidráulicos,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Epiroc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EV/ventas con las ventas de 2023 (4.725 M SEK); no se publicó el EBITDA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DSI Underground (sostenimiento de roca)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Sandvik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943 M EUR sobre ventas de 518 M EUR (2020); SEK a 10,1 por euro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ESCO (piezas de desgaste para minería)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Posventa minera pura; 12,6 veces el EBITDA de 2018e sin sinergias [32].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del sector se pagan a 1,7-1,8 veces las ventas en equipos y herramientas (Stanley Infrastructure, DSI Underground) y a 12,6 veces el EBITDA en piezas de desgaste (ESCO, 2018); el software minero va a otro precio (Micromine, 20 veces el EBITDA) [31, 32, 33, 34]. Hoy Epiroc cotiza a 5,41 veces las ventas, muy por encima de lo que se ha pagado por control en el sector. Con Investor AB como primer accionista desde la escisión, una opa sobre Epiroc es muy improbable; no ponderamos este método.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del 6,0 % en 2026 (1S26 +1 % con −7 puntos de divisa; 2S26 en torno al +11 % con pedidos del 1S26 un 12 % por encima de las ventas), 8,0 % en 2027 (cartera de equipos, posventa sobre un parque mayor y 1 punto de compras), y bajada al 3,0 % en 2032, por debajo del objetivo de la empresa (8 % a lo largo del ciclo) y del consenso (76.424 M en 2027, un 7,7 % por encima de nuestros 70.975 M) [1, 4, 25]. El TCAC 2016-2025 fue del 10 %, con la mitad por compras y en un ciclo minero alcista [1].</w:t>
      </w:r>
    </w:p>
    <w:p>
      <w:pPr>
        <w:keepNext/>
        <w:spacing w:after="100"/>
      </w:pPr>
      <w:r>
        <w:rPr>
          <w:b/>
          <w:bCs/>
        </w:rPr>
        <w:t xml:space="preserve">Márgenes.</w:t>
      </w:r>
    </w:p>
    <w:p>
      <w:pPr>
        <w:spacing w:after="100"/>
      </w:pPr>
      <w:r>
        <w:t xml:space="preserve">Margen EBITDA del 24,6 % en 2026 (1S26: 24,9 %) que sube al 25,0 % en 2028 y vuelve al 24,2 % de 2025 al final: no suponemos que Epiroc recupere el 26-27 % de 2021-2023, porque los equipos (menos margen) pesan más y Stanley diluye [1, 4]. El consenso pone un 25,8 % en 2027 [25]. La amortización (4,8 % de las ventas) es la de 2025 sin el deterioro (5,0 %).</w:t>
      </w:r>
    </w:p>
    <w:p>
      <w:pPr>
        <w:keepNext/>
        <w:spacing w:after="100"/>
      </w:pPr>
      <w:r>
        <w:rPr>
          <w:b/>
          <w:bCs/>
        </w:rPr>
        <w:t xml:space="preserve">Inversión y circulante.</w:t>
      </w:r>
    </w:p>
    <w:p>
      <w:pPr>
        <w:spacing w:after="100"/>
      </w:pPr>
      <w:r>
        <w:t xml:space="preserve">Capex del 5,8 % de las ventas en 2026 (el 5,9 % de 2025 incluía altas de derechos de uso y equipos de alquiler) y del 7,5 % en 2027-2030, porque añadimos un 1,7 % de las ventas para compras (1 punto de crecimiento al año pagado a 1,7 veces las ventas, como Stanley), y del 6,0 % al final (por encima de la amortización) [1]. Circulante del 38 % de las ventas (38,0 % en 2025): cada corona de crecimiento consume 0,38 de capital [1].</w:t>
      </w:r>
    </w:p>
    <w:p>
      <w:pPr>
        <w:keepNext/>
        <w:spacing w:after="100"/>
      </w:pPr>
      <w:r>
        <w:rPr>
          <w:b/>
          <w:bCs/>
        </w:rPr>
        <w:t xml:space="preserve">Coste del capital.</w:t>
      </w:r>
    </w:p>
    <w:p>
      <w:pPr>
        <w:spacing w:after="100"/>
      </w:pPr>
      <w:r>
        <w:t xml:space="preserve">Tasa libre del 3,17 % (bono sueco a 10 años del 13-oct-26, Riksbank) [29]; beta ajustada de 1,19 (mensual de cinco años frente al OMX: 1,29; semanal de dos años: 1,34) [24]; prima de mercado del 5,5 % y 0,5 puntos adicionales por la exposición a África, Sudamérica y Asia (unos dos tercios de los pedidos); coste de la deuda del 4,1 % (tipo medio a jun-26) [4] y peso de la deuda del 6 % a valor de mercado. WACC del 9,79 %. Con la prima implícita del mercado (4,2 %), el WACC baja al 8,34 %.</w:t>
      </w:r>
    </w:p>
    <w:p>
      <w:pPr>
        <w:keepNext/>
        <w:spacing w:after="100"/>
      </w:pPr>
      <w:r>
        <w:rPr>
          <w:b/>
          <w:bCs/>
        </w:rPr>
        <w:t xml:space="preserve">Valor terminal.</w:t>
      </w:r>
    </w:p>
    <w:p>
      <w:pPr>
        <w:spacing w:after="100"/>
      </w:pPr>
      <w:r>
        <w:t xml:space="preserve">Media de Gordon (2,5 %: inflación sueca del 2 % y medio punto real, por debajo de la tasa libre menos medio punto) y de un múltiplo de salida de 13 veces el EBITDA, cerca de la mediana de los comparables a 12 meses (12,6 veces) y por debajo de la media histórica de Epiroc (17,7 veces). Gordon solo implica 7,3 veces el EBITDA, un nivel al que Epiroc no ha cotizado nunca; el múltiplo de salida corrige en parte esa distancia. El valor terminal pesa el 74 %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117,68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20.250 M (25 %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(ROIC 16,3 %)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 (histórico: 9,4 %)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(hoy: 4,7 %)</w:t>
            </w:r>
          </w:p>
        </w:tc>
      </w:tr>
    </w:tbl>
    <w:p>
      <w:pPr>
        <w:spacing w:after="160" w:before="0"/>
      </w:pPr>
    </w:p>
    <w:p>
      <w:pPr>
        <w:spacing w:after="100"/>
      </w:pPr>
      <w:r>
        <w:t xml:space="preserve">La proyección reinvierte el 25 % del NOPAT. Con el ROIC del último ejercicio (16,3 %), eso financia un crecimiento del 4,0 % anual, frente al 5,0 % de ingresos proyectado. Supone que el capital nuevo rinde un 18,8 %, frente a un ROIC incremental histórico del 9,4 %; la cuota de mercado pasaría al 4,5 % desde el 4,7 %.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+7 % (cartera de equipos del 1S26 y posventa orgánica +6-7 %), precio +2,5 % y divisa −3,5 puntos (−7 % en el 1S26 que se va reduciendo)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(facturación de los pedidos grandes y posventa sobre más parque), precio +2,5 % y 1 punto de compras de posventa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por la normalización de la inversión en equipos, precio +2,5 % y 1 punto de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(ciclo maduro), precio +2,5 %, compras +1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+0,5 %, precio +2,5 %, compras +1 punto.</w:t>
            </w:r>
          </w:p>
        </w:tc>
      </w:tr>
    </w:tbl>
    <w:p>
      <w:pPr>
        <w:spacing w:after="160" w:before="0"/>
      </w:pPr>
    </w:p>
    <w:p>
      <w:pPr>
        <w:spacing w:after="100"/>
      </w:pPr>
      <w:r>
        <w:t xml:space="preserve">Sí, con el caso base ya rebajado: la primera proyección (márgenes al 25,4 % y crecimiento del 8,5 % sin compras) suponía que el capital nuevo rendía un 32,3 %, el doble del ROIC (16,3 %), y no pasaba la prueba. Con margen final en el 24,2 %, el crecimiento a partir de 2027 con un punto de compras pagadas y el circulante al 38 %, la proyección reinvierte el 25 % del NOPAT, financia un 4,0 % de crecimiento en volumen (más 2,5 % de precio, frente al 5,0 % proyectado), supone un 18,8 % para el capital nuevo y deja la cuota en el 4,5 %. Lo sostienen el foso (duopolio en roca dura con Sandvik, posventa del 66 %) y un poder de precios demostrado en 2022-2023 (margen bruto del 38 %) [1].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44,9 % (base: 24,2 %)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 (WACC: 9,8 %)</w:t>
            </w:r>
          </w:p>
        </w:tc>
      </w:tr>
    </w:tbl>
    <w:p>
      <w:pPr>
        <w:spacing w:after="160" w:before="0"/>
      </w:pPr>
    </w:p>
    <w:p>
      <w:pPr>
        <w:spacing w:after="100"/>
      </w:pPr>
      <w:r>
        <w:t xml:space="preserve">El DCF da 123,71 SEK por acción, un 54,1 % por debajo del precio, con un valor terminal que pesa el 74 %. Con la prima implícita del mercado (4,2 %) sube a 143,31 SEK. El DCF inverso es la lectura clave: para justificar 269,40 SEK con nuestro WACC haría falta un crecimiento anual del 26,3 % en 2027-2032 (frente al 4,8 % de nuestro base) o un margen EBITDA del 44,9 %; dicho de otro modo, el precio solo ofrece una rentabilidad implícita del 4,7 % anual con nuestras cifras. Es muy exigente frente a la historia de Epiroc (TCAC del 10 % en un ciclo alcista, margen máximo del 27,1 %) y frente a un coste de capital del 9,79 %. El mercado no paga flujos: paga un múltiplo de ciclo alto sobre el beneficio de 2027-2028. Para un cíclico, el DCF está más cerca del valor a lo largo del ciclo que el precio de hoy.</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cobre y el oro corrigen en 2027 como en 2013-2015 y las mineras recortan la inversión: equipos −30 %, posventa plana. Los ingresos crecen solo un 2 % en 2027 y caen un 10 % en 2028, y el margen EBITDA baja 3 puntos ese año, como en 2015-2016. El BPA de 2028 se queda en 6,34 SEK.</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minero se mantiene alto en 2026-2027 y se normaliza después: crecimiento del 8 % en 2027 y del 6 % en 2028, margen EBITDA del 25 % y BPA de 9,42 SEK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Superciclo del cobre por la electrificación: la exploración y las minas nuevas sostienen pedidos récord, la automatización gana cuota y el margen se acerca al 26 % de 2022-2023. BPA de 10,08 SEK en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SEK) · precio actual 269,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118,94 SEK (-55,9 %).</w:t>
      </w:r>
    </w:p>
    <w:p>
      <w:pPr>
        <w:spacing w:after="100"/>
      </w:pPr>
      <w:r>
        <w:t xml:space="preserve">La asimetría es negativa con los tres métodos: en el DCF el alcista vale 137,03 SEK y el bajista 91,32, ambos muy por debajo del precio; a 12 meses, el alcista gana un 9,2 % y el bajista pierde un 44,5 % (asimetría de 0,17). El bajista es verosímil: en 2015-2016 los ingresos de minería del grupo cayeron y el margen bajó al 16,8 %, y en 2020 los ingresos cayeron un 12 % [1]. No compensa entrar a este precio.</w:t>
      </w:r>
    </w:p>
    <w:p>
      <w:pPr>
        <w:pStyle w:val="Heading1"/>
      </w:pPr>
      <w:r>
        <w:t xml:space="preserve">22. Suma de partes</w:t>
      </w:r>
    </w:p>
    <w:p>
      <w:pPr>
        <w:pStyle w:val="Confianza"/>
        <w:spacing w:after="100"/>
      </w:pPr>
      <w:r>
        <w:t xml:space="preserve">Confianza: Media</w:t>
      </w:r>
    </w:p>
    <w:p>
      <w:pPr>
        <w:spacing w:after="100"/>
      </w:pPr>
      <w:r>
        <w:t xml:space="preserve">No aplica: las dos áreas de negocio comparten clientes mineros, red de servicio y cadena de suministro (Tools &amp; Attachments gestiona los recambios de todo el grupo), y el mercado valora a Epiroc como un todo; Tools &amp; Attachments pesa un 15 % del EBIT.</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SEK) · precio actual 269,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135,39 SEK (-49,7 % sobre 269,40).</w:t>
      </w:r>
    </w:p>
    <w:p>
      <w:pPr>
        <w:spacing w:after="100"/>
      </w:pPr>
      <w:r>
        <w:t xml:space="preserve">Pesos: DCF 40 %, escenarios 40 % y comparables 20 %. El DCF es el método más fiable a largo plazo para un cíclico con un coste de capital explícito, y los escenarios recogen el ciclo; los comparables pesan menos porque todo el sector cotiza en la parte alta del ciclo (Caterpillar a 18,8 veces el EBITDA). La dispersión es grande: el DCF y los escenarios dan 91-137 SEK, los comparables 179-261 SEK y el mercado 269,40. Las transacciones no pesan (sin opa posible con Investor AB). El valor objetivo es de 135,39 SEK.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(30.6x) a mitad de camino hacia abajo, hacia la mediana de 5 años (27.1x)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bl>
    <w:p>
      <w:pPr>
        <w:spacing w:after="160" w:before="0"/>
      </w:pPr>
    </w:p>
    <w:p>
      <w:pPr>
        <w:spacing w:after="100"/>
      </w:pPr>
      <w:r>
        <w:rPr>
          <w:b/>
          <w:bCs/>
        </w:rPr>
        <w:t xml:space="preserve">Objetivo a 12 meses (ponderado):</w:t>
      </w:r>
      <w:r>
        <w:t xml:space="preserve"> 244,68 SEK · rentabilidad -7,8 % (base +2,1 %) · señal Mantener.</w:t>
      </w:r>
    </w:p>
    <w:p>
      <w:pPr>
        <w:spacing w:after="100"/>
      </w:pPr>
      <w:r>
        <w:t xml:space="preserve">Para comparar, con la regla v2 (historia al cierre, mismo precio): 25,9x / 27,3x / 28,0x, -9,4 %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(8,80 SEK) está un 12 % por debajo del consenso (10,03) y el de 2028 (9,42) un 15 % por debajo (11,09): ponemos ventas un 7 % menores en 2027 (crecimiento del 8 % frente al 14 %) y un margen EBITDA de 24,9 % frente a 25,8 %, porque no suponemos que la corona se debilite ni que el ciclo minero acelere más. Nuestro precio base (271,30 SEK) queda un 4,8 % por debajo del objetivo medio de los analistas (284,86): el múltiplo de la regla (28,8 veces) está por encima del que implícitamente usan ellos sobre un BPA mayor.</w:t>
      </w:r>
    </w:p>
    <w:p>
      <w:pPr>
        <w:keepNext/>
        <w:spacing w:after="100"/>
      </w:pPr>
      <w:r>
        <w:rPr>
          <w:b/>
          <w:bCs/>
        </w:rPr>
        <w:t xml:space="preserve">Del valor intrínseco al objetivo a 12 meses.</w:t>
      </w:r>
    </w:p>
    <w:p>
      <w:pPr>
        <w:spacing w:after="100"/>
      </w:pPr>
      <w:r>
        <w:t xml:space="preserve">El objetivo ponderado a 12 meses (244,68 SEK) está un 81 % por encima del valor intrínseco (135,39 SEK): el mercado valora a Epiroc por múltiplo de ciclo, no por flujos con un coste de capital del 9,8 %. Para que el precio converja al valor intrínseco haría falta un cambio de ciclo (cobre y oro a la baja) o un alza de tipos que comprima los múltiplos de los industriales suecos; ninguno tiene fecha. La tesis de valor es a varios años y no da señal de compra.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del segundo plazo del dividendo (1,90 SEK; registro el 19-oct)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del 0,7 %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y margen: la facturación de la cartera de equipos y la divisa deciden si el BPA de 2026 llega a 8 SEK</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dividendo por encima de 3,80 SEK sería el primero en subir en tres años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sin el efecto de la divisa de 2025-2026 en la comparación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cobre y del oro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caída del 20 % frenaría la exploración y los pedidos de equipos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Primeros equipos de la alianza con SANY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volumen en gama media o competencia en casa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inversión minera (caída de cobre y oro)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−46 % hasta el bajista a 12 meses (145,82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posventa (66 % de los ingresos) aguanta: en 2020 los ingresos cayeron un 12 % y el margen subió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equipos con caída orgánica de dos dígitos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exigente: el PER vuelve a la mediana de los comparables (20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(20,4 × 9,42 SEK = 192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posventa justifican cierta prima.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25 veces sin cambio de beneficios.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sueca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10 % de apreciación (estimación propia con el efecto del 2T26)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EE. UU., India y China; coberturas parciales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USD/SEK por debajo de 9 de forma sostenida.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(SANY, XCMG) en gama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el margen EBITDA baja 1,5 puntos de forma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SANY, marcas locales (GIA) y posventa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e inventario: pedidos que frenan con las fábricas a plena producción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(caja atrapada y descuentos)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Recambios con poca obsolescencia.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del 38 %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no rinden (Stanley Infrastructure)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(deterioro de parte de 6.944 M de fondo de comercio de Tools &amp; Attachments)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del área subió del 9,4 % al 12,2 %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Tools &amp; Attachments por debajo del 11 %.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que la IA se coma el negocio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material previsto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máquinas y recambios para mover roca; la IA mejora la automatización que vende Epiroc.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rival que domine el software de flotas mixtas y relegue a Epiroc a proveedor de hierro.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país y sanciones (África, Sudamérica)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Diversificación: ningún país supera el 20 %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Nacionalismo de recursos en Zambia, Congo o Perú.</w:t>
            </w:r>
          </w:p>
        </w:tc>
      </w:tr>
    </w:tbl>
    <w:p>
      <w:pPr>
        <w:spacing w:after="160" w:before="0"/>
      </w:pPr>
    </w:p>
    <w:p>
      <w:pPr>
        <w:pStyle w:val="Heading2"/>
      </w:pPr>
      <w:r>
        <w:t xml:space="preserve">Pre-mortem</w:t>
      </w:r>
    </w:p>
    <w:p>
      <w:pPr>
        <w:spacing w:after="100"/>
      </w:pPr>
      <w:r>
        <w:t xml:space="preserve">Octubre de 2029: la acción ha perdido un 40 %. En 2027 el cobre bajó de 6,6 a 4,5 USD por libra por la entrada de nuevas minas y un frenazo chino, y el oro corrigió un 25 % tras subir los tipos reales en EE. UU. Las mineras recortaron la inversión y la exploración: los pedidos de equipos de Epiroc cayeron un 30 % en 2028, con las fábricas aún dimensionadas para la cartera de 2026 y el inventario en máximos. Los ingresos bajaron un 10 %, el margen EBIT volvió al 17 % y el BPA cayó un tercio, a unos 6,3 SEK. El mercado, que pagaba 30 veces el beneficio del año siguiente, pasó a pagar 25 veces un beneficio menor. El indicador que lo habría anticipado: dos trimestres seguidos de pedidos de equipos con caída orgánica de dos dígitos, junto con un libro-facturación por debajo del 95 % y existencias subiendo.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Medalla de 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r>
    </w:tbl>
    <w:p>
      <w:pPr>
        <w:spacing w:after="160" w:before="0"/>
      </w:pPr>
    </w:p>
    <w:p>
      <w:pPr>
        <w:pStyle w:val="Heading2"/>
      </w:pPr>
      <w:r>
        <w:t xml:space="preserve">Asuntos materiales</w:t>
      </w:r>
    </w:p>
    <w:p>
      <w:pPr>
        <w:spacing w:after="100"/>
      </w:pPr>
      <w:r>
        <w:t xml:space="preserve">Seguridad: frecuencia de lesiones registrables (TRIFR) de 3,8 en el 2T26 frente a 4,2 un año antes [4]. Emisiones del uso de sus equipos (alcance 3), la mayoría del total: la gama eléctrica y el objetivo de oferta sin emisiones en 2030 son a la vez riesgo y oportunidad comercial [1]. Exposición a minería de carbón pequeña (2 % de los pedidos mineros) [1].</w:t>
      </w:r>
    </w:p>
    <w:p>
      <w:pPr>
        <w:pStyle w:val="Heading2"/>
      </w:pPr>
      <w:r>
        <w:t xml:space="preserve">Controversias</w:t>
      </w:r>
    </w:p>
    <w:p>
      <w:pPr>
        <w:spacing w:after="100"/>
      </w:pPr>
      <w:r>
        <w:t xml:space="preserve">Sin sanciones relevantes en tres años según el informe anual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equipos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equipos del 1S26 (13.877 M SEK) se factura en 2026 y cuál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BPA de 2026 llega a los 8,23 SEK del consenso o a nuestros 7,94.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la cartera de equipos grandes (Fortescue, Botsuana, Sudáfrica) frente al margen medio de equipos?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crecen el doble que la posventa: la mezcla puede comerse la mejora de eficiencia.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las existencias de 22.652 M es producción para pedidos firmes y cuánto stock de recambios?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es el 37 % de las ventas y el principal consumidor de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productos y mercados cubre la alianza con SANY y cómo se reparte el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la respuesta a la competencia china o abrirle la puerta.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Stanley Infrastructure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tiene hoy Stanley y cuándo esperan llegar al del área?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32 % de los ingresos del área y explica el ROIC incremental del 9,4 %.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comportaron los pedidos de posventa en 2015-2016 por mineral y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Calibra el bajista: cuánto cae la posventa si el cobre y el oro bajan.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(Shareville), foro de Epiroc B</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el cobre como motor de largo plazo, «buena compra» tras la caída de julio y una pregunta sobre si está cara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pone el valor razonable en 280 SEK con la acción en 243 tras el 2T26; otras la ven cara por PER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MarketScreener (notas de bancos recogidas)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finales de septiembre suben objetivos con el cobre y el oro (Citigroup 317, Goldman 305, BNP 305); Oddo sigue en Infraponderar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Inderes (foro)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la entrada del analista tras el 3T25 («calidad que se ha ganado una valoración alta»); sin debate en los últimos tres meses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Superciclo del cobre y del oro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65 % de los pedidos mineros son de cobre y oro y los pedidos de equipos crecen un 30 % orgánico; el riesgo es comprar en lo alto del ciclo de precios.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 unas 29 veces nuestro BPA de 2027, por encima de su mediana de 27 y de los comparables (20); la gente tiene razón en que no está barata.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Márgenes y divisa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corona restó 1 punto de margen en el 2T26 y el mercado castigó un 6 % el 17-jul; el margen ajustado aun así subió al 20,1 %.</w:t>
            </w:r>
          </w:p>
        </w:tc>
      </w:tr>
    </w:tbl>
    <w:p>
      <w:pPr>
        <w:spacing w:after="160" w:before="0"/>
      </w:pPr>
    </w:p>
    <w:p>
      <w:pPr>
        <w:spacing w:after="100"/>
      </w:pPr>
      <w:r>
        <w:t xml:space="preserve">El debate de particulares sobre Epiroc es escaso y moderadamente positivo, apoyado en la tesis del cobre; no hay euforia ni capitulación. Los bancos van algo por delante de los foros: subidas de objetivo desde septiembre. El foro de la acción A en Nordnet no tiene mensajes en seis meses [38]. No aporta un riesgo que el informe no recoja: lo que más se discute (precio exigente y divisa) ya está en la valoración. Confirma que el mercado descuenta un ciclo minero largo.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39 (19 primarias); citas distintas en el texto: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18,8 % frente a un ROIC de 16,3 % y un incremental histórico de 9,4 %: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4,5 % en 2032e frente al 4,7 %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38,0 % frente a 38,0 % real: genera una variación de circulante de 1.401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3T24-4T24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3T25 y 4T25 (solo comparan con 2024); 2) informe anual 2025 (sin trimestres); 3) no se descargaron los del 3T24-4T24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da cuotas); 2) Ken Research y MarkNtel (de pago); 3) estimación con los ingresos de las cotizadas (perímetros no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Ken Research (solo previsión); 2) IMARC (solo base 2024); 3) informe anual de Epiroc (no da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2026 (sin recuento); 2) acta de la junta en la web (no descargada: la web no abre sin navegador); 3) prensa sueca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Finansinspektionen (requiere navegador); 2) Stock Analysis (sin dato para EPI A); 3) prensa sueca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ROE y ROA); 2) informes anuales de los comparables (no descargados por presupuesto); 3) Stock Analysis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Stanley Infrastructure y DSI Underground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Epiroc (dic-23, abr-24) y presentación de Sandvik (ene-21): solo ventas; 2) informes anuales de Epiroc 2024-2025 (sin EBITDA de la adquirida); 3) prensa sectorial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Epiroc Annual and Sustainability Report 2025 (cuentas consolidadas, notas 3, 4, 13, 22, 23; resumen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https://mb.cision.com/Main/16899/4323601/3992085.pdf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Epiroc Annual and Sustainability Report 2023 (notas de arrendamientos e intangibles 2022-2023;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https://mb.cision.com/Main/16899/3942400/2654456.pdf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Annual and Sustainability Report 2021 (notas de arrendamientos, intangibles y segmentos 2020-2021)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https://mb.cision.com/Main/16899/3517772/1543872.pdf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interim report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https://mb.cision.com/Main/16899/4375716/4197580.pdf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interim report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https://mb.cision.com/Main/16899/4341697/4066139.pdf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interim report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https://mb.cision.com/Main/16899/4297572/3896941.pdf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interim report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https://mb.cision.com/Main/16899/4258152/3750117.pdf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interim report Q2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https://mb.cision.com/Main/16899/4208784/3585253.pdf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Aktiebolag: informes anuales ESEF 2021-2024 (xBRL-JSON; cuenta, balance y flujos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(ESEF, 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https://filings.xbrl.org/5493004Q73OEYW1SPE91/2024-12-31/ESEF/SE/0/epirocab-2024-12-31-0-sv/reports/epirocab-2024-12-31-0-sv.xhtml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Capital Markets Day: Innovation and global presence for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https://mb.cision.com/Main/16899/4358787/4137733.pdf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Mining Machinery Market (USD 133.090 M en 2025; 184.556 M en 2031; TCAC 5,6 %)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https://www.kenresearch.com/global-mining-machinery-market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Mining equipment market (IMARC: 156.190 M USD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 (vía HackMD)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https://hackmd.io/@Rwalker/Bk0KcUXOxe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 estimaciones y cuentas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https://www.marketscreener.com/quote/stock/SANDVIK-29421239/finances/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Caterpillar Inc.: estimaciones y cuentas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https://www.marketscreener.com/quote/stock/CATERPILLAR-INC-4817/finances/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Komatsu Ltd.: estimaciones y cuentas FY2025-FY2029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https://www.marketscreener.com/quote/stock/KOMATSU-LTD-6491329/finances/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Metso Oyj: estimaciones y cuentas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https://www.marketscreener.com/quote/stock/OUTOTEC-39432775/finances/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Weir Group PLC: estimaciones y cuentas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https://www.marketscreener.com/quote/stock/WEIR-PLC-9590176/finances/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estimaciones y cuentas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https://www.marketscreener.com/quote/stock/ATLAS-COPCO-AB-43306890/finances/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oro (GC=F) y cobre (HG=F): históricos mensuales 2021-2026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https://finance.yahoo.com/quote/HG%3DF/history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and SANY Group sign global partnership agreement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https://www.mfn.se/cis/a/epiroc/epiroc-and-sany-group-sign-global-partnership-agreement-dc21168a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from Epiroc’s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https://mb.cision.com/Main/16899/4344484/4077774.pdf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announces changes to Group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https://mb.cision.com/Main/16899/4370218/4177536.pdf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directivos (Insynsregistret): Epiroc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https://marknadssok.fi.se/publiceringsklient/en-GB/Search/Search?SearchFunctionType=Insyn&amp;Utgivare=Epiroc+AB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EPI-A.ST, ^OMX y EXH4.DE (precio, rango, volumen,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https://finance.yahoo.com/quote/EPI-A.ST/history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 (EPI A): estimaciones 2026-2028 (21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https://www.marketscreener.com/quote/stock/EPIROC-AB-44292455/finances/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 consenso de analistas y cambios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https://www.marketscreener.com/quote/stock/EPIROC-AB-44292455/consensus/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14-oct-2026 de SAND.ST, ATCO-A.ST, CAT, 6301.T, METSO.HE, WEIR.L y EPI-B.ST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https://finance.yahoo.com/quote/SAND.ST/history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Estado sueco a 10 años (SEGVB10YC), 13-oct-2026: 3,174 %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Riksbank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https://api.riksbank.se/swea/v1/Observations/SEGVB10YC/2026-09-25/2026-10-14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Weir to acquire Micromine (EV 657 M GBP; c.10x ventas y c.20x EBITDA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Weir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https://www.global.weir/globalassets/investors/reporting-centre/2025/weir-to-acquire-micromine-press-release.pdf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Weir investor presentation: acquisition of ESCO (EV 1.285 M USD; 12,6x EV/EBITDA 2018e)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Weir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https://global.weir/siteassets/pdfs/weir-investor-presentation_20180418_vfinal-website.pdf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Sandvik to acquire DSI Underground (EV 943 M EUR; ventas 518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Sandvik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https://www.home.sandvik/siteassets/investors/reports--presentations/acqusition-presentations/investor-presentation-sandvik-to-acquire-dsi-underground.pdf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completes acquisition of STANLEY Infrastructure (760 M USD, 8.200 M SEK; ventas 2023 ~450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https://www.epirocgroup.com/en/media/corporate-press-releases/2024/20240401-epiroc-completes-acquisition-of-stanley-infrastructure-to-strengthen-infrastructure-and-construction-business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Epiroc B en Nordnet (Shareville): mensajes de mar a sep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https://www.nordnet.se/aktier/kurser/epiroc-b-epi-b-xsto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Inderes: «Epiroc – gruvutrustning och infrastruktur»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https://forum.inderes.com/t/epiroc-gruvutrustning-och-infrastruktur/69226/last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narrativas de la comunidad y valor razonable (finales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https://simplywall.st/stocks/se/capital-goods/sto-epi-a/epiroc-shares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Epiroc A en Nordnet (sin mensajes en seis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https://www.nordnet.se/marknaden/aktiekurser/16886538-epiroc-a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«Equipos y servicios para minería»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(sectores/equipos-mineria-2026-10-14.md)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sectores/equipos-mineria-2026-10-14.md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88,8 %</w:t>
      </w:r>
      <w:r>
        <w:t xml:space="preserve"> · Secciones con menos del 60 % de campos cubiertos: </w:t>
      </w:r>
      <w:r>
        <w:rPr>
          <w:b/>
          <w:bCs/>
        </w:rPr>
        <w:t xml:space="preserve">ninguna</w:t>
      </w:r>
      <w:r>
        <w:t xml:space="preserve"> · Generado el 14 oct 2026.</w:t>
      </w:r>
    </w:p>
    <w:p>
      <w:pPr>
        <w:pStyle w:val="Nota"/>
        <w:spacing w:after="100"/>
      </w:pPr>
      <w:r>
        <w:t xml:space="preserve">Se analiza la acción A (EPI A, un voto), la más líquida; la B (EPI B, una décima de voto) cerró el 14-oct-2026 en 225,8 SEK, un 16 % por debajo [27]. La capitalización y los valores por acción usan el precio de la A para las 1.209,9 M de acciones en circulación (A y B, sin las 3,80 M de autocartera); con el precio de cada clase la capitalización sería unos 17.000 M SEK menor. Cuenta, balance y flujos 2020-2024 del XBRL ESEF, comprobados con los informes anuales; los pasivos con interés de Epiroc incluyen los arrendamientos, que se restan para la deuda financiera (2.769 M a dic-25; el puente de jun-26 usa esa cifra porque el semestral no la desglosa). El capex del XBRL omitía el inmovilizado material de 2022-2024 (concepto propio de la empresa): corregido con el estado de flujos. Segmentos 2020-2023 tal como se publicaron (mismas dos áreas, sin reexpresar). Comparables con estimaciones de MarketScreener (un solo proveedor), convertidas a SEK con el BCE del 14-oct; los últimos 12 meses son la media de 2025 y 2026e (Komatsu, 0,75 del ejercicio a mar-26 y 0,25 del siguiente). Tamaño de mercado de un proveedor de pago (cifra pública de cabecera).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Epiroc AB (publ) (EPI 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269,40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(186,60 – 284,30)</c:v>
                </c:pt>
                <c:pt idx="1">
                  <c:v>Precio objetivo de los analistas (230,00 – 340,00)</c:v>
                </c:pt>
                <c:pt idx="2">
                  <c:v>Comparables: EV/EBITDA NTM (178,80 – 260,70)</c:v>
                </c:pt>
                <c:pt idx="3">
                  <c:v>Comparables: PER NTM (186,64 – 221,13)</c:v>
                </c:pt>
                <c:pt idx="4">
                  <c:v>DCF (WACC y g ± 0,5) (116,16 – 133,06)</c:v>
                </c:pt>
                <c:pt idx="5">
                  <c:v>Escenarios (bajista – alcista) (91,32 – 137,03)</c:v>
                </c:pt>
                <c:pt idx="6">
                  <c:v>DCF con la prima implícita del mercado (4,2 %)</c:v>
                </c:pt>
                <c:pt idx="7">
                  <c:v>Precio actual (269,40)</c:v>
                </c:pt>
              </c:strCache>
            </c:strRef>
          </c:cat>
          <c:val>
            <c:numRef>
              <c:f>Hoja1!$B$2:$B$9</c:f>
              <c:numCache>
                <c:formatCode>#,##0</c:formatCode>
                <c:ptCount val="8"/>
                <c:pt idx="0">
                  <c:v>186.6</c:v>
                </c:pt>
                <c:pt idx="1">
                  <c:v>230</c:v>
                </c:pt>
                <c:pt idx="2">
                  <c:v>178.8</c:v>
                </c:pt>
                <c:pt idx="3">
                  <c:v>186.64</c:v>
                </c:pt>
                <c:pt idx="4">
                  <c:v>116.16</c:v>
                </c:pt>
                <c:pt idx="5">
                  <c:v>91.32</c:v>
                </c:pt>
                <c:pt idx="6">
                  <c:v>135.81</c:v>
                </c:pt>
                <c:pt idx="7">
                  <c:v>268.05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(186,60 – 284,30)</c:v>
                </c:pt>
                <c:pt idx="1">
                  <c:v>Precio objetivo de los analistas (230,00 – 340,00)</c:v>
                </c:pt>
                <c:pt idx="2">
                  <c:v>Comparables: EV/EBITDA NTM (178,80 – 260,70)</c:v>
                </c:pt>
                <c:pt idx="3">
                  <c:v>Comparables: PER NTM (186,64 – 221,13)</c:v>
                </c:pt>
                <c:pt idx="4">
                  <c:v>DCF (WACC y g ± 0,5) (116,16 – 133,06)</c:v>
                </c:pt>
                <c:pt idx="5">
                  <c:v>Escenarios (bajista – alcista) (91,32 – 137,03)</c:v>
                </c:pt>
                <c:pt idx="6">
                  <c:v>DCF con la prima implícita del mercado (4,2 %)</c:v>
                </c:pt>
                <c:pt idx="7">
                  <c:v>Precio actual (269,40)</c:v>
                </c:pt>
              </c:strCache>
            </c:strRef>
          </c:cat>
          <c:val>
            <c:numRef>
              <c:f>Hoja1!$C$2:$C$9</c:f>
              <c:numCache>
                <c:formatCode>#,##0</c:formatCode>
                <c:ptCount val="8"/>
                <c:pt idx="0">
                  <c:v>97.70000000000002</c:v>
                </c:pt>
                <c:pt idx="1">
                  <c:v>110</c:v>
                </c:pt>
                <c:pt idx="2">
                  <c:v>81.89999999999998</c:v>
                </c:pt>
                <c:pt idx="3">
                  <c:v>34.49000000000001</c:v>
                </c:pt>
                <c:pt idx="4">
                  <c:v>16.900000000000006</c:v>
                </c:pt>
                <c:pt idx="5">
                  <c:v>45.71000000000001</c:v>
                </c:pt>
                <c:pt idx="6">
                  <c:v>16.090000000000003</c:v>
                </c:pt>
                <c:pt idx="7">
                  <c:v>2.6999999999999886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Equipment &amp; Service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26927</c:v>
                </c:pt>
                <c:pt idx="1">
                  <c:v>29320</c:v>
                </c:pt>
                <c:pt idx="2">
                  <c:v>38904</c:v>
                </c:pt>
                <c:pt idx="3">
                  <c:v>47530</c:v>
                </c:pt>
                <c:pt idx="4">
                  <c:v>48914</c:v>
                </c:pt>
                <c:pt idx="5">
                  <c:v>47121</c:v>
                </c:pt>
              </c:numCache>
            </c:numRef>
          </c:val>
        </c:ser>
        <c:ser>
          <c:idx val="1"/>
          <c:order val="1"/>
          <c:tx>
            <c:strRef>
              <c:f>Hoja1!$C$1</c:f>
              <c:strCache>
                <c:ptCount val="1"/>
                <c:pt idx="0">
                  <c:v>Tools &amp; Attachments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9024</c:v>
                </c:pt>
                <c:pt idx="1">
                  <c:v>10205</c:v>
                </c:pt>
                <c:pt idx="2">
                  <c:v>10806</c:v>
                </c:pt>
                <c:pt idx="3">
                  <c:v>12723</c:v>
                </c:pt>
                <c:pt idx="4">
                  <c:v>14640</c:v>
                </c:pt>
                <c:pt idx="5">
                  <c:v>14788</c:v>
                </c:pt>
              </c:numCache>
            </c:numRef>
          </c:val>
        </c:ser>
        <c:ser>
          <c:idx val="2"/>
          <c:order val="2"/>
          <c:tx>
            <c:strRef>
              <c:f>Hoja1!$D$1</c:f>
              <c:strCache>
                <c:ptCount val="1"/>
                <c:pt idx="0">
                  <c:v>Funciones comunes y eliminaciones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171</c:v>
                </c:pt>
                <c:pt idx="1">
                  <c:v>120</c:v>
                </c:pt>
                <c:pt idx="2">
                  <c:v>-16</c:v>
                </c:pt>
                <c:pt idx="3">
                  <c:v>90</c:v>
                </c:pt>
                <c:pt idx="4">
                  <c:v>50</c:v>
                </c:pt>
                <c:pt idx="5">
                  <c:v>89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Equipment &amp; Service</c:v>
                </c:pt>
                <c:pt idx="1">
                  <c:v>Tools &amp; Attachments</c:v>
                </c:pt>
                <c:pt idx="2">
                  <c:v>Funciones comunes y eliminaciones</c:v>
                </c:pt>
              </c:strCache>
            </c:strRef>
          </c:cat>
          <c:val>
            <c:numRef>
              <c:f>Hoja1!$B$2:$B$4</c:f>
              <c:numCache>
                <c:formatCode>General</c:formatCode>
                <c:ptCount val="3"/>
                <c:pt idx="0">
                  <c:v>76</c:v>
                </c:pt>
                <c:pt idx="1">
                  <c:v>23.9</c:v>
                </c:pt>
                <c:pt idx="2">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Norteamérica</c:v>
                </c:pt>
                <c:pt idx="1">
                  <c:v>Asia/Australia</c:v>
                </c:pt>
                <c:pt idx="2">
                  <c:v>África/Oriente Medio</c:v>
                </c:pt>
                <c:pt idx="3">
                  <c:v>Europa</c:v>
                </c:pt>
                <c:pt idx="4">
                  <c:v>Sudamérica</c:v>
                </c:pt>
              </c:strCache>
            </c:strRef>
          </c:cat>
          <c:val>
            <c:numRef>
              <c:f>Hoja1!$B$2:$B$6</c:f>
              <c:numCache>
                <c:formatCode>0"%"</c:formatCode>
                <c:ptCount val="5"/>
                <c:pt idx="0">
                  <c:v>28.7</c:v>
                </c:pt>
                <c:pt idx="1">
                  <c:v>29.3</c:v>
                </c:pt>
                <c:pt idx="2">
                  <c:v>16.1</c:v>
                </c:pt>
                <c:pt idx="3">
                  <c:v>13.3</c:v>
                </c:pt>
                <c:pt idx="4">
                  <c:v>12.6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SEK (Ken Research, a 9,86 SEK/USD))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2025</c:v>
                </c:pt>
                <c:pt idx="1">
                  <c:v>2026e</c:v>
                </c:pt>
                <c:pt idx="2">
                  <c:v>2027e</c:v>
                </c:pt>
                <c:pt idx="3">
                  <c:v>2028e</c:v>
                </c:pt>
                <c:pt idx="4">
                  <c:v>2029e</c:v>
                </c:pt>
                <c:pt idx="5">
                  <c:v>2030e</c:v>
                </c:pt>
                <c:pt idx="6">
                  <c:v>2031e</c:v>
                </c:pt>
              </c:strCache>
            </c:strRef>
          </c:cat>
          <c:val>
            <c:numRef>
              <c:f>Hoja1!$B$2:$B$8</c:f>
              <c:numCache>
                <c:formatCode>#,##0</c:formatCode>
                <c:ptCount val="7"/>
                <c:pt idx="0">
                  <c:v>1312267</c:v>
                </c:pt>
                <c:pt idx="1">
                  <c:v>1385754</c:v>
                </c:pt>
                <c:pt idx="2">
                  <c:v>1463357</c:v>
                </c:pt>
                <c:pt idx="3">
                  <c:v>1545305</c:v>
                </c:pt>
                <c:pt idx="4">
                  <c:v>1631842</c:v>
                </c:pt>
                <c:pt idx="5">
                  <c:v>1723225</c:v>
                </c:pt>
                <c:pt idx="6">
                  <c:v>1819722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Epiroc</c:v>
                </c:pt>
                <c:pt idx="1">
                  <c:v>Caterpillar</c:v>
                </c:pt>
                <c:pt idx="2">
                  <c:v>Komatsu</c:v>
                </c:pt>
                <c:pt idx="3">
                  <c:v>Atlas Copco</c:v>
                </c:pt>
                <c:pt idx="4">
                  <c:v>Sandvik</c:v>
                </c:pt>
                <c:pt idx="5">
                  <c:v>Metso</c:v>
                </c:pt>
                <c:pt idx="6">
                  <c:v>Weir</c:v>
                </c:pt>
              </c:strCache>
            </c:strRef>
          </c:cat>
          <c:val>
            <c:numRef>
              <c:f>Hoja1!$B$2:$B$8</c:f>
              <c:numCache>
                <c:formatCode>0.0"%"</c:formatCode>
                <c:ptCount val="7"/>
                <c:pt idx="0">
                  <c:v>19.2</c:v>
                </c:pt>
                <c:pt idx="1">
                  <c:v>16.5</c:v>
                </c:pt>
                <c:pt idx="2">
                  <c:v>13.7</c:v>
                </c:pt>
                <c:pt idx="3">
                  <c:v>20.7</c:v>
                </c:pt>
                <c:pt idx="4">
                  <c:v>17.8</c:v>
                </c:pt>
                <c:pt idx="5">
                  <c:v>15.8</c:v>
                </c:pt>
                <c:pt idx="6">
                  <c:v>20.2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36122</c:v>
                </c:pt>
                <c:pt idx="1">
                  <c:v>39645</c:v>
                </c:pt>
                <c:pt idx="2">
                  <c:v>49694</c:v>
                </c:pt>
                <c:pt idx="3">
                  <c:v>60343</c:v>
                </c:pt>
                <c:pt idx="4">
                  <c:v>63604</c:v>
                </c:pt>
                <c:pt idx="5">
                  <c:v>61998</c:v>
                </c:pt>
                <c:pt idx="6">
                  <c:v>65718</c:v>
                </c:pt>
                <c:pt idx="7">
                  <c:v>70975</c:v>
                </c:pt>
                <c:pt idx="8">
                  <c:v>75234</c:v>
                </c:pt>
                <c:pt idx="9">
                  <c:v>78619</c:v>
                </c:pt>
                <c:pt idx="10">
                  <c:v>81764</c:v>
                </c:pt>
                <c:pt idx="11">
                  <c:v>84626</c:v>
                </c:pt>
                <c:pt idx="12">
                  <c:v>87165</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9128</c:v>
                </c:pt>
                <c:pt idx="1">
                  <c:v>10740</c:v>
                </c:pt>
                <c:pt idx="2">
                  <c:v>13276</c:v>
                </c:pt>
                <c:pt idx="3">
                  <c:v>15843</c:v>
                </c:pt>
                <c:pt idx="4">
                  <c:v>15827</c:v>
                </c:pt>
                <c:pt idx="5">
                  <c:v>15011</c:v>
                </c:pt>
                <c:pt idx="6">
                  <c:v>16167</c:v>
                </c:pt>
                <c:pt idx="7">
                  <c:v>17673</c:v>
                </c:pt>
                <c:pt idx="8">
                  <c:v>18808</c:v>
                </c:pt>
                <c:pt idx="9">
                  <c:v>19498</c:v>
                </c:pt>
                <c:pt idx="10">
                  <c:v>20114</c:v>
                </c:pt>
                <c:pt idx="11">
                  <c:v>20649</c:v>
                </c:pt>
                <c:pt idx="12">
                  <c:v>21094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37.9</c:v>
                </c:pt>
                <c:pt idx="1">
                  <c:v>39</c:v>
                </c:pt>
                <c:pt idx="2">
                  <c:v>38.3</c:v>
                </c:pt>
                <c:pt idx="3">
                  <c:v>38.4</c:v>
                </c:pt>
                <c:pt idx="4">
                  <c:v>36.1</c:v>
                </c:pt>
                <c:pt idx="5">
                  <c:v>37.1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25.3</c:v>
                </c:pt>
                <c:pt idx="1">
                  <c:v>27.1</c:v>
                </c:pt>
                <c:pt idx="2">
                  <c:v>26.7</c:v>
                </c:pt>
                <c:pt idx="3">
                  <c:v>26.3</c:v>
                </c:pt>
                <c:pt idx="4">
                  <c:v>24.9</c:v>
                </c:pt>
                <c:pt idx="5">
                  <c:v>24.2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20.4</c:v>
                </c:pt>
                <c:pt idx="1">
                  <c:v>22.7</c:v>
                </c:pt>
                <c:pt idx="2">
                  <c:v>22.4</c:v>
                </c:pt>
                <c:pt idx="3">
                  <c:v>21.8</c:v>
                </c:pt>
                <c:pt idx="4">
                  <c:v>19.5</c:v>
                </c:pt>
                <c:pt idx="5">
                  <c:v>19.2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14.9</c:v>
                </c:pt>
                <c:pt idx="1">
                  <c:v>17.8</c:v>
                </c:pt>
                <c:pt idx="2">
                  <c:v>16.9</c:v>
                </c:pt>
                <c:pt idx="3">
                  <c:v>15.6</c:v>
                </c:pt>
                <c:pt idx="4">
                  <c:v>13.7</c:v>
                </c:pt>
                <c:pt idx="5">
                  <c:v>13.9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9.8</c:v>
                </c:pt>
                <c:pt idx="3">
                  <c:v>-8.4</c:v>
                </c:pt>
                <c:pt idx="4">
                  <c:v>-2.9</c:v>
                </c:pt>
                <c:pt idx="5">
                  <c:v>-6.7</c:v>
                </c:pt>
                <c:pt idx="6">
                  <c:v>-7.6</c:v>
                </c:pt>
                <c:pt idx="7">
                  <c:v>10.4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3">
                  <c:v>1</c:v>
                </c:pt>
                <c:pt idx="4">
                  <c:v>5</c:v>
                </c:pt>
                <c:pt idx="5">
                  <c:v>4</c:v>
                </c:pt>
                <c:pt idx="6">
                  <c:v>2</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61</c:v>
                </c:pt>
                <c:pt idx="1">
                  <c:v>66</c:v>
                </c:pt>
                <c:pt idx="2">
                  <c:v>70</c:v>
                </c:pt>
                <c:pt idx="3">
                  <c:v>63</c:v>
                </c:pt>
                <c:pt idx="4">
                  <c:v>71</c:v>
                </c:pt>
                <c:pt idx="5">
                  <c:v>66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145</c:v>
                </c:pt>
                <c:pt idx="1">
                  <c:v>179</c:v>
                </c:pt>
                <c:pt idx="2">
                  <c:v>202</c:v>
                </c:pt>
                <c:pt idx="3">
                  <c:v>184</c:v>
                </c:pt>
                <c:pt idx="4">
                  <c:v>172</c:v>
                </c:pt>
                <c:pt idx="5">
                  <c:v>169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59</c:v>
                </c:pt>
                <c:pt idx="1">
                  <c:v>83</c:v>
                </c:pt>
                <c:pt idx="2">
                  <c:v>76</c:v>
                </c:pt>
                <c:pt idx="3">
                  <c:v>58</c:v>
                </c:pt>
                <c:pt idx="4">
                  <c:v>52</c:v>
                </c:pt>
                <c:pt idx="5">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6872</c:v>
                </c:pt>
                <c:pt idx="1">
                  <c:v>6237</c:v>
                </c:pt>
                <c:pt idx="2">
                  <c:v>4074</c:v>
                </c:pt>
                <c:pt idx="3">
                  <c:v>4883</c:v>
                </c:pt>
                <c:pt idx="4">
                  <c:v>7937</c:v>
                </c:pt>
                <c:pt idx="5">
                  <c:v>7898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5399</c:v>
                </c:pt>
                <c:pt idx="1">
                  <c:v>7058</c:v>
                </c:pt>
                <c:pt idx="2">
                  <c:v>8397</c:v>
                </c:pt>
                <c:pt idx="3">
                  <c:v>9431</c:v>
                </c:pt>
                <c:pt idx="4">
                  <c:v>8731</c:v>
                </c:pt>
                <c:pt idx="5">
                  <c:v>8602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29.9</c:v>
                </c:pt>
                <c:pt idx="1">
                  <c:v>33</c:v>
                </c:pt>
                <c:pt idx="2">
                  <c:v>28.4</c:v>
                </c:pt>
                <c:pt idx="3">
                  <c:v>24.9</c:v>
                </c:pt>
                <c:pt idx="4">
                  <c:v>18.4</c:v>
                </c:pt>
                <c:pt idx="5">
                  <c:v>16.3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9.8</c:v>
                </c:pt>
                <c:pt idx="1">
                  <c:v>9.8</c:v>
                </c:pt>
                <c:pt idx="2">
                  <c:v>9.8</c:v>
                </c:pt>
                <c:pt idx="3">
                  <c:v>9.8</c:v>
                </c:pt>
                <c:pt idx="4">
                  <c:v>9.8</c:v>
                </c:pt>
                <c:pt idx="5">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22.8</c:v>
                </c:pt>
                <c:pt idx="1">
                  <c:v>28.6</c:v>
                </c:pt>
                <c:pt idx="2">
                  <c:v>28.6</c:v>
                </c:pt>
                <c:pt idx="3">
                  <c:v>27</c:v>
                </c:pt>
                <c:pt idx="4">
                  <c:v>21.9</c:v>
                </c:pt>
                <c:pt idx="5">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-0.54</c:v>
                </c:pt>
                <c:pt idx="1">
                  <c:v>-0.15</c:v>
                </c:pt>
                <c:pt idx="2">
                  <c:v>0.27</c:v>
                </c:pt>
                <c:pt idx="3">
                  <c:v>0.48</c:v>
                </c:pt>
                <c:pt idx="4">
                  <c:v>0.94</c:v>
                </c:pt>
                <c:pt idx="5">
                  <c:v>0.76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(SEK,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3368</c:v>
                </c:pt>
                <c:pt idx="1">
                  <c:v>3516</c:v>
                </c:pt>
                <c:pt idx="2">
                  <c:v>1905</c:v>
                </c:pt>
                <c:pt idx="3">
                  <c:v>856</c:v>
                </c:pt>
                <c:pt idx="4">
                  <c:v>3293</c:v>
                </c:pt>
                <c:pt idx="5">
                  <c:v>7093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63</c:v>
                </c:pt>
                <c:pt idx="1">
                  <c:v>2358</c:v>
                </c:pt>
                <c:pt idx="2">
                  <c:v>4696</c:v>
                </c:pt>
                <c:pt idx="3">
                  <c:v>3666</c:v>
                </c:pt>
                <c:pt idx="4">
                  <c:v>9658</c:v>
                </c:pt>
                <c:pt idx="5">
                  <c:v>443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2892</c:v>
                </c:pt>
                <c:pt idx="1">
                  <c:v>3016</c:v>
                </c:pt>
                <c:pt idx="2">
                  <c:v>3619</c:v>
                </c:pt>
                <c:pt idx="3">
                  <c:v>4103</c:v>
                </c:pt>
                <c:pt idx="4">
                  <c:v>4591</c:v>
                </c:pt>
                <c:pt idx="5">
                  <c:v>4594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284</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Dominical</c:v>
                </c:pt>
                <c:pt idx="2">
                  <c:v>Ejecutivo</c:v>
                </c:pt>
                <c:pt idx="3">
                  <c:v>Otro externo</c:v>
                </c:pt>
              </c:strCache>
            </c:strRef>
          </c:cat>
          <c:val>
            <c:numRef>
              <c:f>Hoja1!$B$2:$B$5</c:f>
              <c:numCache>
                <c:formatCode>0</c:formatCode>
                <c:ptCount val="4"/>
                <c:pt idx="0">
                  <c:v>7</c:v>
                </c:pt>
                <c:pt idx="1">
                  <c:v>2</c:v>
                </c:pt>
                <c:pt idx="2">
                  <c:v>1</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Investor AB</c:v>
                </c:pt>
                <c:pt idx="1">
                  <c:v>Swedbank Robur Fonder</c:v>
                </c:pt>
                <c:pt idx="2">
                  <c:v>Vanguard</c:v>
                </c:pt>
                <c:pt idx="3">
                  <c:v>BlackRock</c:v>
                </c:pt>
                <c:pt idx="4">
                  <c:v>Alecta Tjänstepension</c:v>
                </c:pt>
                <c:pt idx="5">
                  <c:v>Handelsbanken Fonder</c:v>
                </c:pt>
                <c:pt idx="6">
                  <c:v>Fidelity (FMR)</c:v>
                </c:pt>
                <c:pt idx="7">
                  <c:v>Autocartera (acciones A)</c:v>
                </c:pt>
              </c:strCache>
            </c:strRef>
          </c:cat>
          <c:val>
            <c:numRef>
              <c:f>Hoja1!$B$2:$B$9</c:f>
              <c:numCache>
                <c:formatCode>0.0"%"</c:formatCode>
                <c:ptCount val="8"/>
                <c:pt idx="0">
                  <c:v>17.1</c:v>
                </c:pt>
                <c:pt idx="1">
                  <c:v>4.2</c:v>
                </c:pt>
                <c:pt idx="2">
                  <c:v>3.7</c:v>
                </c:pt>
                <c:pt idx="3">
                  <c:v>3.7</c:v>
                </c:pt>
                <c:pt idx="4">
                  <c:v>2.9</c:v>
                </c:pt>
                <c:pt idx="5">
                  <c:v>2.8</c:v>
                </c:pt>
                <c:pt idx="6">
                  <c:v>2.7</c:v>
                </c:pt>
                <c:pt idx="7">
                  <c:v>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36.4</c:v>
                </c:pt>
                <c:pt idx="1">
                  <c:v>30.9</c:v>
                </c:pt>
                <c:pt idx="2">
                  <c:v>53.2</c:v>
                </c:pt>
                <c:pt idx="3">
                  <c:v>-17.2</c:v>
                </c:pt>
                <c:pt idx="4">
                  <c:v>6.5</c:v>
                </c:pt>
                <c:pt idx="5">
                  <c:v>-4.8</c:v>
                </c:pt>
                <c:pt idx="6">
                  <c:v>9</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25.8</c:v>
                </c:pt>
                <c:pt idx="1">
                  <c:v>5.8</c:v>
                </c:pt>
                <c:pt idx="2">
                  <c:v>29.1</c:v>
                </c:pt>
                <c:pt idx="3">
                  <c:v>-15.6</c:v>
                </c:pt>
                <c:pt idx="4">
                  <c:v>17.4</c:v>
                </c:pt>
                <c:pt idx="5">
                  <c:v>3.5</c:v>
                </c:pt>
                <c:pt idx="6">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19.2</c:v>
                </c:pt>
                <c:pt idx="1">
                  <c:v>25.6</c:v>
                </c:pt>
                <c:pt idx="2">
                  <c:v>17.6</c:v>
                </c:pt>
                <c:pt idx="3">
                  <c:v>15.9</c:v>
                </c:pt>
                <c:pt idx="4">
                  <c:v>15.7</c:v>
                </c:pt>
                <c:pt idx="5">
                  <c:v>17.7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17.7</c:v>
                </c:pt>
                <c:pt idx="1">
                  <c:v>17.7</c:v>
                </c:pt>
                <c:pt idx="2">
                  <c:v>17.7</c:v>
                </c:pt>
                <c:pt idx="3">
                  <c:v>17.7</c:v>
                </c:pt>
                <c:pt idx="4">
                  <c:v>17.7</c:v>
                </c:pt>
                <c:pt idx="5">
                  <c:v>17.7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Epiroc</c:v>
                </c:pt>
                <c:pt idx="1">
                  <c:v>Sandvik</c:v>
                </c:pt>
                <c:pt idx="2">
                  <c:v>Atlas Copco</c:v>
                </c:pt>
                <c:pt idx="3">
                  <c:v>Caterpillar</c:v>
                </c:pt>
                <c:pt idx="4">
                  <c:v>Komatsu</c:v>
                </c:pt>
                <c:pt idx="5">
                  <c:v>Metso</c:v>
                </c:pt>
                <c:pt idx="6">
                  <c:v>Weir</c:v>
                </c:pt>
              </c:strCache>
            </c:strRef>
          </c:cat>
          <c:val>
            <c:numRef>
              <c:f>Hoja1!$B$2:$B$8</c:f>
              <c:numCache>
                <c:formatCode>0.0"x"</c:formatCode>
                <c:ptCount val="7"/>
                <c:pt idx="0">
                  <c:v>17.9</c:v>
                </c:pt>
                <c:pt idx="1">
                  <c:v>12.3</c:v>
                </c:pt>
                <c:pt idx="2">
                  <c:v>18.8</c:v>
                </c:pt>
                <c:pt idx="3">
                  <c:v>18.8</c:v>
                </c:pt>
                <c:pt idx="4">
                  <c:v>9.3</c:v>
                </c:pt>
                <c:pt idx="5">
                  <c:v>12.9</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Epiroc</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14.7</c:v>
                </c:pt>
              </c:numCache>
            </c:numRef>
          </c:xVal>
          <c:yVal>
            <c:numRef>
              <c:f>Hoja1!$C$2</c:f>
              <c:numCache>
                <c:formatCode>0.0"x"</c:formatCode>
                <c:ptCount val="1"/>
                <c:pt idx="0">
                  <c:v>17.9</c:v>
                </c:pt>
              </c:numCache>
            </c:numRef>
          </c:yVal>
          <c:smooth val="0"/>
        </c:ser>
        <c:ser>
          <c:idx val="1"/>
          <c:order val="1"/>
          <c:tx>
            <c:strRef>
              <c:f>Hoja1!$A$3</c:f>
              <c:strCache>
                <c:ptCount val="1"/>
                <c:pt idx="0">
                  <c:v>Sandvik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21.1</c:v>
                </c:pt>
              </c:numCache>
            </c:numRef>
          </c:xVal>
          <c:yVal>
            <c:numRef>
              <c:f>Hoja1!$C$3</c:f>
              <c:numCache>
                <c:formatCode>0.0"x"</c:formatCode>
                <c:ptCount val="1"/>
                <c:pt idx="0">
                  <c:v>12.3</c:v>
                </c:pt>
              </c:numCache>
            </c:numRef>
          </c:yVal>
          <c:smooth val="0"/>
        </c:ser>
        <c:ser>
          <c:idx val="2"/>
          <c:order val="2"/>
          <c:tx>
            <c:strRef>
              <c:f>Hoja1!$A$4</c:f>
              <c:strCache>
                <c:ptCount val="1"/>
                <c:pt idx="0">
                  <c:v>Atlas Copco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17</c:v>
                </c:pt>
              </c:numCache>
            </c:numRef>
          </c:xVal>
          <c:yVal>
            <c:numRef>
              <c:f>Hoja1!$C$4</c:f>
              <c:numCache>
                <c:formatCode>0.0"x"</c:formatCode>
                <c:ptCount val="1"/>
                <c:pt idx="0">
                  <c:v>18.8</c:v>
                </c:pt>
              </c:numCache>
            </c:numRef>
          </c:yVal>
          <c:smooth val="0"/>
        </c:ser>
        <c:ser>
          <c:idx val="3"/>
          <c:order val="3"/>
          <c:tx>
            <c:strRef>
              <c:f>Hoja1!$A$5</c:f>
              <c:strCache>
                <c:ptCount val="1"/>
                <c:pt idx="0">
                  <c:v>Caterpillar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17.9</c:v>
                </c:pt>
              </c:numCache>
            </c:numRef>
          </c:xVal>
          <c:yVal>
            <c:numRef>
              <c:f>Hoja1!$C$5</c:f>
              <c:numCache>
                <c:formatCode>0.0"x"</c:formatCode>
                <c:ptCount val="1"/>
                <c:pt idx="0">
                  <c:v>18.8</c:v>
                </c:pt>
              </c:numCache>
            </c:numRef>
          </c:yVal>
          <c:smooth val="0"/>
        </c:ser>
        <c:ser>
          <c:idx val="4"/>
          <c:order val="4"/>
          <c:tx>
            <c:strRef>
              <c:f>Hoja1!$A$6</c:f>
              <c:strCache>
                <c:ptCount val="1"/>
                <c:pt idx="0">
                  <c:v>Komatsu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7.8</c:v>
                </c:pt>
              </c:numCache>
            </c:numRef>
          </c:xVal>
          <c:yVal>
            <c:numRef>
              <c:f>Hoja1!$C$6</c:f>
              <c:numCache>
                <c:formatCode>0.0"x"</c:formatCode>
                <c:ptCount val="1"/>
                <c:pt idx="0">
                  <c:v>9.3</c:v>
                </c:pt>
              </c:numCache>
            </c:numRef>
          </c:yVal>
          <c:smooth val="0"/>
        </c:ser>
        <c:ser>
          <c:idx val="5"/>
          <c:order val="5"/>
          <c:tx>
            <c:strRef>
              <c:f>Hoja1!$A$7</c:f>
              <c:strCache>
                <c:ptCount val="1"/>
                <c:pt idx="0">
                  <c:v>Metso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11.4</c:v>
                </c:pt>
              </c:numCache>
            </c:numRef>
          </c:xVal>
          <c:yVal>
            <c:numRef>
              <c:f>Hoja1!$C$7</c:f>
              <c:numCache>
                <c:formatCode>0.0"x"</c:formatCode>
                <c:ptCount val="1"/>
                <c:pt idx="0">
                  <c:v>12.9</c:v>
                </c:pt>
              </c:numCache>
            </c:numRef>
          </c:yVal>
          <c:smooth val="0"/>
        </c:ser>
        <c:ser>
          <c:idx val="6"/>
          <c:order val="6"/>
          <c:tx>
            <c:strRef>
              <c:f>Hoja1!$A$8</c:f>
              <c:strCache>
                <c:ptCount val="1"/>
                <c:pt idx="0">
                  <c:v>Weir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9.1</c:v>
                </c:pt>
              </c:numCache>
            </c:numRef>
          </c:xVal>
          <c:yVal>
            <c:numRef>
              <c:f>Hoja1!$C$8</c:f>
              <c:numCache>
                <c:formatCode>0.0"x"</c:formatCode>
                <c:ptCount val="1"/>
                <c:pt idx="0">
                  <c:v>12</c:v>
                </c:pt>
              </c:numCache>
            </c:numRef>
          </c:yVal>
          <c:smooth val="0"/>
        </c:ser>
        <c:axId val="10"/>
        <c:axId val="20"/>
      </c:scatterChart>
      <c:valAx>
        <c:axId val="10"/>
        <c:scaling>
          <c:orientation val="minMax"/>
          <c:max val="25"/>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Micromine (software de minería, Australia)</c:v>
                </c:pt>
                <c:pt idx="1">
                  <c:v>Stanley Infrastructure (implementos hidráulicos, EE. UU.)</c:v>
                </c:pt>
                <c:pt idx="2">
                  <c:v>DSI Underground (sostenimiento de roca)</c:v>
                </c:pt>
                <c:pt idx="3">
                  <c:v>ESCO (piezas de desgaste para minería)</c:v>
                </c:pt>
              </c:strCache>
            </c:strRef>
          </c:cat>
          <c:val>
            <c:numRef>
              <c:f>Hoja1!$B$2:$B$5</c:f>
              <c:numCache>
                <c:formatCode>0.0"x"</c:formatCode>
                <c:ptCount val="4"/>
                <c:pt idx="0">
                  <c:v>20</c:v>
                </c:pt>
                <c:pt idx="3">
                  <c:v>12.6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7896</c:v>
                </c:pt>
                <c:pt idx="1">
                  <c:v>6999</c:v>
                </c:pt>
                <c:pt idx="2">
                  <c:v>8052</c:v>
                </c:pt>
                <c:pt idx="3">
                  <c:v>8855</c:v>
                </c:pt>
                <c:pt idx="4">
                  <c:v>9391</c:v>
                </c:pt>
                <c:pt idx="5">
                  <c:v>10163</c:v>
                </c:pt>
                <c:pt idx="6">
                  <c:v>10925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41520</c:v>
                </c:pt>
                <c:pt idx="1">
                  <c:v>119712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269,40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91.32</c:v>
                </c:pt>
                <c:pt idx="1">
                  <c:v>123.71</c:v>
                </c:pt>
                <c:pt idx="2">
                  <c:v>137.03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269,40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(186,60 – 284,30)</c:v>
                </c:pt>
                <c:pt idx="1">
                  <c:v>Precio objetivo de los analistas (230,00 – 340,00)</c:v>
                </c:pt>
                <c:pt idx="2">
                  <c:v>Comparables: EV/EBITDA NTM (178,80 – 260,70)</c:v>
                </c:pt>
                <c:pt idx="3">
                  <c:v>Comparables: PER NTM (186,64 – 221,13)</c:v>
                </c:pt>
                <c:pt idx="4">
                  <c:v>DCF (WACC y g ± 0,5) (116,16 – 133,06)</c:v>
                </c:pt>
                <c:pt idx="5">
                  <c:v>Escenarios (bajista – alcista) (91,32 – 137,03)</c:v>
                </c:pt>
                <c:pt idx="6">
                  <c:v>DCF con la prima implícita del mercado (4,2 %)</c:v>
                </c:pt>
                <c:pt idx="7">
                  <c:v>Precio actual (269,40)</c:v>
                </c:pt>
              </c:strCache>
            </c:strRef>
          </c:cat>
          <c:val>
            <c:numRef>
              <c:f>Hoja1!$B$2:$B$9</c:f>
              <c:numCache>
                <c:formatCode>#,##0</c:formatCode>
                <c:ptCount val="8"/>
                <c:pt idx="0">
                  <c:v>186.6</c:v>
                </c:pt>
                <c:pt idx="1">
                  <c:v>230</c:v>
                </c:pt>
                <c:pt idx="2">
                  <c:v>178.8</c:v>
                </c:pt>
                <c:pt idx="3">
                  <c:v>186.64</c:v>
                </c:pt>
                <c:pt idx="4">
                  <c:v>116.16</c:v>
                </c:pt>
                <c:pt idx="5">
                  <c:v>91.32</c:v>
                </c:pt>
                <c:pt idx="6">
                  <c:v>135.81</c:v>
                </c:pt>
                <c:pt idx="7">
                  <c:v>268.05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(186,60 – 284,30)</c:v>
                </c:pt>
                <c:pt idx="1">
                  <c:v>Precio objetivo de los analistas (230,00 – 340,00)</c:v>
                </c:pt>
                <c:pt idx="2">
                  <c:v>Comparables: EV/EBITDA NTM (178,80 – 260,70)</c:v>
                </c:pt>
                <c:pt idx="3">
                  <c:v>Comparables: PER NTM (186,64 – 221,13)</c:v>
                </c:pt>
                <c:pt idx="4">
                  <c:v>DCF (WACC y g ± 0,5) (116,16 – 133,06)</c:v>
                </c:pt>
                <c:pt idx="5">
                  <c:v>Escenarios (bajista – alcista) (91,32 – 137,03)</c:v>
                </c:pt>
                <c:pt idx="6">
                  <c:v>DCF con la prima implícita del mercado (4,2 %)</c:v>
                </c:pt>
                <c:pt idx="7">
                  <c:v>Precio actual (269,40)</c:v>
                </c:pt>
              </c:strCache>
            </c:strRef>
          </c:cat>
          <c:val>
            <c:numRef>
              <c:f>Hoja1!$C$2:$C$9</c:f>
              <c:numCache>
                <c:formatCode>#,##0</c:formatCode>
                <c:ptCount val="8"/>
                <c:pt idx="0">
                  <c:v>97.70000000000002</c:v>
                </c:pt>
                <c:pt idx="1">
                  <c:v>110</c:v>
                </c:pt>
                <c:pt idx="2">
                  <c:v>81.89999999999998</c:v>
                </c:pt>
                <c:pt idx="3">
                  <c:v>34.49000000000001</c:v>
                </c:pt>
                <c:pt idx="4">
                  <c:v>16.900000000000006</c:v>
                </c:pt>
                <c:pt idx="5">
                  <c:v>45.71000000000001</c:v>
                </c:pt>
                <c:pt idx="6">
                  <c:v>16.090000000000003</c:v>
                </c:pt>
                <c:pt idx="7">
                  <c:v>2.6999999999999886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