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Harbour Energy plc</w:t>
      </w:r>
    </w:p>
    <w:p>
      <w:pPr>
        <w:spacing w:after="60"/>
        <w:rPr>
          <w:color w:val="52514E"/>
          <w:sz w:val="22"/>
          <w:szCs w:val="22"/>
        </w:rPr>
      </w:pPr>
      <w:r>
        <w:rPr>
          <w:color w:val="52514E"/>
          <w:sz w:val="22"/>
          <w:szCs w:val="22"/>
        </w:rPr>
        <w:t xml:space="preserve">HBR · Bolsa de Londres (LSE, segmento principal) · ISIN GB00BMBVGQ36 · Energía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3,94 USD (296,40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2,61 USD (196,14 GBp)</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-28,6 % (base -34,8 %)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5,35 USD (402,04 GBp) · mercado 6,04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7.058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2,5x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Harbour Energy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HBR / GB00BMBVGQ36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Londres (LSE, segmento principal)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250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Energía / Exploración y producción de petróleo y gas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Edimburgo (Escocia); oficinas centrales en Londres · 2021 (Chrysaor, 2017; Premier Oil, 1934)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https://www.harbourenergy.com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3,94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 – 4,27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1.789,4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7.058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20.957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5,6 M de acciones/día (3 meses), ≈ 15 M GBP/día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Objetivo a 12 meses </w:t>
      </w:r>
      <w:r>
        <w:rPr>
          <w:b/>
          <w:bCs/>
        </w:rPr>
        <w:t xml:space="preserve">2,61 USD (196,14 GBp)</w:t>
      </w:r>
      <w:r>
        <w:t xml:space="preserve"> frente a 3,94 (296,40 GBp) · Rentabilidad a 12 meses </w:t>
      </w:r>
      <w:r>
        <w:rPr>
          <w:b/>
          <w:bCs/>
        </w:rPr>
        <w:t xml:space="preserve">-28,6 % (base -34,8 %)</w:t>
      </w:r>
      <w:r>
        <w:t xml:space="preserve"> · Valor intrínseco 5,35 USD (402,04 GBp) · con la prima implícita del mercado: 6,04 (453,90 GBp) (+53,1 %) · Alcista / bajista +117,3 % / -74,4 %</w:t>
      </w:r>
    </w:p>
    <w:p>
      <w:pPr>
        <w:spacing w:after="100"/>
      </w:pPr>
      <w:r>
        <w:rPr>
          <w:b/>
        </w:rPr>
        <w:t xml:space="preserve">La recomendación y por qué.</w:t>
      </w:r>
      <w:r>
        <w:t xml:space="preserve"> Vender, con convicción baja. La regla común a 12 meses da un objetivo ponderado de 2,61 USD (196 peniques), un −28,6 % con el dividendo (base −34,8 %), porque aplica al beneficio de 2028 (0,51 USD, con la curva de futuros) el múltiplo de hoy, calculado sobre el beneficio de la guerra (4,6 veces). Con la v3 sin selector, −20,7 %: las dos reglas dicen Vender. La convicción es baja, y no media como sugiere el motor, porque el valor intrínseco apunta al otro lado (5,35 USD, +36 %) y la regla de múltiplos encaja mal con una petrolera en un pico de precios.</w:t>
      </w:r>
    </w:p>
    <w:p>
      <w:pPr>
        <w:spacing w:after="100"/>
      </w:pPr>
      <w:r>
        <w:rPr>
          <w:b/>
        </w:rPr>
        <w:t xml:space="preserve">El negocio.</w:t>
      </w:r>
      <w:r>
        <w:t xml:space="preserve"> Harbour produce ≈ 500.000 barriles equivalentes al día en Noruega, el Reino Unido, Argentina, el golfo de EE. UU., Alemania, México y el norte de África. Vende a precio de mercado y el Estado se queda con el 75-80 % del beneficio en el Reino Unido y Noruega. No tiene foso: tiene escala, costes medios y compras bien hechas (Wintershall Dea en 2024, LLOG en 2026) [1, 9].</w:t>
      </w:r>
    </w:p>
    <w:p>
      <w:pPr>
        <w:spacing w:after="100"/>
      </w:pPr>
      <w:r>
        <w:rPr>
          <w:b/>
        </w:rPr>
        <w:t xml:space="preserve">Calidad: no pasa.</w:t>
      </w:r>
      <w:r>
        <w:t xml:space="preserve"> El ROIC real de 2025 es del 6,6-9,1 % frente a un WACC del 8,25 % (el del motor, 18,9 %, limita el impuesto al 40 %). Ni con los precios de la guerra llega a +5 puntos. Las reservas 2P dan para 7-8 años y la reposición de 2022-2025 vino de compras: sostenibilidad «En parte» [2].</w:t>
      </w:r>
    </w:p>
    <w:p>
      <w:pPr>
        <w:spacing w:after="100"/>
      </w:pPr>
      <w:r>
        <w:rPr>
          <w:b/>
        </w:rPr>
        <w:t xml:space="preserve">Las cifras.</w:t>
      </w:r>
      <w:r>
        <w:t xml:space="preserve"> Con Brent de 94,5 USD en 2026 y 95 en 2027 (la curva), el BPA ajustado pasa de 0,31 en 2025 a 0,63 en 2026 y 0,91 en 2027, y vuelve a 0,51 en 2028 con Brent de 78. La deuda neta es de 5.170 M (0,7 veces el EBITDAX) más 2.044 M de híbridos y 7.423 M de desmantelamiento [3, 34].</w:t>
      </w:r>
    </w:p>
    <w:p>
      <w:pPr>
        <w:spacing w:after="100"/>
      </w:pPr>
      <w:r>
        <w:rPr>
          <w:b/>
        </w:rPr>
        <w:t xml:space="preserve">Valoración.</w:t>
      </w:r>
      <w:r>
        <w:t xml:space="preserve"> El DCF da 5,03 USD (+28 %); los escenarios por mazo de precios, 1,01 (Brent 60), 5,03 y 8,57 USD (crisis hasta 2028). El DCF inverso dice que el precio descuenta un Brent algo por debajo de la curva y una rentabilidad del 9,4 %. El mercado no se equivoca en el beneficio: el consenso de 2028 (0,45) está cerca del nuestro (0,51). La distancia está en el múltiplo: los analistas ponen ≈ 9 veces el beneficio de 2028 (objetivo de 349 peniques); la regla, 4,6.</w:t>
      </w:r>
    </w:p>
    <w:p>
      <w:pPr>
        <w:spacing w:after="100"/>
      </w:pPr>
      <w:r>
        <w:rPr>
          <w:b/>
        </w:rPr>
        <w:t xml:space="preserve">Bolsa y regla 13.</w:t>
      </w:r>
      <w:r>
        <w:t xml:space="preserve"> La acción sube un 49,5 % en 12 meses y está un 7,5 % bajo su máximo. No hay ampliación ni decisión con fecha que mueva el precio más de un 5 % en contra antes de resultados; las ventas de EIG y BASF tienen motivo declarado. Veredicto: no cambia [31].</w:t>
      </w:r>
    </w:p>
    <w:p>
      <w:pPr>
        <w:spacing w:after="100"/>
      </w:pPr>
      <w:r>
        <w:rPr>
          <w:b/>
        </w:rPr>
        <w:t xml:space="preserve">Riesgos.</w:t>
      </w:r>
      <w:r>
        <w:t xml:space="preserve"> Una paz duradera con Ormuz abierto (Brent a 60-65 USD) hunde el valor (−74 %); el EPL hasta 2030 y su sucesor; el papel de BASF (16,4 %) y de los vendedores de LLOG (libres en febrero de 2027); y las reservas cortas.</w:t>
      </w:r>
    </w:p>
    <w:p>
      <w:pPr>
        <w:spacing w:after="100"/>
      </w:pPr>
      <w:r>
        <w:rPr>
          <w:b/>
        </w:rPr>
        <w:t xml:space="preserve">Qué cambiaría la recomendación.</w:t>
      </w:r>
      <w:r>
        <w:t xml:space="preserve"> Bajo 2,30 USD (≈ 173 peniques) la regla daría Comprar, pero no pasaría calidad: no se compraría. Un Brent de 85 USD o más en la curva de 2028 subiría el BPA de 2028 a ≈ 0,75 y dejaría la acción en Mantener. Una reposición orgánica de reservas ≥ 100 % en marzo de 2027 subiría el valor intrínseco, no el objetivo a 12 meses.</w:t>
      </w:r>
    </w:p>
    <w:p>
      <w:r>
        <w:br w:type="page"/>
      </w:r>
    </w:p>
    <w:p>
      <w:pPr>
        <w:pStyle w:val="Heading1"/>
      </w:pPr>
      <w:r>
        <w:t xml:space="preserve">Resumen ejecutivo</w:t>
      </w:r>
    </w:p>
    <w:p>
      <w:pPr>
        <w:spacing w:after="100"/>
      </w:pPr>
      <w:r>
        <w:rPr>
          <w:b/>
          <w:bCs/>
        </w:rPr>
        <w:t xml:space="preserve">Recomendación: Vender</w:t>
      </w:r>
      <w:r>
        <w:t xml:space="preserve"> · Convicción: Baja · Horizonte: 12 meses · Objetivo a 12 meses: </w:t>
      </w:r>
      <w:r>
        <w:rPr>
          <w:b/>
          <w:bCs/>
        </w:rPr>
        <w:t xml:space="preserve">2,61 USD (196,14 GBp)</w:t>
      </w:r>
      <w:r>
        <w:t xml:space="preserve"> (rentabilidad -28,6 % (base -34,8 %)) · Valor intrínseco: 5,35 USD (402,04 GBp) (+35,6 % sobre 3,94) · con la prima implícita del mercado: 6,04 (453,90 GBp) (+53,1 %)</w:t>
      </w:r>
    </w:p>
    <w:p>
      <w:pPr>
        <w:spacing w:after="100"/>
      </w:pPr>
      <w:r>
        <w:t xml:space="preserve">Harbour es un buen productor en el peor momento para comprarlo con la regla común: el beneficio de 2026-2027 está inflado por la guerra de Irán, la curva de futuros ya descuenta la vuelta a 78 USD en 2028, el fisco británico se lleva el 78 % hasta 2030 y las reservas dan para 7-8 años. El valor intrínseco (5,35 USD) supera al precio si los precios se quedan cerca de la curva, pero el mercado no pagará más múltiplo por un beneficio de pico, y en 12 meses la acción tiene más que perder que ganar.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USD (196,14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 × 0,11 = 0,44 · 4,6x × 0,51 = 2,36 · 6,0x × 0,88 = 5,26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-28,6 % / -34,8 %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(10,3x) es 2,2 veces el PER de hoy (4,6x);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 (nuestro base -49,1 %)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 USD (402,04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(GBp al tipo de 0,0133 USD por GBp)</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 USD (296,40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117,3 % / -74,4 %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 frente a 8,3 % y 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 USD (453,90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 frente a -2,0 %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(-0,4 %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rentabilidad del 41,0 % (&gt; −20 %); con la prima del mercado, 58,5 % (&gt; −15 %); el precio pide -1,7 puntos más de crecimiento que el caso base (&lt; 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2,30 (172,84 GBp)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2,30 y 3,13 (172,84 y 235,21 GBp)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3,13 (235,21 GBp)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2,30 USD (≈ 173 peniques): la regla daría Comprar, pero no pasa calidad (ROIC − WACC &lt; 5): no se compraría.</w:t>
      </w:r>
    </w:p>
    <w:p>
      <w:pPr>
        <w:pStyle w:val="ListParagraph"/>
        <w:numPr>
          <w:ilvl w:val="0"/>
          <w:numId w:val="2"/>
        </w:numPr>
        <w:spacing w:after="60"/>
      </w:pPr>
      <w:r>
        <w:t xml:space="preserve">Precio entre 2,30 y 3,13 USD (173-235 peniques): Mantener.</w:t>
      </w:r>
    </w:p>
    <w:p>
      <w:pPr>
        <w:pStyle w:val="ListParagraph"/>
        <w:numPr>
          <w:ilvl w:val="0"/>
          <w:numId w:val="2"/>
        </w:numPr>
        <w:spacing w:after="60"/>
      </w:pPr>
      <w:r>
        <w:t xml:space="preserve">Brent de dic-28 por encima de 88 USD en la curva: el BPA de 2028 subiría a ≈ 0,75 y la regla daría Mantener al precio de hoy.</w:t>
      </w:r>
    </w:p>
    <w:p>
      <w:pPr>
        <w:pStyle w:val="ListParagraph"/>
        <w:numPr>
          <w:ilvl w:val="0"/>
          <w:numId w:val="2"/>
        </w:numPr>
        <w:spacing w:after="60"/>
      </w:pPr>
      <w:r>
        <w:t xml:space="preserve">Reposición orgánica de reservas 2P ≥ 100 % en los resultados de 2026 (marzo de 2027): subiríamos el terminal y el valor intrínseco.</w:t>
      </w:r>
    </w:p>
    <w:p>
      <w:pPr>
        <w:pStyle w:val="ListParagraph"/>
        <w:numPr>
          <w:ilvl w:val="0"/>
          <w:numId w:val="2"/>
        </w:numPr>
        <w:spacing w:after="60"/>
      </w:pPr>
      <w:r>
        <w:t xml:space="preserve">Un EPL más duro o más largo en el presupuesto de otoño: confirmaría el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2026-2027 son años excepcionales y que el beneficio vuelve a ≈ 0,45 USD en 2028; por eso paga 4,6 veces el beneficio de los próximos 12 meses y 7,6 el de 2028.</w:t>
      </w:r>
    </w:p>
    <w:p>
      <w:pPr>
        <w:keepNext/>
        <w:spacing w:after="100"/>
      </w:pPr>
      <w:r>
        <w:rPr>
          <w:b/>
          <w:bCs/>
        </w:rPr>
        <w:t xml:space="preserve">Lo que creemos nosotros.</w:t>
      </w:r>
    </w:p>
    <w:p>
      <w:pPr>
        <w:spacing w:after="100"/>
      </w:pPr>
      <w:r>
        <w:t xml:space="preserve">Coincidimos en el beneficio (0,51 en 2028) y discrepamos de los analistas en el múltiplo: con fisco del 78 %, reservas cortas y papel pendiente, Harbour no ha cotizado a 9-10 veces más que con beneficios deprimidos, y ROIC bajo el WACC.</w:t>
      </w:r>
    </w:p>
    <w:p>
      <w:pPr>
        <w:keepNext/>
        <w:spacing w:after="100"/>
      </w:pPr>
      <w:r>
        <w:rPr>
          <w:b/>
          <w:bCs/>
        </w:rPr>
        <w:t xml:space="preserve">Por qué podemos tener razón.</w:t>
      </w:r>
    </w:p>
    <w:p>
      <w:pPr>
        <w:spacing w:after="100"/>
      </w:pPr>
      <w:r>
        <w:t xml:space="preserve">La historia adelantada de 2023-2024 (10-12 veces) es de años con el beneficio hundido por el EPL; cuando el beneficio es alto (2022, 2026), el múltiplo cae a 3-4 veces. La regla común lo recoge al aplicar el múltiplo de hoy.</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3,9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Flujo libre fuerte en 2026</w:t>
      </w:r>
      <w:r>
        <w:t xml:space="preserve">: ≈ 1.800 M USD guiados (≈ 25 % de la capitalización) con Brent a 80 en el segundo semestre [3].</w:t>
      </w:r>
    </w:p>
    <w:p>
      <w:pPr>
        <w:pStyle w:val="ListParagraph"/>
        <w:numPr>
          <w:ilvl w:val="0"/>
          <w:numId w:val="2"/>
        </w:numPr>
        <w:spacing w:after="60"/>
      </w:pPr>
      <w:r>
        <w:rPr>
          <w:b/>
        </w:rPr>
        <w:t xml:space="preserve">Compras bien hechas</w:t>
      </w:r>
      <w:r>
        <w:t xml:space="preserve">: LLOG a ≈ 11,5 USD por barril 2P, con 22 años de vida y crecimiento hasta 2028 [9].</w:t>
      </w:r>
    </w:p>
    <w:p>
      <w:pPr>
        <w:pStyle w:val="ListParagraph"/>
        <w:numPr>
          <w:ilvl w:val="0"/>
          <w:numId w:val="2"/>
        </w:numPr>
        <w:spacing w:after="60"/>
      </w:pPr>
      <w:r>
        <w:rPr>
          <w:b/>
        </w:rPr>
        <w:t xml:space="preserve">Diversificación fuera del Reino Unido</w:t>
      </w:r>
      <w:r>
        <w:t xml:space="preserve">: Noruega, EE. UU. y Argentina pesan ya más que el EPL británico.</w:t>
      </w:r>
    </w:p>
    <w:p>
      <w:pPr>
        <w:pStyle w:val="ListParagraph"/>
        <w:numPr>
          <w:ilvl w:val="0"/>
          <w:numId w:val="2"/>
        </w:numPr>
        <w:spacing w:after="60"/>
      </w:pPr>
      <w:r>
        <w:rPr>
          <w:b/>
        </w:rPr>
        <w:t xml:space="preserve">Reparto ligado al flujo</w:t>
      </w:r>
      <w:r>
        <w:t xml:space="preserve">: 45-75 % del flujo libre, con un dividendo mínimo del 5,4 % y recompra de 250 M [2].</w:t>
      </w:r>
    </w:p>
    <w:p>
      <w:pPr>
        <w:pStyle w:val="ListParagraph"/>
        <w:numPr>
          <w:ilvl w:val="0"/>
          <w:numId w:val="2"/>
        </w:numPr>
        <w:spacing w:after="60"/>
      </w:pPr>
      <w:r>
        <w:rPr>
          <w:b/>
        </w:rPr>
        <w:t xml:space="preserve">DCF por encima del precio</w:t>
      </w:r>
      <w:r>
        <w:t xml:space="preserve">: 5,03 USD (+28 %) con la curva de futuros.</w:t>
      </w:r>
    </w:p>
    <w:p>
      <w:pPr>
        <w:pStyle w:val="Heading2"/>
      </w:pPr>
      <w:r>
        <w:t xml:space="preserve">En contra</w:t>
      </w:r>
    </w:p>
    <w:p>
      <w:pPr>
        <w:pStyle w:val="ListParagraph"/>
        <w:numPr>
          <w:ilvl w:val="0"/>
          <w:numId w:val="2"/>
        </w:numPr>
        <w:spacing w:after="60"/>
      </w:pPr>
      <w:r>
        <w:rPr>
          <w:b/>
        </w:rPr>
        <w:t xml:space="preserve">Beneficio de pico</w:t>
      </w:r>
      <w:r>
        <w:t xml:space="preserve">: el BPA de 2027 (0,91) cae a 0,51 en 2028 con la curva; la regla común da −28 %.</w:t>
      </w:r>
    </w:p>
    <w:p>
      <w:pPr>
        <w:pStyle w:val="ListParagraph"/>
        <w:numPr>
          <w:ilvl w:val="0"/>
          <w:numId w:val="2"/>
        </w:numPr>
        <w:spacing w:after="60"/>
      </w:pPr>
      <w:r>
        <w:rPr>
          <w:b/>
        </w:rPr>
        <w:t xml:space="preserve">Calidad baja</w:t>
      </w:r>
      <w:r>
        <w:t xml:space="preserve">: ROIC real del 6,6-9,1 % frente a un WACC del 8,25 %; el Estado se queda con el 78 %.</w:t>
      </w:r>
    </w:p>
    <w:p>
      <w:pPr>
        <w:pStyle w:val="ListParagraph"/>
        <w:numPr>
          <w:ilvl w:val="0"/>
          <w:numId w:val="2"/>
        </w:numPr>
        <w:spacing w:after="60"/>
      </w:pPr>
      <w:r>
        <w:rPr>
          <w:b/>
        </w:rPr>
        <w:t xml:space="preserve">Reservas para 7-8 años</w:t>
      </w:r>
      <w:r>
        <w:t xml:space="preserve"> sin reposición orgánica demostrada.</w:t>
      </w:r>
    </w:p>
    <w:p>
      <w:pPr>
        <w:pStyle w:val="ListParagraph"/>
        <w:numPr>
          <w:ilvl w:val="0"/>
          <w:numId w:val="2"/>
        </w:numPr>
        <w:spacing w:after="60"/>
      </w:pPr>
      <w:r>
        <w:rPr>
          <w:b/>
        </w:rPr>
        <w:t xml:space="preserve">Pasivos delante del accionista</w:t>
      </w:r>
      <w:r>
        <w:t xml:space="preserve">: ≈ 11.900 M (deuda, híbridos, desmantelamiento).</w:t>
      </w:r>
    </w:p>
    <w:p>
      <w:pPr>
        <w:pStyle w:val="ListParagraph"/>
        <w:numPr>
          <w:ilvl w:val="0"/>
          <w:numId w:val="2"/>
        </w:numPr>
        <w:spacing w:after="60"/>
      </w:pPr>
      <w:r>
        <w:rPr>
          <w:b/>
        </w:rPr>
        <w:t xml:space="preserve">Exceso de papel</w:t>
      </w:r>
      <w:r>
        <w:t xml:space="preserve">: BASF (16,4 %) quiere salir y los vendedores de LLOG quedan libres en febrero.</w:t>
      </w:r>
    </w:p>
    <w:p>
      <w:pPr>
        <w:pStyle w:val="Heading2"/>
      </w:pPr>
      <w:r>
        <w:t xml:space="preserve">Qué tiene que pasar para que la tesis funcione</w:t>
      </w:r>
    </w:p>
    <w:p>
      <w:pPr>
        <w:spacing w:after="100"/>
      </w:pPr>
      <w:r>
        <w:t xml:space="preserve">La curva del Brent y del TTF para 2028 (hoy 78 USD y ≈ 45 EUR/MWh): es la que decide el BPA del objetivo. Después, la reposición de reservas de 2026 (marzo de 2027), el presupuesto británico y las colocaciones de BASF y de los vendedores de LLOG.</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Brent dic-28 (futuros)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70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BPA de 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TTF cal-28</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45 EUR/MWh</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35 EUR/MWh</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35 % de la producción es gas europeo.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kbep/d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475 kbep/d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Suelo de la guía de 2027-2030.</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encima, el reparto va al mínimo.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Reposición de reservas 2P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150 % esperado en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 de reservas de 7-8 años.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Participación de BASF</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Colocación anunciada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Exceso de papel.</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 / 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-26,3x / 6,0x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 · 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Harbour nace del capital privado: en 2014 EIG crea Harbour Energy (el fondo) para comprar activos del mar del Norte; su vehículo Chrysaor compra a Shell en 2017 y a ConocoPhillips en 2019 sus campos británicos, y en 2021 se fusiona con Premier Oil (fundada en 1934) para cotizar en Londres. Desde entonces ha cambiado de tamaño dos veces con compras: Wintershall Dea (2024) la saca del Reino Unido y LLOG (2026) la lleva al golfo de EE. UU. La lección de su historia es que el valor lo deciden el precio, el fisco y el precio de compra, no el crecimiento propio: el EPL de 2022 se llevó casi todo el beneficio del pico del gas [4, 6,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Chrysaor (EIG) compra a Shell activos británicos del mar del Norte por hasta 3.800 M USD.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Chrysaor compra el negocio británico de ConocoPhillips (≈ 2.700 M USD).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inversa con Premier Oil: nace Harbour Energy, cotizada en Londres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Reino Unido crea el EPL (25 %, luego 35 %): cargo único de 1.469 M de impuesto diferido; beneficio de 8 M con 2.462 M antes de impuestos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Anuncia la compra de los activos de producción de Wintershall Dea a BASF y LetterOne (21-dic)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Wintershall Dea (3-sep): la producción pasa de ≈ 190 a ≈ 500 kbep/d; BASF y LetterOne entran en el capital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EPL se alarga a marzo de 2030; anuncia LLOG (golfo de EE. UU., 3.200 M USD) y Waldorf [2,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Guerra de Irán: Brent a 119 USD; política de reparto ligada al flujo libre; BASF baja del 47 % al 16,4 % y EIG sale [3, 31].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Harbour Energy es el mayor productor independiente de petróleo y gas del Reino Unido y uno de los mayores de Europa: produce ≈ 500.000 barriles equivalentes al día en Noruega, el Reino Unido, Argentina, el golfo de EE. UU., Alemania, México y el norte de África, y desarrolla almacenamiento de CO2 en el Reino Unido y Dinamarca [11].</w:t>
      </w:r>
    </w:p>
    <w:p>
      <w:pPr>
        <w:pStyle w:val="Heading2"/>
      </w:pPr>
      <w:r>
        <w:t xml:space="preserve">Cómo gana dinero</w:t>
      </w:r>
    </w:p>
    <w:p>
      <w:pPr>
        <w:spacing w:after="100"/>
      </w:pPr>
      <w:r>
        <w:t xml:space="preserve">Extrae petróleo y gas y los vende a precio de mercado: en 2025 ingresó 10.261 M USD con un coste operativo de 12,8 USD/bep, un EBITDAX de 7.196 M (70 % de margen) y una amortización de las reservas de 16-17 USD/bep. El Estado se queda con el 75-80 % del beneficio antes de impuestos en el Reino Unido y Noruega, y la deuda se lleva otros 600-700 M al año: del EBITDAX quedan ≈ 600 M de beneficio ajustado. Sin inversión (≈ 2.000 M al año), la producción caería un 10-15 % al año [2, 11].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Noruega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Reino Unido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Argentina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Alemania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México, norte de África, Sudeste Asiático y CCS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Corporativo y comercialización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Noruega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Reino Unido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Argentina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Alemania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México, norte de África, Sudeste Asiático y CCS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Corporativo y comercialización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producción del 1S26 en kbep/d)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Vende crudo y gas en mercados líquidos (Brent, NBP, TTF) a grandes compradores; sin concentración relevante de clientes. El gas europeo es ≈ 40 % de la producción, el líquido ≈ 40 % y el gas fuera de Europa (Argentina, norte de África) ≈ 20 % [3, 11].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(kbep/d)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de 490-500; 475-500 en 2027-2030 [3,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operativo (USD/bep)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14,5 (guía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por la mezcla (México, Alemania) y la inflación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2P (Mbep)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 (fin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1.400 (con LLOG y Waldorf)</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7-8 años de vida al ritmo actual; 2C de 1.839 Mbep [2,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 1.800 M con 80 USD y 16 USD/mscf en el 2S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pagar LLOG; objetivo por debajo de 1x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realizado (antes de coberturas)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USD/bbl y 11,3 USD/mscf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USD/bbl y 15,0 USD/mscf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Coberturas: −270 M en el 1S26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la producción de petróleo y gas de la plataforma continental del Reino Unido y Noruega, donde Harbour tiene ≈ 64 % de su producción. Los precios los fija el mercado mundial (Brent) y el europeo de gas (NBP, TTF): Harbour es tomadora de precios. El 36 % restante (Argentina, golfo de EE. UU., México, Alemania, norte de África) compite en sus propias cuencas [1,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5,1 millones de bep/día en 2025: Noruega 4,1 (239 MSm³ o.e.) y Reino Unido ≈ 1,0 (0,60 de petróleo y 0,41 de gas); a 60-70 USD/bep, ≈ 120.000 M USD de valor de producción al año [16, 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Pico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bep/día (producción del Reino Unido y Norueg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Brent</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Corto plazo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Guerra de Irán: pico de 119 USD en marzo de 2026, 73 en junio y 100-110 en sep-oct; la curva baja a 87 en dic-27 y 78 en dic-28 [18]. +5 USD/bbl = +170 M USD de flujo libre de Harbour en 2026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gas europeo (TTF, NBP)</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Corto plazo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TTF a 86 EUR/MWh en octubre; la curva baja a ≈ 45 en 2028 con el gas licuado nuevo de EE. UU. y Qatar [18]. +1 USD/mscf = +150 M USD de flujo libre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Política fiscal del Reino Unido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Medio plazo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EPL del 38 % (78 % en total) alargado al 31-mar-2030 y sustituido después por un mecanismo permanente de precios (OGPM); sin licencias nuevas de exploración [1,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Declino de las cuencas maduras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producción británica cae ≈ 5-10 % al año sin inversión nueva; Noruega mantiene la meseta con proyectos aprobados en 2022-2023 [16,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Transición energética y demanda de gas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Europa necesita gas propio tras Rusia y Ormuz; a la vez, la presión regulatoria sobre el petróleo y el carbono limita licencias y encarece el capital [1, 19].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productores no compiten por clientes: venden a precio de mercado. La rivalidad es por licencias, compras de activos y equipos de perforación.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Mercados de materias primas líquidos y globales; ningún comprador fija precio.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Plataformas de perforación, buques y servicios con inflación de costes en los picos de precio; el Estado (fisco) es el «proveedor» más poderoso: se queda con el 78 % del beneficio.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intensivo y licencias escasas; pero los activos maduros cambian de manos a menudo (compras a las grandes, capital privado).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Renovables, electrificación y bombas de calor sustituyen gas y petróleo a largo plazo; a 5 años, el gas europeo sigue siendo necesario.</w:t>
            </w:r>
          </w:p>
        </w:tc>
      </w:tr>
    </w:tbl>
    <w:p>
      <w:pPr>
        <w:spacing w:after="160" w:before="0"/>
      </w:pPr>
    </w:p>
    <w:p>
      <w:pPr>
        <w:pStyle w:val="Heading2"/>
      </w:pPr>
      <w:r>
        <w:t xml:space="preserve">Ciclo</w:t>
      </w:r>
    </w:p>
    <w:p>
      <w:pPr>
        <w:spacing w:after="100"/>
      </w:pPr>
      <w:r>
        <w:t xml:space="preserve">Precios de crisis por la guerra de Irán y el cierre de Ormuz (Brent 100-110 USD, TTF 86 EUR/MWh) con una curva de futuros muy invertida: el mercado descuenta que 2026-2027 son años de pico y que 2028-2029 vuelven a 70-78 USD [18].</w:t>
      </w:r>
    </w:p>
    <w:p>
      <w:pPr>
        <w:pStyle w:val="Heading2"/>
      </w:pPr>
      <w:r>
        <w:t xml:space="preserve">Regulación</w:t>
      </w:r>
    </w:p>
    <w:p>
      <w:pPr>
        <w:spacing w:after="100"/>
      </w:pPr>
      <w:r>
        <w:t xml:space="preserve">Reino Unido: impuesto corporativo del 30 % + recargo del 10 % + EPL del 38 % (78 %) hasta el 31-mar-2030, con suelo de precios (si el gas y el petróleo bajan de 54 USD/bbl y 0,59 GBP/termia durante dos trimestres, el EPL se desactiva); desde 2030, OGPM permanente. El gobierno no concede licencias nuevas de exploración y exige compatibilidad climática en los proyectos. Noruega: 78 % estable con deducción inmediata de la inversión. EE. UU.: ≈ 23 % efectivo en LLOG [1, 11, 19].</w:t>
      </w:r>
    </w:p>
    <w:p>
      <w:pPr>
        <w:pStyle w:val="Heading2"/>
      </w:pPr>
      <w:r>
        <w:t xml:space="preserve">Tendencias y disrupción</w:t>
      </w:r>
    </w:p>
    <w:p>
      <w:pPr>
        <w:spacing w:after="100"/>
      </w:pPr>
      <w:r>
        <w:t xml:space="preserve">Las grandes petroleras salen del mar del Norte británico y los independientes consolidan (Harbour con Wintershall, Ithaca con Eni UK, Equinor y Shell con Adura); los productores europeos diversifican hacia EE. UU., Latinoamérica y África buscando regímenes fiscales más bajos (Harbour con LLOG) y hacia la captura de CO2 [1, 11, 20].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Mayor productor independiente del Reino Unido (≈ 15 % de su producción) y uno de los grandes de Noruega (≈ 4 %); ≈ 6 % de la producción conjunta [11, 16, 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Ninguno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Equinor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Noruega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EQNR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Operador dominante de Noruega (estatal al 67 %); también en el Reino Unido (Adura con Shell).</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Aker BP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Noruega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AKRBP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independiente noruego de referencia: Johan Sverdrup, Yggdrasil; coste ≈ 7 USD/bep.</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Vår Energi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Noruega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Filial cotizada de Eni; crecimiento por Johan Castberg y Balder.</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Ithaca Energy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el Reino Unido tras absorber Eni UK; dividendo alto, sin diversificar fuera.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Serica Energy y EnQuest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SQZ / ENQ</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Independientes británicos pequeños, muy expuestos al EPL.</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vende una materia prima.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compradores cambian de vendedor sin coste.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y conocimiento del subsuelo; no dan precio, solo acceso.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operativo de ≈ 14,5 USD/bep, en la mitad del sector (Aker BP, por debajo; EnQuest, por encima); LLOG a 12 [1,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infraestructuras (oleoductos, plataformas) dan ventaja local a quien las opera en cada zona (J-Area, Aasta Hansteen).</w:t>
            </w:r>
          </w:p>
        </w:tc>
      </w:tr>
    </w:tbl>
    <w:p>
      <w:pPr>
        <w:spacing w:after="160" w:before="0"/>
      </w:pPr>
    </w:p>
    <w:p>
      <w:pPr>
        <w:pStyle w:val="Heading2"/>
      </w:pPr>
      <w:r>
        <w:t xml:space="preserve">Amenazas</w:t>
      </w:r>
    </w:p>
    <w:p>
      <w:pPr>
        <w:spacing w:after="100"/>
      </w:pPr>
      <w:r>
        <w:t xml:space="preserve">Lo que más puede erosionar el negocio no es un competidor, sino el precio y el fisco: una vuelta del Brent a 60 USD y del TTF a 25-30 EUR/MWh (antes de la guerra) dejaría el beneficio en una fracción del actual, y el Reino Unido ha cambiado su régimen fiscal cuatro veces desde 2022 [1, 19].</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r>
    </w:tbl>
    <w:p>
      <w:pPr>
        <w:spacing w:after="160" w:before="0"/>
      </w:pPr>
    </w:p>
    <w:p>
      <w:pPr>
        <w:spacing w:after="100"/>
      </w:pPr>
      <w:r>
        <w:t xml:space="preserve">Crecimiento anual compuesto 2021-2025: ingresos </w:t>
      </w:r>
      <w:r>
        <w:rPr>
          <w:b/>
          <w:bCs/>
        </w:rPr>
        <w:t xml:space="preserve">29,8 %</w:t>
      </w:r>
      <w:r>
        <w:t xml:space="preserve">, EBITDA </w:t>
      </w:r>
      <w:r>
        <w:rPr>
          <w:b/>
          <w:bCs/>
        </w:rPr>
        <w:t xml:space="preserve">31,4 %</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3.618 M USD en 2021 a 10.261 M en 2025, casi todo por compras (Wintershall Dea en sep-2024) y no por crecimiento propio: la producción del perímetro del Reino Unido cae año tras año. El EBITDA (EBITDAX menos exploración llevada a gastos) tiene márgenes del 63-73 %, propios de un productor, pero el beneficio neto es casi nulo o negativo en cuatro de cinco años: el impuesto real se come el 75-106 % del beneficio antes de impuestos (EPL británico del 38 % sobre el 40 % ordinario, 78 % en Noruega) y los deterioros y bajas de exploración son recurrentes (365 M y 200 M en 2025) [1, 2, 4]. El primer semestre de 2026 (Brent medio de 92 USD por la guerra de Irán) dio 6.408 M de ingresos y 21 céntimos de BPA [3].</w:t>
      </w:r>
    </w:p>
    <w:p>
      <w:pPr>
        <w:pStyle w:val="Heading2"/>
      </w:pPr>
      <w:r>
        <w:t xml:space="preserve">Ajustes y partidas no recurrentes</w:t>
      </w:r>
    </w:p>
    <w:p>
      <w:pPr>
        <w:spacing w:after="100"/>
      </w:pPr>
      <w:r>
        <w:t xml:space="preserve">La empresa publica desde 2025 un «beneficio ajustado»: sin deterioros, bajas de exploración, partidas fiscales extraordinarias (311 M USD por alargar el EPL a 2030 en 2025; 1.469 M en 2022) ni diferencias de cambio no realizadas sobre los impuestos (485 M en 2025). BPA ajustado de 31 céntimos en 2025 (33 en 2024) frente a −15 publicado [2]. Nuestro BPA resta además el cupón de los bonos subordinados (81 M en 2025, ≈ 100 M al año desde 2026) y usa las acciones económicas (sin voto de LetterOne × 1,13 por su prima de dividendo). El EBITDA de la cuenta es el EBITDAX publicado menos la exploración llevada a gastos; los gastos no recurrentes dentro del EBITDA son los costes de las compras (119 M en 2024, 78 M en 2025) [2, 4].</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Harbour publica semestres (y avances de producción en mayo y noviembre). EBITDA = EBITDAX ajustado de la empresa; BPA = BPA ajustado por acción con voto (2S = año menos 1S, aproximado). 1S26 (6-ago-2026): 509 kbep/d, ingresos de 6.408 M, EBITDAX ajustado de 4.465 M, beneficio ajustado de 562 M (28 céntimos), flujo libre de 1.765 M, deuda neta de 5.170 M (0,7x) [3]. Siguiente: avance del tercer trimestre en noviembre de 2026 (sin fecha publicada).</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29.093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Fusión inversa de Chrysaor con Premier Oil (31-mar-2021): nace Harbour Energy, cotizada en Londres; 2021 incluye Premier nueve meses [7].; 2024: Compra de casi todos los activos de producción de Wintershall Dea a BASF y LetterOne (3-sep-2024): Noruega, Alemania, Argentina, México, norte de África, CCS. Contraprestación de 5.291 M USD (921 M de acciones nuevas + caja) más 3.079 M de deuda y 1.548 M de bonos subordinados asumidos; 2024 lleva cuatro meses [4].; 2026: LLOG (golfo de EE. UU., aguas profundas): cerrada el 11-feb-2026 por 3.127 M USD (2.592 en caja y 174,9 M de acciones); Waldorf (Reino Unido) el 10-jul-2026 por 163 M; venta de Indonesia (215 M) el 26-may-2026 [3, 9, 10].).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cambió de escala con Wintershall Dea (2024) y LLOG (2026): deuda financiera bruta de 7.011 M USD y deuda neta de 5.170 M a 30-jun-2026 (0,7 veces el EBITDAX de 12 meses, 7.605 M), más 2.044 M de híbridos y 7.423 M de desmantelamiento. El fondo de comercio (5.038 M) nace sobre todo del impuesto diferido de Wintershall y la empresa avisa de que se irá deteriorando a medida que ese impuesto revierta [1, 3, 4]. El circulante es pequeño salvo por el impuesto a pagar, que en 2026-2027 sube por los precios de la guerra.</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4.224</w:t>
      </w:r>
      <w:r>
        <w:t xml:space="preserve">, conversión </w:t>
      </w:r>
      <w:r>
        <w:rPr>
          <w:b/>
          <w:bCs/>
        </w:rPr>
        <w:t xml:space="preserve">-1.947 %</w:t>
      </w:r>
      <w:r>
        <w:t xml:space="preserve"> del beneficio neto; adquisiciones 1.044, dividendos 1.035, recompras 700.</w:t>
      </w:r>
    </w:p>
    <w:p>
      <w:pPr>
        <w:spacing w:after="100"/>
      </w:pPr>
      <w:r>
        <w:t xml:space="preserve">Capex = «inversión de capital» de la empresa (altas de inmovilizado y de exploración, sin desmantelamiento): 709 M USD en 2021 y 1.946 M en 2025; el desmantelamiento suma 226-374 M al año aparte. Flujo libre publicado: 0,7 bn en 2021, 2,1 bn en 2022, 0,1 bn en 2024 y 1,1 bn en 2025; 1.765 M en el 1S26 [2, 3, 4, 6]. Los impuestos se pagan con retraso (≈ 60 % en el segundo semestre y ≈ 40 % en el primero del año siguiente): parte del flujo del 1S26 es impuesto que sale en el 2S26 (≈ 2.400 M) y en el 1S27 [3, 13].</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2025. EY audita a Harbour desde 2021 (y a Premier desde 2017); reelegida tras concurso, socio nuevo (Daniel Trotman) desde 2026; el FRC revisó la auditoría de 2024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limpias pero ruidosas: el resultado publicado depende de impuestos extraordinarios (EPL), deterioros, bajas de exploración y diferencias de cambio sobre los impuestos. La empresa empezó a publicar un beneficio ajustado en 2025, y la diferencia con el publicado es grande (31 frente a −15 céntimos en 2025). El fondo de comercio de Wintershall se irá deteriorando por diseño [1, 2, 4].</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frente a NIIF</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céntimos ajustado frente a −15 publicado en 2025: 485 M de diferencias de cambio no realizadas, 365 M de deterioros, 200 M de bajas y 311 M del EPL alargado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106 % en 2025, 108 % en 2024, 100 % en 2022 (cargo del EPL de 1.469 M): el impuesto real del negocio es del 75-80 % y cambia con la política fiscal [2, 4,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por impuestos diferidos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3.845 M de Wintershall nacen del impuesto diferido sin descontar; la empresa dice que «se cargará a resultados con el tiempo como deterioro»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201 M en 2023, 393 M en 2024 y 365 M en 2025 (México, norte de África, Alemania); 27 M en el 1S26 [2, 3,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Reexpresión de 2024</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del precio de Wintershall cerrada en 2025: 2024 reexpresado (EBITDAX de 4.006 a 4.027 M) [2].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11.306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5.062 M en 2025 (el 45 % del capital invertido medio); ha subido más de un 5 % en 1 de 4 años: compra única grande. ROIC publicado 18,9 %; sin fondo de comercio, 34,3 %.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22,2 % · </w:t>
      </w:r>
      <w:r>
        <w:rPr>
          <w:b/>
          <w:bCs/>
        </w:rPr>
        <w:t xml:space="preserve">WACC</w:t>
      </w:r>
      <w:r>
        <w:t xml:space="preserve">: 8,3 %.</w:t>
      </w:r>
    </w:p>
    <w:p>
      <w:pPr>
        <w:spacing w:after="100"/>
      </w:pPr>
      <w:r>
        <w:t xml:space="preserve">El ROIC del motor (18,9 % en 2025, 15-51 % en 2021-2025) NO sirve: limita el impuesto al 40 % y Harbour paga el 75-80 % en el Reino Unido y Noruega. ROIC real de 2025: EBIT ajustado de 4.055 M (3.490 + 365 de deterioros + 200 de bajas) × (1 − 75-82 % de impuesto ajustado) = 730-1.010 M sobre ≈ 11.100 M de capital invertido (patrimonio con híbridos 6.206 + deuda 5.151 + arrendamientos 634 − caja 846): </w:t>
      </w:r>
      <w:r>
        <w:rPr>
          <w:b/>
        </w:rPr>
        <w:t xml:space="preserve">6,6-9,1 %, frente a un WACC del 8,25 %; ROIC − WACC de −1,7 a +0,9 puntos: no pasa el requisito de calidad (≥ 5)</w:t>
      </w:r>
      <w:r>
        <w:t xml:space="preserve">. Ni siquiera con los precios de la guerra: el EBIT de 2026e (6.317 M) × 26 % ≈ 1.640 M sobre ≈ 14.000 M de capital con LLOG da ≈ 11,7 % (+3,5 puntos). El ROE es negativo en 2024-2025. Es lo normal en un productor maduro con fisco del 78 %: el Estado se queda con la renta del recurso [1, 2].</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6.223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5.679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11.902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Liquidez de 4.100 M USD a 30-jun-2026 (caja de 1.643 M y línea revolvente de 3.000 M sin disponer, refinanciada en julio hasta 2031 a 80 puntos básicos). Préstamo puente de 1.000 M (12 meses prorrogables, para LLOG) y préstamo a plazo de 1.000 M (tres años, SOFR + 1,467) [3,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Grado de inversión: Moody's Baa2 (perspectiva negativa), S&amp;P BBB− (estable) y Fitch BBB− (estable) [3, 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Desmantelamiento: provisión de 7.423 M USD a 30-jun-2026 (7.021 M al cierre de 2025), con un activo fiscal diferido asociado de 2.739 M (≈ 39 %: el gasto desgrava al 40 % en el Reino Unido y al 78 % en Noruega, no en el EPL). Impuestos corrientes a pagar de 2.327 M (1.452 M al cierre de 2025): se pagan ≈ 60 % en el segundo semestre y ≈ 40 % en el primero del año siguiente. Bonos subordinados híbridos de 2.044 M dentro del patrimonio (cupón ≈ 100 M al año). Contraprestación contingente de 68 M; impuesto diferido pasivo de 5.409 M [1, 3].</w:t>
      </w:r>
    </w:p>
    <w:p>
      <w:pPr>
        <w:pStyle w:val="Heading1"/>
      </w:pPr>
      <w:r>
        <w:t xml:space="preserve">12. Asignación de capital</w:t>
      </w:r>
    </w:p>
    <w:p>
      <w:pPr>
        <w:pStyle w:val="Confianza"/>
        <w:spacing w:after="100"/>
      </w:pPr>
      <w:r>
        <w:t xml:space="preserve">Confianza: Alta</w:t>
      </w:r>
    </w:p>
    <w:p>
      <w:pPr>
        <w:spacing w:after="100"/>
      </w:pPr>
      <w:r>
        <w:t xml:space="preserve">Desde marzo de 2026 devuelve el 45-75 % del flujo libre cada año, con un dividendo base de 16,10 céntimos por acción con voto (≈ 300 M USD con la prima de las sin voto); hacia la parte baja mientras la deuda neta pase de 1 vez el EBITDAX. En 2025 repartió 478 M (≈ 45 % del flujo libre). En 2026: dividendo a cuenta de 8,05 céntimos (150 M, pagado el 24-sep), recompra de 250 M anunciada el 6-ago y compra de 53 M de acciones a BASF (190 M, 40 M dentro del programa) el 24-sep [2, 3,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Premier Oil (fusión inversa con Chrysaor)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Dio la cotización en Londres; los activos británicos de Premier y Chrysaor llevan años en declive y con deterioros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Wintershall Dea (activos de producción de BASF y LetterOne)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(921 M), caja y deuda y bonos subordinados asumidos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Multiplicó la producción por dos y medio y diversificó fuera del Reino Unido; BASF y LetterOne pasaron a ser los mayores accionistas y BASF lleva todo 2026 vendiendo (47 % → 16,4 %)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LLOG Exploration (golfo de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(2.592 M, con préstamo puente y a plazo) y 174,9 M de 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 kbep/d, 271 Mbep 2P (22 años de vida), coste de 12 USD/bep e impuesto ≈ 23 %; la producción debería doblarse en 2028 [9,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Waldorf (Reino Unido)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10-jul-2026: 14 kbep/d y 25 Mbep, con más de 400 M de caja y pérdidas fiscales que liberar [3].</w:t>
            </w:r>
          </w:p>
        </w:tc>
      </w:tr>
    </w:tbl>
    <w:p>
      <w:pPr>
        <w:spacing w:after="160" w:before="0"/>
      </w:pPr>
    </w:p>
    <w:p>
      <w:pPr>
        <w:spacing w:after="100"/>
      </w:pPr>
      <w:r>
        <w:t xml:space="preserve">Harbour se ha hecho a base de compras grandes, bien en precio (Wintershall en mínimo de ciclo, LLOG antes de la subida de la guerra), y paga con el flujo y con deuda. El reparto está ligado al flujo libre, que es lo prudente en una petrolera. Lo que falta demostrar es la reposición de reservas sin comprar: la empresa se marca más del 100 % en 2025-2028 [2, 14].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Linda Z. Cook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Carrera larga en Shell y después en EIG; consejera delegada de Chrysaor y de Harbour desde la fusión con Premier. Ha dirigido las compras de Wintershall Dea y LLOG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Alexander Krane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director financiero de Aker BP; diseñó la financiación de Wintershall y LLOG con grado de inversión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y coste operativo de la guía anual</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186 kbep/d y 16 USD/bep, «dentro de la guía»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150-165 kbep/d sin Wintershall; coste ≈ 18 USD/bep</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258 kbep/d con Wintershall (cuatro meses); 16,5 USD/bep</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450-475 kbep/d; capex total 2,2-2,4 bn</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474 kbep/d (parte alta); 12,8 USD/bep; 2,37 bn</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Producción 490-500 kbep/d (subida en agosto); flujo libre ≈ 1,8 bn</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509 kbep/d en el 1S26; 1,77 bn de flujo libre en el semestre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curso</w:t>
            </w:r>
          </w:p>
        </w:tc>
      </w:tr>
    </w:tbl>
    <w:p>
      <w:pPr>
        <w:spacing w:after="160" w:before="0"/>
      </w:pPr>
    </w:p>
    <w:p>
      <w:pPr>
        <w:spacing w:after="100"/>
      </w:pPr>
      <w:r>
        <w:t xml:space="preserve">Equipo con historial de compras grandes bien ejecutadas y de cumplir la guía de producción y costes; el riesgo es de asignación de capital (comprar en la parte alta) más que de ejecución. La consejera delegada y el presidente vienen de EIG, que fue el accionista de control de Chrysaor y vendió todo en 2026 [1, 21, 25].</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 Blair Thomas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Linda Z. Cook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Alexander Krane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Simon Henry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 (desde el 1-sep-2026)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Alan Ferguson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Anne Stevens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Margareth Øvrum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Seguridad, salud y medio ambiente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Belgacem Chariag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Seguridad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Louise Hough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Gregory Hill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Seguridad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Dirk Elvermann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dominical (BASF)</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64 %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2025. EY audita a Harbour desde 2021 (y a Premier desde 2017); reelegida tras concurso, socio nuevo (Daniel Trotman) desde 2026; el FRC revisó la auditoría de 2024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355,00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BASF</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Corporativo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47 % a principios de 2026 → 16,38 % tras la colocación de septiembre (anuncio del 24-sep-2026); ha dicho que quiere salir</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LetterOne (con acciones sin voto)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financiero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3,60 % del voto + 251,5 M de acciones sin voto (16,84 % del capital total)</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LLOG Holdings (vendedores de LLOG)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financiero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174,9 M de acciones recibidas en febrero; el 70 % bloqueado hasta febrero de 2027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flotante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Sube con cada venta de BASF y EIG</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Potomac View (EIG, vinculada al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Potomac View (EIG, vinculada al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54.775.572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Alexander Krane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Consolidación de acciones restringidas (venta para impuestos)</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14,80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consejera delegada cobró 10,96 M GBP en 2025 (≈ 14,8 M USD a 1,3467), de los que 7,5 M fueron un premio extraordinario único en acciones por la integración de Wintershall (3,04 M en 2024); el director financiero, 3,23 M GBP. Salarios de 2026: 1,007 M GBP y 0,656 M GBP. Variable anual de hasta el 250 % y el 200 % del salario; plan a largo plazo de hasta el 300 % y el 240 % (rentabilidad total frente al FTSE 100, 40 %; frente al sector, 40 %; flujo libre, 20 %), más acciones restringidas del 100 % y el 80 %. En la junta de 2025 la política de remuneración tuvo un 21,19 % en contra (más del 20 %, lo que obliga a consultar); en la de 2026 el informe de remuneración pasó con el 97,72 % [1, 22, 23].</w:t>
      </w:r>
    </w:p>
    <w:p>
      <w:pPr>
        <w:pStyle w:val="Heading2"/>
      </w:pPr>
      <w:r>
        <w:t xml:space="preserve">Operaciones vinculadas, estructura de control y defensas</w:t>
      </w:r>
    </w:p>
    <w:p>
      <w:pPr>
        <w:spacing w:after="100"/>
      </w:pPr>
      <w:r>
        <w:t xml:space="preserve">Sin accionista de control desde que BASF bajó del 25 % en junio y vendió en septiembre: hoy BASF tiene el 16,4 % del voto y LetterOne el 16,8 % del capital (casi todo sin voto, por eso no hay una acción un voto). Hay acuerdos de relación con BASF y LetterOne (consejero dominical, bloqueos, recompras fuera de mercado autorizadas por la junta). EIG, de donde vienen el presidente y la consejera delegada, salió del todo en julio de 2026 [1, 21, 24, 25].</w:t>
      </w:r>
    </w:p>
    <w:p>
      <w:pPr>
        <w:pStyle w:val="Heading2"/>
      </w:pPr>
      <w:r>
        <w:t xml:space="preserve">Señales de alerta</w:t>
      </w:r>
    </w:p>
    <w:p>
      <w:pPr>
        <w:pStyle w:val="ListParagraph"/>
        <w:numPr>
          <w:ilvl w:val="0"/>
          <w:numId w:val="2"/>
        </w:numPr>
        <w:spacing w:after="60"/>
      </w:pPr>
      <w:r>
        <w:t xml:space="preserve">Exceso de papel: BASF (16,4 %) ha dicho que quiere salir y los vendedores de LLOG (11,6 %) quedan libres en febrero de 2027; cada colocación se ha hecho con descuento (2,05 GBP en julio, 2,66 GBP en septiembre).</w:t>
      </w:r>
    </w:p>
    <w:p>
      <w:pPr>
        <w:pStyle w:val="ListParagraph"/>
        <w:numPr>
          <w:ilvl w:val="0"/>
          <w:numId w:val="2"/>
        </w:numPr>
        <w:spacing w:after="60"/>
      </w:pPr>
      <w:r>
        <w:t xml:space="preserve">El presidente es socio de EIG, que vendió 114,8 M de acciones en 2026 por ≈ 355 M USD sin motivo declarado más allá de la desinversión del fondo.</w:t>
      </w:r>
    </w:p>
    <w:p>
      <w:pPr>
        <w:pStyle w:val="ListParagraph"/>
        <w:numPr>
          <w:ilvl w:val="0"/>
          <w:numId w:val="2"/>
        </w:numPr>
        <w:spacing w:after="60"/>
      </w:pPr>
      <w:r>
        <w:t xml:space="preserve">La política de remuneración de 2025 tuvo más de un 20 % de votos en contra y la consejera delegada cobró un premio único de 7,5 M GBP.</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(6-ago-2026, presentación de octubre): producción de 490-500 kbep/d, coste operativo ≈ 14,5 USD/bep, capex total de 2,2-2,4 bn USD (con desmantelamiento) y flujo libre ≈ 1,8 bn con 80 USD/bbl y 16 USD/mscf en el segundo semestre; 2027-2030: 475-500 kbep/d y capex de 2,0-2,3 bn al año. Sensibilidad: +5 USD/bbl = +170 M de flujo libre; +1 USD/mscf = +150 M [3,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11 analistas [28]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11.954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9.570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7.878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6.033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 5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3,63 – 6,76</w:t>
            </w:r>
          </w:p>
        </w:tc>
      </w:tr>
    </w:tbl>
    <w:p>
      <w:pPr>
        <w:spacing w:after="160" w:before="0"/>
      </w:pPr>
    </w:p>
    <w:p>
      <w:pPr>
        <w:pStyle w:val="Heading2"/>
      </w:pPr>
      <w:r>
        <w:t xml:space="preserve">Revisiones de estimaciones</w:t>
      </w:r>
    </w:p>
    <w:p>
      <w:pPr>
        <w:spacing w:after="100"/>
      </w:pPr>
      <w:r>
        <w:t xml:space="preserve">Al alza y fuertes, por el precio del crudo: el BPA de 2026 del consenso de Yahoo pasó de 0,675 USD hace 90 días a 0,863, y el de 2027 de 0,529 a 0,819 [27]. Los objetivos de precio se movieron poco: JPMorgan 280 peniques (neutral, 10-ago), Berenberg 245 (mantener, 6-ago), Goldman 250 (de vender a neutral, 7-ago), Canaccord 425 (comprar, 24-jun), Stifel 351 (comprar, 7-may) [29].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Índice: FTSE 100 (CUKX.L, rentabilidad total); sector: petroleras y gasistas del MSCI Europa (IOGP.L). La acción perdió frente a los dos durante 2022-2025 (−71 % de caída máxima entre abril de 2022 y abril de 2025: EPL, declive británico y la dilución de Wintershall) y lo ha recuperado en parte en 2026 con la guerra de Irán (+49 % en el año). La beta semanal de 5 años es 0,85 (0,90 ajustada); la mensual, 0,39, sale baja porque el precio sigue al crudo y no al índice [26].</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 / +21,3 % / +6,5 % / +49,5 %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 / +58,6 %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 (avance del tercer trimestre, sin fecha publicada)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ene-mar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mínimo de 182 peniques (8-ene) al máximo de 321 (19-mar): guerra de Irán y cierre del estrecho de Ormuz; Brent a 119 USD en marzo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jun-jul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caída de un mes (hasta el 1-jul): alto el fuego y reapertura de Ormuz, Brent de 114 USD a primeros de mayo a ≈ 73 en junio; el 3-jul EIG colocó sus últimas 54,8 M de acciones a 205 peniques [24,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tras la colocación de EIG y el cierre de Waldorf (10-jul), con el crudo recuperando [3,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sep-oct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Vuelven los combates (31-ago), Brent a 100-110 USD; recompra de 250 M USD y compra de 53 M de acciones a BASF a 2,66 GBP [30,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del tercer trimestre de 2025: sube la guía de producción y confirma el flujo libre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2025-12-22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operación corporativa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LLOG (golfo de EE. UU.) por 3.200 M USD en caja y acciones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2026-01-22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 2025 y guía de 2026: la acción cae un 7 % en el día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2025 y política nueva de reparto (45-75 % del flujo libre, dividendo base de 16,10 céntimos)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Potomac View (EIG, vinculada al presidente) vende 60 M de acciones a 2,55 GBP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Alto el fuego en Irán: Brent a la baja y la acción −6,1 % en el día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2026-07-03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EIG coloca sus últimas 54,8 M de acciones a 205 peniques y sale del capital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1S26 (BPA ajustado de 28 céntimos, flujo libre de 1.765 M), guía de producción al alza y recompra de 250 M USD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2026-09-24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BASF coloca acciones y Harbour le compra 53 M a 2,66 GBP (190 M USD): BASF baja del 24,3 % al 16,4 % y ha dicho que quiere salir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no viene de una caída: sube un 49,5 % en 12 meses, cotiza un 7,5 % bajo su máximo de 52 semanas y por encima de su media de 200 sesiones. Los movimientos fuertes del año los explican el crudo y el gas (guerra de Irán) y las colocaciones de los grandes accionistas, que declararon su motivo (EIG liquidó su fondo; BASF dijo que sale de una participación no estratégica). No hay ampliación ni decisión regulatoria con fecha que pueda mover el precio más de un 5 % en contra antes de los resultados; quedan dos focos de papel sin fecha cerrada (el 16,4 % de BASF y el fin del bloqueo de los vendedores de LLOG en febrero de 2027) y el presupuesto británico de otoño, que puede tocar el régimen fiscal [24, 31].</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Cierres de cada año en peniques (Yahoo [26]) pasados a USD con el GBPUSD de ese día. PER adelantado = cierre ÷ BPA ajustado del año siguiente (2022: 1,62 USD sin el cargo único del EPL; 2023: ≈ 0,12; 2024: 0,33; 2025: 0,31; 2026e: 0,63, el nuestro). Se excluyen 2021 (BPA de 2022 de la crisis del gas, pico) y 2022 (BPA de 2023 hundido por el EPL, valle). Harbour cotizó a 10-12 veces el beneficio del año siguiente en 2023-2024, cuando el beneficio estaba deprimido por el EPL, y a 4 veces al cierre de 2025 sobre un beneficio de 2026 inflado por la guerra: el mercado no paga múltiplo por el beneficio de pico.</w:t>
      </w:r>
    </w:p>
    <w:p>
      <w:pPr>
        <w:pStyle w:val="Heading1"/>
      </w:pPr>
      <w:r>
        <w:t xml:space="preserve">18. Comparables cotizados</w:t>
      </w:r>
    </w:p>
    <w:p>
      <w:pPr>
        <w:pStyle w:val="Confianza"/>
        <w:spacing w:after="100"/>
      </w:pPr>
      <w:r>
        <w:t xml:space="preserve">Confianza: Media</w:t>
      </w:r>
    </w:p>
    <w:p>
      <w:pPr>
        <w:spacing w:after="100"/>
      </w:pPr>
      <w:r>
        <w:t xml:space="preserve">Productores independientes del mar del Norte (Aker BP, Vår Energi, DNO, Ithaca, Serica, EnQuest), la petrolera noruega con la que comparte cuencas (Equinor) y productores de EE. UU. con aguas profundas o perfil internacional parecido a LLOG (Murphy, APA, Talos, Kosmos). Precios del 19-oct-2026 y BPA del consenso de Yahoo; todo en USD (NOK a 0,1062 y GBP a 1,3307) [27].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Harbour Energy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Aker BP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Vår Energi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DNO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Ithaca Energy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Serica Energy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Equinor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109.414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Murphy Oil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17.227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Talos Energy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Kosmos Energy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EnQuest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50"/>
        <w:gridCol w:w="1056"/>
        <w:gridCol w:w="1188"/>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 / 3,8x / 4,8x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 / 10,4x / 12,2x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10.261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 / 1,9x / 2,5x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Harbour cotiza a ≈ 4.6 veces nuestro BPA de los próximos 12 meses (0,85 USD) y a ≈ 2 veces el EBITDAX de 12 meses (valor de empresa de ≈ 15.100 M USD con los híbridos y los arrendamientos), frente a una mediana de 10,4 veces de los comparables. El descuento tiene motivos: el impuesto británico (78 % hasta 2030), la vida de reservas corta (7-8 años 2P), la deuda y los híbridos, y el papel pendiente de BASF. Con el BPA del consenso (0,86 en 2026 y 0,82 en 2027) el PER sería ≈ 4,7.</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47"/>
        <w:gridCol w:w="1780"/>
        <w:gridCol w:w="1676"/>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de producción de Wintershall Dea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Harbour Energy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11.200</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Pagado en acciones, caja y deuda asumida; ≈ 1.100 Mbep 2P adquiridos [9].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LLOG Exploration (golfo de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Harbour Energy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11,5 USD por bep 2P (271 Mbep) y ≈ 94.000 USD por bep/d producido (34 kbep/d) [9].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Waldorf Production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Harbour Energy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6,5 USD por bep 2P (25 Mbep), con caja y pérdidas fiscales [3].</w:t>
            </w:r>
          </w:p>
        </w:tc>
      </w:tr>
    </w:tbl>
    <w:p>
      <w:pPr>
        <w:spacing w:after="160" w:before="0"/>
      </w:pPr>
    </w:p>
    <w:p>
      <w:pPr>
        <w:spacing w:after="160" w:before="0"/>
      </w:pPr>
    </w:p>
    <w:p>
      <w:pPr>
        <w:spacing w:after="100"/>
      </w:pPr>
      <w:r>
        <w:t xml:space="preserve">En el mar del Norte los activos cambian de manos a 5-12 USD por barril 2P; Harbour cotiza a ≈ 10,8 USD por barril 2P (valor de empresa de ≈ 15.100 M sobre ≈ 1.400 Mbep), en la parte alta del rango y sin contar los 1.839 Mbep de recursos 2C.</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Los ingresos salen de producción × precio (modelo propio [34]): 495 kbep/d en 2026-2027 (guía de 490-500 y 475-500 en 2027-2030 [3, 11]), bajando a 400 en 2035 con la inversión guiada (≈ 2 % anual de declive neto, la reposición de reservas sin compras es la gran incógnita). Precios de la curva del 19-oct [35]: Brent de 94,5 USD en 2026 (1S real 92), 95 en 2027, 78 en 2028, 72 en 2029 y 70 en 2030; gas europeo de 18,4, 23,5, 15, 11,5 y 10,5 USD/mscf; coberturas de −1.250, −1.415 y −200 M en 2026-2028 [3]. De ahí +32 % en 2026, +14 % en 2027, −22 % en 2028, −14 % en 2029 y −1-2 % al año desde 2031.</w:t>
      </w:r>
    </w:p>
    <w:p>
      <w:pPr>
        <w:keepNext/>
        <w:spacing w:after="100"/>
      </w:pPr>
      <w:r>
        <w:rPr>
          <w:b/>
          <w:bCs/>
        </w:rPr>
        <w:t xml:space="preserve">Márgenes.</w:t>
      </w:r>
    </w:p>
    <w:p>
      <w:pPr>
        <w:spacing w:after="100"/>
      </w:pPr>
      <w:r>
        <w:t xml:space="preserve">Margen EBITDA (EBITDAX menos exploración) del 70-72 % en 2026-2027 y del 58-66 % desde 2028, frente al 63-73 % de 2021-2025 [2]: coste operativo de 14,5 USD/bep en 2026-2027 y 15 en 2028 (guía [3]) con un 2 % de inflación, 6,5 % de las ventas en regalías y otros costes (cuadra el 1S26: 0,29 frente a 0,28 USD de BPA real), gastos generales de 450 M y 150 M de exploración. El modelo da 0,31 USD de BPA en 2025 frente a 0,31 real [34].</w:t>
      </w:r>
    </w:p>
    <w:p>
      <w:pPr>
        <w:keepNext/>
        <w:spacing w:after="100"/>
      </w:pPr>
      <w:r>
        <w:rPr>
          <w:b/>
          <w:bCs/>
        </w:rPr>
        <w:t xml:space="preserve">Inversión y circulante.</w:t>
      </w:r>
    </w:p>
    <w:p>
      <w:pPr>
        <w:spacing w:after="100"/>
      </w:pPr>
      <w:r>
        <w:t xml:space="preserve">Amortización de las reservas de 16,5 USD/bep en 2026-2028 (16,4 en el 1S26 [3]) que baja a 14 en 2035 con LLOG, más ≈ 150 M de otros: 23 % de las ventas en 2026 y 24 % en 2035. Capex sin desmantelamiento de 1.900 M en 2026 y 1.800 M en 2027-2030 (guía total de 2,0-2,3 bn con ≈ 0,4 bn de desmantelamiento [3, 11]), que baja con la producción. El capex del último año (1.672 M) queda por debajo de la amortización (2.194 M): es una empresa que se agota, no un negocio en estado estacionario, y por eso el crecimiento terminal es negativo. El desmantelamiento va en el puente (neto de impuestos).</w:t>
      </w:r>
    </w:p>
    <w:p>
      <w:pPr>
        <w:keepNext/>
        <w:spacing w:after="100"/>
      </w:pPr>
      <w:r>
        <w:rPr>
          <w:b/>
          <w:bCs/>
        </w:rPr>
        <w:t xml:space="preserve">Coste del capital.</w:t>
      </w:r>
    </w:p>
    <w:p>
      <w:pPr>
        <w:spacing w:after="100"/>
      </w:pPr>
      <w:r>
        <w:t xml:space="preserve">WACC del 8,25 %: tasa libre del 5,09 % (bono del Tesoro de EE. UU. a 10 años del 16-oct-2026 [36]; cuentas y deuda en USD), beta de 0,90 (semanal de 5 años ajustada frente al FTSE 100 [26]), prima de mercado del 5,5 % (la implícita de Damodaran es del 4,2 % [37]) y 1 punto más por el régimen fiscal británico cambiante, las reservas cortas y el papel pendiente de BASF: coste del capital del 11,0 %. Deuda al 5,6 % antes de impuestos (4,8 % de coste medio y bonos nuevos a 4-6 % [3]) con escudo del 45 % y peso del 35 %. Impuesto sobre el EBIT del 74-72 % hasta 2029, 66 % en 2030 (fin del EPL en marzo) y 62 % desde 2031 (con LLOG y Argentina), como en Equinor [38].</w:t>
      </w:r>
    </w:p>
    <w:p>
      <w:pPr>
        <w:keepNext/>
        <w:spacing w:after="100"/>
      </w:pPr>
      <w:r>
        <w:rPr>
          <w:b/>
          <w:bCs/>
        </w:rPr>
        <w:t xml:space="preserve">Valor terminal.</w:t>
      </w:r>
    </w:p>
    <w:p>
      <w:pPr>
        <w:spacing w:after="100"/>
      </w:pPr>
      <w:r>
        <w:t xml:space="preserve">Crecimiento a perpetuidad del −2 %: con ≈ 1.400 Mbep de reservas 2P (7-8 años) y 1.839 Mbep de recursos 2C, la producción no se sostiene sin comprar; el −2 % equivale a reponer ≈ 70 % de lo producido para siempre. El valor terminal es el 34 % del valor de empresa. Con un múltiplo de salida de 3 veces el EBITDA (el de Harbour y los independientes del mar del Norte hoy) el valor terminal sería parecido (15.588 frente a 16.014 M).</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-9.959 M (-79 %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 (reinvierte el 139 %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 (histórico: 22,2 %)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 frente al -0,4 %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-9.959 M, con un capex bruto medio del 17,0 % de las ventas). En un negocio de activos ligeros, el crecimiento medio del -0,4 %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+4,4 % (495 frente a 474 kbep/d, con LLOG desde febrero y Waldorf desde julio, menos Indonesia [3]); precio +38 % (Brent de 69 a 94,5 USD y gas europeo de 11 a 18 USD/mscf por la guerra de Irán); otros −11 % (pérdidas de coberturas de ≈ 1.250 M).</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plano (guía de 475-500 [11]); precio +15 % (Brent de 95 y TTF de ≈ 71 EUR/MWh en la curva [35]); coberturas algo peores (−1.415 M).</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−1 %; precio −29 % (la curva baja a 78 USD y 45 EUR/MWh); las coberturas casi desaparecen (+8 %).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−1 %; precio −14 % (Brent 72, gas 11,5 USD/mscf).</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−2 %; precio −5 % (Brent 70, gas 10,5).</w:t>
            </w:r>
          </w:p>
        </w:tc>
      </w:tr>
    </w:tbl>
    <w:p>
      <w:pPr>
        <w:spacing w:after="160" w:before="0"/>
      </w:pPr>
    </w:p>
    <w:p>
      <w:pPr>
        <w:spacing w:after="100"/>
      </w:pPr>
      <w:r>
        <w:t xml:space="preserve">La proyección no pide crecer: los ingresos de 2035 quedan un 12 % por debajo de los de 2025 y la producción baja de 495 a 400 kbep/d. Lo que pide es mantener el declive en ≈ 2 % anual con 1.800 M de inversión al año, es decir, reponer reservas sin comprar, algo que Harbour no ha demostrado: su reposición del 250 % en 2022-2025 vino casi toda de compras [2]. Con un ROIC real por debajo del WACC (6,6-9,1 % frente al 8,25 %), cada dólar reinvertido crea poco valor; por eso «En parte» y no «Sí», aunque el motor dé «Sí» (su ROIC usa un impuesto del 40 %). LLOG (22 años de vida, crecimiento a 2028) y los 2C de Argentina y México son el apoyo; el Reino Unido, el lastre.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 (base: -4,0 %)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52,6 % (base: 57,8 %)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9,4 % (WACC: 8,3 %)</w:t>
            </w:r>
          </w:p>
        </w:tc>
      </w:tr>
    </w:tbl>
    <w:p>
      <w:pPr>
        <w:spacing w:after="160" w:before="0"/>
      </w:pPr>
    </w:p>
    <w:p>
      <w:pPr>
        <w:spacing w:after="100"/>
      </w:pPr>
      <w:r>
        <w:t xml:space="preserve">El DCF da 5,03 USD por acción (378 peniques), un 28 % sobre el precio, con el valor terminal en el 34 % del valor de empresa: casi todo el valor está en los diez años explícitos, y de ellos ≈ 6.000 M en 2026-2028, los años de la guerra. El puente resta 11.900 M (deuda neta de 6.200 M, híbridos de 2.044 M, desmantelamiento neto de 4.530 M, impuestos atrasados y otros): el accionista es la cola de una empresa con mucho pasivo, y por eso el valor es tan sensible al precio (bajista 1,01 USD, alcista 8,57). El DCF inverso dice que el precio descuenta ingresos que caen un 5,7 % al año en 2027-2035 (nuestro base: −4,0 %) o un margen del 52,6 % (base 57,8 %), y una rentabilidad del 9,4 % frente al WACC del 8,25 %: el mercado ya pone un Brent algo por debajo de la curva y una prima de riesgo mayor. No es exigente; es la valoración de un activo que se agota en un pico de precios.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Paz duradera en Oriente Medio, Ormuz abierto y la OPEP+ recuperando cuota: el Brent vuelve a los 60-70 USD de antes de la guerra en 2027 (70) y se queda en 60 desde 2028; el gas europeo baja a 9-12 USD/mscf con el gas licuado nuevo. Las coberturas ya no pierden. Ingresos de 10.400 M en 2027 y 8.800 M en 2028, BPA de 0,30 y 0,11 USD. Con 11.900 M de pasivos delante del accionista, el valor del DCF baja a 1,01 USD (−74 %).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curva de futuros del 19-oct se cumple: Brent de 95 USD en 2027, 78 en 2028 y 70 en 2030; TTF de ≈ 71 y 45 EUR/MWh en 2027 y 2028. Producción de 495 kbep/d que baja a 400 en 2035, impuesto del 74 % hasta el fin del EPL. BPA de 0,63 en 2026, 0,91 en 2027 y 0,51 en 2028. DCF de 5,03 USD (+28 %).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crisis de suministro dura hasta 2028 (Brent de 105 USD en 2027 y 90 en 2028, TTF ≈ 90 y 63 EUR/MWh) y los precios se normalizan más arriba (78-80 USD). Las coberturas restan más en 2027 (−2.100 M), pero el BPA llega a 1,22 USD en 2027 y 0,88 en 2028. DCF de 8,57 USD (+118 %).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USD) · precio actual 3,9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4,91 USD (+24,5 %).</w:t>
      </w:r>
    </w:p>
    <w:p>
      <w:pPr>
        <w:spacing w:after="100"/>
      </w:pPr>
      <w:r>
        <w:t xml:space="preserve">Escenarios por mazo de precios, no por un solo precio (lección de energía): cada uno es el modelo de producción × precio con su Brent, su gas y sus coberturas [34], pasado al motor como perfil año a año de crecimiento y margen (el margen se ajusta para que el EBIT del motor sea el del modelo). Probabilidades 25/50/25. La asimetría del DCF es favorable (+118 % frente a −74 %; ponderado 4,91 USD) porque la deuda apalanca el resultado en los dos sentidos. Pero la regla a 12 meses mira el beneficio de 2028, cuando la curva ya ha bajado, y ahí la asimetría desaparece: el BPA va de 0,11 a 0,88 USD.</w:t>
      </w:r>
    </w:p>
    <w:p>
      <w:pPr>
        <w:pStyle w:val="Heading1"/>
      </w:pPr>
      <w:r>
        <w:t xml:space="preserve">22. Suma de partes</w:t>
      </w:r>
    </w:p>
    <w:p>
      <w:pPr>
        <w:pStyle w:val="Confianza"/>
        <w:spacing w:after="100"/>
      </w:pPr>
      <w:r>
        <w:t xml:space="preserve">Confianza: Media</w:t>
      </w:r>
    </w:p>
    <w:p>
      <w:pPr>
        <w:spacing w:after="100"/>
      </w:pPr>
      <w:r>
        <w:t xml:space="preserve">No aplica: todos los negocios son producción de petróleo y gas con el mismo motor (precio × volumen − impuesto). La diferencia entre países es el régimen fiscal (78 % en el Reino Unido y Noruega, ≈ 23 % en EE. UU., 35-45 % en Argentina), que ya recoge el tipo medio del DCF; el CCS (Viking, Greensand) no tiene ingresos y su valor es una opción sin cifras públicas fiables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USD) · precio actual 3,9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5,35 USD (+35,6 % sobre 3,94).</w:t>
      </w:r>
    </w:p>
    <w:p>
      <w:pPr>
        <w:spacing w:after="100"/>
      </w:pPr>
      <w:r>
        <w:t xml:space="preserve">Pesos: DCF 40 %, escenarios 40 % y comparables 20 %, como en Equinor [38]: el DCF por producción × precio es el método que recoge la curva y la deuda; los comparables pesan menos porque el PER y el EV/EBITDA de los productores están deformados por el pico (el PER de los próximos 12 meses del motor usa el consenso, 6,0x frente a una mediana de 10,4x). Síntesis: 5,35 USD (402 peniques), un 36 % sobre el precio, el valor intrínseco a largo plazo. La distancia con el objetivo a 12 meses (2,61 USD) es el centro del caso: el valor existe si los precios se quedan cerca de la curva y Harbour repone reservas, pero en 12 meses el mercado mirará el beneficio de 2028 y no le pondrá más múltiplo. Con la prima implícita del mercado (4,2 %), el DCF sube a 5,85 USD.</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+38,8 %</w:t>
            </w:r>
          </w:p>
        </w:tc>
      </w:tr>
    </w:tbl>
    <w:p>
      <w:pPr>
        <w:spacing w:after="160" w:before="0"/>
      </w:pPr>
    </w:p>
    <w:p>
      <w:pPr>
        <w:spacing w:after="100"/>
      </w:pPr>
      <w:r>
        <w:rPr>
          <w:b/>
          <w:bCs/>
        </w:rPr>
        <w:t xml:space="preserve">Objetivo a 12 meses (ponderado):</w:t>
      </w:r>
      <w:r>
        <w:t xml:space="preserve"> 2,61 USD (196,14 GBp) · rentabilidad -28,6 % (base -34,8 %) · señal Vender.</w:t>
      </w:r>
    </w:p>
    <w:p>
      <w:pPr>
        <w:spacing w:after="100"/>
      </w:pPr>
      <w:r>
        <w:t xml:space="preserve">Para comparar, con la regla v2 (historia al cierre, mismo precio): 3,9x / 4,6x / 6,0x, -28,6 % Vender; con el tope anterior del base (×1,3, 14-oct mediodía): -7,5 % Mantener; con la v3 sin el selector (tope ×1,1): -20,7 % Vender. Decide la v2, elegida por el selector de método (desrateada: la mediana adelantada (10,3x) es 2,2 veces el PER de hoy (4,6x); la historia es de otro régimen y decide la v2; METODO-VIGENTE.md).</w:t>
      </w:r>
    </w:p>
    <w:p>
      <w:pPr>
        <w:keepNext/>
        <w:spacing w:after="100"/>
      </w:pPr>
      <w:r>
        <w:rPr>
          <w:b/>
          <w:bCs/>
        </w:rPr>
        <w:t xml:space="preserve">Frente al consenso (solo contraste).</w:t>
      </w:r>
    </w:p>
    <w:p>
      <w:pPr>
        <w:spacing w:after="100"/>
      </w:pPr>
      <w:r>
        <w:t xml:space="preserve">Nuestro BPA de 2026 (0,63 USD) está entre el de MarketScreener (0,70) y por debajo del de Yahoo (0,86, cuatro analistas); el de 2027 (0,91) está por encima de los dos (0,65 y 0,82) porque usamos la curva del 19-oct con Brent de 95 USD; el de 2028 (0,51) está cerca del de MarketScreener (0,45). La diferencia no está en el beneficio sino en el múltiplo: el objetivo medio de los analistas (349 peniques, 4,64 USD) supone ≈ 9 veces el beneficio de 2028; la regla común aplica a 2028 el PER de hoy, calculado sobre el beneficio del pico.</w:t>
      </w:r>
    </w:p>
    <w:p>
      <w:pPr>
        <w:keepNext/>
        <w:spacing w:after="100"/>
      </w:pPr>
      <w:r>
        <w:rPr>
          <w:b/>
          <w:bCs/>
        </w:rPr>
        <w:t xml:space="preserve">Del valor intrínseco al objetivo a 12 meses.</w:t>
      </w:r>
    </w:p>
    <w:p>
      <w:pPr>
        <w:spacing w:after="100"/>
      </w:pPr>
      <w:r>
        <w:t xml:space="preserve">La regla a 12 meses da Vender: objetivo ponderado de 2,61 USD (196 peniques), −28,6 % con el dividendo (base −34,8 %). El selector manda a la v2 porque Harbour está «desrateada»: su mediana adelantada (10,3x, de 2023-2025) es 2,2 veces el PER de hoy (4,6x); con la v3 sin selector saldría −20,7 %, también Vender. La causa es de ciclo: el PER de hoy (4,6x) se calcula sobre el beneficio de la guerra (0,85 USD en los próximos 12 meses) y se aplica al de 2028 (0,51), cuando la curva ya ha bajado; el mercado no paga más múltiplo por un beneficio que sabe que es de pico. Dicho de otro modo: para ganar un 15 % en 12 meses, la acción tendría que cotizar a ≈ 8,8 veces el beneficio de 2028, cuando hoy cotiza a 7,6 veces y su historia normal es de 10. El crecimiento del BPA que el control marca (54 % anual desde 2023) es un artefacto: el BPA NIIF de 2024-2025 es negativo; en BPA ajustado es un 18 % anual desde 0,31, todo precio.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 producción y negocio del tercer trimestre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del 3T (guía 490-500 kbep/d), deuda neta tras la recompra y posible primera guía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Presupuesto de otoño del Reino Unido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en el EPL o en el mecanismo de precios que lo sustituye (OGPM) desde 2030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bloqueo de las acciones de los vendedores de LLOG (70 % de 174,9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colocación con descuento de hasta ≈ 122 M de acciones (8 % del capital con voto)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reservas a fin de año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Reposición de reservas 2P (la empresa espera ≥ 150 % en 2026), dividendo final y guía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16,4 % restante de BASF</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Exceso de papel; la empresa puede comprar a la vez fuera de mercado (lo hizo en septiembre a 2,66 GBP)</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paz en Oriente Medio o nuevo cierre de Ormuz</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el Brent ±20-30 USD y la acción en el mismo sentido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2027-12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Arranque de SESA (gas natural licuado, Harbour 15 %) y crecimiento de LLOG</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producción fuera del Reino Unido con impuesto más bajo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Vuelta de los precios a antes de la guerra (Brent 60 USD, TTF 25-30 EUR/MWh)</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−74 % en el DCF (bajista: 1,01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de 2027 (16,9 Mbbl a 60-83 USD; gas a 8,9-15,8 USD/mscf) y deuda en grado de inversión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Brent por debajo de 75 USD en el contrato de dic-27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fiscal en el Reino Unido (EPL más alto o más largo, OGPM peor de lo previsto)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−5-10 % por cada 5 puntos de impuesto sobre el Reino Unido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Reino Unido baja al ≈ 30 % de la producción; la cartera se ha ido a EE. UU., Noruega y Argentina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Presupuesto de otoño y consulta del OGPM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cortas: 7-8 años de 2P sin reposición orgánica demostrada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si el declive es del 5 % anual en vez del 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LLOG (22 años de vida), 2C de 1.839 Mbep (Argentina, México, Noruega)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Reposición 2P por debajo del 100 % en marzo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Exceso de papel: BASF (16,4 %) y vendedores de LLOG (11,6 %)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−5-10 % en cada colocación (julio a 205 peniques, septiembre a 266)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250 M y compras fuera de mercado autorizadas por la junta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colocación acelerada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y pasivos delante del accionista (deuda neta 5.170 M, híbridos 2.044 M, desmantelamiento 7.423 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Apalanca el bajista: cada 1.000 M de valor de empresa son ≈ 0,56 USD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Grado de inversión (BBB−/Baa2), liquidez de 4.100 M, vencimientos escalonados hasta 2035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Moody's baja a Baa3 (perspectiva negativa hoy)</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Retraso de los impuestos: ≈ 2.400 M a pagar en el 2S26 y ≈ 1.000 M más en el 1S27 por los precios de 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Flujo libre de 2027 menor que el beneficio; reparto hacia la parte baja del 45-75 %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está en el puente (875 M por encima de lo normal)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por encima de 1 vez el EBITDAX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Ejecución en México y Argentina (Zama, Kan, Vaca Muerta)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Socios grandes (Pemex, Carso, TotalEnergies, YPF)</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Deterioros en México (77 M en 2025) o retraso de la decisión de inversión de Zama</w:t>
            </w:r>
          </w:p>
        </w:tc>
      </w:tr>
    </w:tbl>
    <w:p>
      <w:pPr>
        <w:spacing w:after="160" w:before="0"/>
      </w:pPr>
    </w:p>
    <w:p>
      <w:pPr>
        <w:pStyle w:val="Heading2"/>
      </w:pPr>
      <w:r>
        <w:t xml:space="preserve">Pre-mortem</w:t>
      </w:r>
    </w:p>
    <w:p>
      <w:pPr>
        <w:spacing w:after="100"/>
      </w:pPr>
      <w:r>
        <w:t xml:space="preserve">Octubre de 2029: la acción ha perdido un 40 %. No fue un accidente sino la suma de lo previsible. En la primavera de 2027 un acuerdo con Irán reabrió el golfo del todo y la OPEP+ recuperó cuota: el Brent bajó a 65 USD y el TTF a 30 EUR/MWh. Harbour pagó en 2027 los impuestos de los precios de 2026 (≈ 1.000 M en el primer semestre) con un flujo ya mucho menor, la deuda neta volvió a 1,3 veces el EBITDAX y el reparto bajó al mínimo (16,10 céntimos). BASF y los vendedores de LLOG colocaron su papel con descuento en 2027. La reposición de reservas de 2027 y 2028 se quedó en el 60-70 % sin compras: el mercado empezó a valorar a Harbour por años de vida y no por flujo, y Moody's la bajó a Baa3. Para crecer, la dirección hizo otra compra grande pagada con acciones. Las señales que lo anticipaban: la curva de futuros (78 USD en 2028 ya en 2026), la reposición orgánica nunca demostrada y un balance con 11.900 M de pasivos delante del accionista.</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±1-2 % a 3-5 años</w:t>
      </w:r>
    </w:p>
    <w:p>
      <w:pPr>
        <w:spacing w:after="100"/>
      </w:pPr>
      <w:r>
        <w:t xml:space="preserve">Riesgo menor: la IA no sustituye lo que vende Harbour (petróleo y gas). Le ayuda algo en el subsuelo (interpretación sísmica, perforación) y en costes de operación y mantenimiento predictivo, donde ya trabajan las grandes; el efecto en el valor es pequeño frente al precio del crudo. Del lado de la demanda, los centros de datos suben el consumo de gas para generar electricidad en EE. UU. y Europa, un apoyo menor al gas. Ningún escenario cambia por la IA.</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Harbour es la seguridad de las operaciones en el mar, las emisiones de sus plataformas (y el metano), el desmantelamiento (7.423 M de provisión) y la licencia social y fiscal para producir en el Reino Unido, donde el gobierno no concede licencias nuevas de exploración. El almacenamiento de CO2 (Viking en el Reino Unido, Greensand en Dinamarca) es su respuesta, aún sin ingresos [1, 3].</w:t>
      </w:r>
    </w:p>
    <w:p>
      <w:pPr>
        <w:pStyle w:val="Heading2"/>
      </w:pPr>
      <w:r>
        <w:t xml:space="preserve">Controversias</w:t>
      </w:r>
    </w:p>
    <w:p>
      <w:pPr>
        <w:spacing w:after="100"/>
      </w:pPr>
      <w:r>
        <w:t xml:space="preserve">Sin controversias graves registradas en los documentos leídos. La política de remuneración de 2025 tuvo más de un 20 % de votos en contra por el premio único de la consejera delegada [1]. Los activos rusos de Wintershall Dea quedaron fuera de la compra [4].</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 reposición de reservas 2P esperan sin compras en 2026-2028 y cuánto cuesta por barril?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7-8 años de vida, es lo que decide si el terminal debe ser −2 % o −5 %.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impuesto de 2026 queda por pagar en 2027 y cómo afecta al reparto?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flujo libre de 2027 será menor que el beneficio por el retraso fiscal (≈ 60/40).</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BASF</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acuerdo para comprar el resto de la participación de BASF fuera de mercado, y a qué descuento?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16,4 % es el mayor freno al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Reino Unido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británica sigue invirtiendo con el EPL hasta 2030 y qué haría el OGPM con los proyectos?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declive británico (≈ 30 % de la producción).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Coberturas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¿Mantendrán coberturas del 40-50 % para 2027-2028 con la curva tan invertida?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de 2026-2027 cuestan ≈ 2.700 M frente al mercado.</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Positivo · </w:t>
      </w:r>
      <w:r>
        <w:rPr>
          <w:b/>
          <w:bCs/>
        </w:rPr>
        <w:t xml:space="preserve">Tendencia:</w:t>
      </w:r>
      <w:r>
        <w:t xml:space="preserve"> Mejorando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(HBRIY)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artículos en diez meses, todos alcistas: «The Bargain Persists With An Enhanced Share Buyback Program» (8-sep-2026), «Second Chance» (2-jul), «Excellent Acquisition Timing» (16-abr), «Another Acquisition» (26-dic-2025) y «Turnaround May Be Beginning». Tesis común: barata por flujo libre y por barril, con compras bien compradas [32].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MarketBeat y Simply Wall St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Neutral</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analistas recortaron objetivos en verano y los subieron poco después: consenso de «comprar moderado» con objetivo medio de ≈ 311 peniques (MarketBeat), cerca del precio. Las narrativas hablan de valor barato frente al riesgo fiscal británico [29, 33].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Conferencia de resultados del 1S26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Neutral</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preguntas de los analistas fueron sobre asignación de capital frente al retraso de los impuestos en 2027, recompras, más compras, el régimen fiscal británico, la deuda por debajo de 1 vez y México [13].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Barata por flujo libre y por barril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con los precios de hoy (flujo libre de ≈ 1,8 bn en 2026, ≈ 25 % de la capitalización), pero el flujo de 2027 lleva ≈ 1.000 M de impuestos atrasados de 2026 y la curva baja a 78 USD en 2028.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bien hechas (Wintershall, LLOG)</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LLOG se compró a ≈ 11,5 USD por bep 2P antes de la subida; Wintershall dobló la escala, pero trajo un fondo de comercio fiscal y un accionista que quiere salir.</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Exceso de papel (BASF, EIG, LLOG)</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Real: EIG salió a 205 peniques en julio, BASF colocó a 266 en septiembre y aún tiene el 16,4 %; los vendedores de LLOG quedan libres en febrero de 2027.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fiscal británico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EPL sigue hasta marzo de 2030 y el OGPM lo sustituye; el Reino Unido es ≈ 30 % de la producción y baja.</w:t>
            </w:r>
          </w:p>
        </w:tc>
      </w:tr>
    </w:tbl>
    <w:p>
      <w:pPr>
        <w:spacing w:after="160" w:before="0"/>
      </w:pPr>
    </w:p>
    <w:p>
      <w:pPr>
        <w:spacing w:after="100"/>
      </w:pPr>
      <w:r>
        <w:t xml:space="preserve">El sentimiento de los particulares es positivo (los artículos alcistas insisten en el flujo libre y la recompra) y el de los analistas, tibio: 6 de 11 en comprar con un objetivo medio de 349 peniques en Yahoo y 311 en MarketBeat, apenas un 5-18 % sobre el precio. Lo que nadie discute es que 2026-2027 son años de precios de crisis; lo que separa a alcistas y bajistas es cuánto dura y cuánto queda después de impuestos y del papel de BASF.</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26 controles correctos y 8 explicados. Fuentes: 38 (23 primarias); citas distintas en el texto: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92,7 %: explica la causa (créditos fiscales, regularizaciones, mezcla de países) y no lo proyectes en el DCF. Explicación: 92,7 %: el impuesto británico (40 % + EPL del 35-38 %) y el noruego (78 %) sobre un beneficio pequeño, con deterioros y bajas sin desgravación en el EPL. No se proyecta: el DCF usa el 74-62 % sobre el EBIT, por país y por fecha de fin del EPL [5].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107,6 %: explica la causa (créditos fiscales, regularizaciones, mezcla de países) y no lo proyectes en el DCF. Explicación: 107,6 %: deterioros (393 M) y costes de compra sin desgravación, y el 78 % noruego de Wintershall desde septiembre [4].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106,5 %: explica la causa (créditos fiscales, regularizaciones, mezcla de países) y no lo proyectes en el DCF. Explicación: 106,5 %: 311 M de impuesto diferido por alargar el EPL a 2030, 485 M de diferencias de cambio no realizadas sobre los impuestos y deterioros sin desgravar; ajustado, 82 % [2].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9,0 % frente a 9,4 % real: genera una variación de circulante de 252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2.967 M de flujo libre medio en sus tres primeros años, frente a 545 M de media real en los tres últimos: justifica el salto (circulante, inversión, márgenes) o ajusta los supuestos. Explicación: El flujo de 2023-2025 (545 M de media) es el de una empresa la mitad de grande y con precios de 70-80 USD; 2026-2028 llevan Wintershall entero, LLOG y la guerra de Irán (Brent de 95 USD en 2027 por la curva). La empresa guía ≈ 1.800 M de flujo libre en 2026 después de intereses, desmantelamiento e impuestos atrasados [3]; el flujo del DCF es antes de intereses y con los impuestos devengados, y baja a ≈ 2.100 M en 2030.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(2027e)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39,1 % frente al consenso: justifica la diferencia en el DCF. Explicación: Nuestro EBITDA de 2027 (11.150 M) usa la curva de futuros del 19-oct (Brent 95 USD, TTF ≈ 71 EUR/MWh) [35]; el consenso de MarketScreener (8.134 M) refleja mazos de precios de verano (≈ 70-75 USD y gas más bajo). Con Brent de 70 USD y gas de 12 USD/mscf (nuestro bajista) salen ≈ 7.000 M. La diferencia es de precio, no de volumen ni de costes.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(2028e)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30,6 % frente al consenso: justifica la diferencia en el DCF. Explicación: Mismo motivo: nuestro base de 2028 lleva Brent de 78 USD y TTF de ≈ 45 EUR/MWh (la curva); el consenso, ≈ 65-70 USD. Nuestro BPA de 2028 (0,51) está cerca del del consenso (0,45) porque la amortización y los impuestos absorben la mayor parte de la diferencia.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(0,51) supone un 53,7 % anual desde 0,06 (2023): explícalo en valoracion.objetivo_12m.comentario o la confianza es baja. Explicación: El motor toma 2023 (0,06) porque 2024 y 2025 tienen BPA NIIF negativo por partidas fiscales y deterioros; en BPA ajustado, el real de 2025 es 0,31 y el 2028e de 0,51 supone un 18 % anual, todo precio (crisis de Irán) y LLOG.</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(no llega a Alta: rentabilidad del 41,0 % (&gt; −20 %); con la prima del mercado, 58,5 % (&gt; −15 %); el precio pide -1,7 puntos más de crecimiento que el caso base (&lt; 5))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Calculada 7.058, publicada 5.862: revisa acciones y precio. Explicación: La publicada (Yahoo, 5.862 M USD) solo cuenta 1.494 M de acciones con voto; la nuestra suma las 251,5 M sin voto de LetterOne (× 1,13 por su prima de dividendo) y las con voto a 13-oct (1.505,2 M): 1.789,4 M de acciones económicas.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38 fuentes (23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Estadística oficial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Propia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Académica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histórica de 5 años del tamaño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norskpetroleum.no (solo 2025 en la página leída); 2) NSTA vía Rigzone (2025); 3) OEUK Business Outlook (proyección, no serie)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 2025 y la tendencia esperada (−2 % anual combinado: declive británico, meseta noruega).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Empleados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nota de personal (tabla sin texto legible); 2) web de la empresa; 3) comunicados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deuda neta/EBITDA y flujo libre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quoteSummary; 2) MarketScreener; 3) informes anuales (sin tiempo para diez empresas)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PER y el EV/EBITDA bastan para la valoración por comparables.</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and Accounts 2025 (cuentas consolidadas, notas, remuneración, gobierno)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Harbour Energy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https://www.harbourenergy.com/media/a11hxbdn/harbour-energy-annual-report-accounts-2025_web.pdf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Full Year Results (comunicado y estados financieros)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Harbour Energy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https://www.harbourenergy.com/media/ppzaeeqo/harbour-energy-2025-full-year-results.pdf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Results 2026 (estados financieros intermedios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Harbour Energy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https://www.harbourenergy.com/media/xhka5ldn/harbour-energy-half-year-results-2026-2.pdf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Full 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Harbour Energy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https://www.harbourenergy.com/media/3azjfyq4/harbour-energy-plc-2024-full-year-results-6-march-2025-final.pdf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Harbour Energy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https://www.harbourenergy.com/media/hypjgsuu/harbour_energy_full_year_results_2023.pdf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 Full 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Harbour Energy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https://www.harbourenergy.com/media/mrhpslnp/2022-fy-results-press-release-vfinal.pdf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 Annual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Harbour Energy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https://www.harbourenergy.com/media/yu3oswzo/220316-2021-annual-results-press-release-vf-full.pdf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anuales ESEF 2020-2025 (XBRL), LEI 213800YPC42DYBKVPF97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International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https://filings.xbrl.org/213800YPC42DYBKVPF97/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Strategic acquisition of LLOG Exploration (anuncio)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Harbour Energy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https://www.harbourenergy.com/media/l3cm1w4o/harbour_energy_strategic_acquisition_of_llog_exploration_december_2025.pdf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Completion of LLOG acquisition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Harbour Energy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https://www.harbourenergy.com/media/t4jfmkwo/harbour-energy-completion-of-llog-acquisition-11-february-2026.pdf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Presentation, October 2026 (guía, deuda, reservas, coberturas)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Harbour Energy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https://www.harbourenergy.com/media/rnojrs1e/harbour-energy-investor-presentation-october-2026.pdf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and Operations Update, 7 May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Harbour Energy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https://www.harbourenergy.com/media/ii1lkg44/harbour-energy-trading-operations-update-7th-may-2026.pdf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Results 2026: transcripción de la conferencia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Harbour Energy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https://www.harbourenergy.com/media/0ipojjuv/harbour-energy-2026-half-year-results-transcript.pdf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Update, 6 March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Harbour Energy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https://www.harbourenergy.com/media/olxdz4ps/harbour-energy-plc-capital-markets-update-6-march-2025.pdf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programa de recompra de 250 M USD (6-ago) y compra fuera de mercado junto a la venta de BASF (10, 11 y 24-sep-2026)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Harbour Energy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https://www.investegate.co.uk/announcement/rns/harbour-energy--hbr/completion-of-off-market-buyback-and-voting-rights/9790015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Producción de Noruega 2025 (239,2 MSm³ o.e.)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Norsk Petroleum (Ministerio de Energía y Sokkeldirektoratet)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 oficial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https://www.norskpetroleum.no/en/production-and-exports/oil-and-gas-production/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UK oil and gas production 2025 (datos de la NSTA)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Rigzone / North Sea Transition Authority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 oficial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https://www.nstauthority.co.uk/data-centre/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Futuros de Brent (NYMEX BZ) y TTF (ICE Endex) a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y TradingView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https://finance.yahoo.com/quote/BZ=F/futures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 Profits Levy y Oil and Gas Price Mechanism (presupuesto de noviembre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HM Treasury / GOV.UK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https://www.gov.uk/government/publications/energy-profits-levy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Outlook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Offshore Energies UK (OEUK)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https://oeuk.org.uk/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Holding(s) in Company (BASF, 24-sep-2026) y total voting rights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Harbour Energy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https://www.investegate.co.uk/announcement/rns/harbour-energy--hbr/holding-s-in-company/9790123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Result of AGM 2026 (7-may-2026)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Harbour Energy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https://www.investegate.co.uk/announcement/rns/harbour-energy--hbr/result-of-agm/9557650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Directorate change (9-jun y 26-ago-2026)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Harbour Energy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https://www.investegate.co.uk/announcement/rns/harbour-energy--hbr/directorate-change/9741473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Launch and pricing of accelerated placing (2 y 3-jul-2026)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Harbour Energy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https://www.investegate.co.uk/announcement/rns/harbour-energy--hbr/pricing-of-accelerated-placing-in-harbour-energy/9650704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Director/PDMR shareholding (16-mar, 9-abr y 7-jul-2026)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Harbour Energy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https://www.investegate.co.uk/announcement/rns/harbour-energy--hbr/director-pdmr-shareholding/9656340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HBR.L, CUKX.L e IOGP.L (precio, rango, rentabilidades, beta,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https://finance.yahoo.com/quote/HBR.L/history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Cotizaciones, consenso de BPA y recomendaciones de Harbour y comparables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https://finance.yahoo.com/quote/HBR.L/analysis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Harbour Energy: previsiones del consenso (ventas, EBITDA, EBIT, BPA, dividendo, deuda neta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https://www.marketscreener.com/quote/stock/HARBOUR-ENERGY-PLC-120993565/finances/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Harbour Energy (LON:HBR): acciones de los analistas y objetivos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https://www.marketbeat.com/stocks/LON/HBR/forecast/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Brent: precios diarios y futuros (BZ=F, contratos a 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https://finance.yahoo.com/quote/BZ=F/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compra fuera de mercado junto a la colocación de BASF y participaciones significativas (10, 11 y 24-sep-2026)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Harbour Energy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https://www.investegate.co.uk/announcement/rns/harbour-energy--hbr/update-on-off-market-purchase-alongside-basf-offer/9767540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análisis de Harbour Energy (HBRIY), dic-2025 a 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https://seekingalpha.com/symbol/HBRIY/analysis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Harbour Energy: narrativas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https://simplywall.st/stocks/gb/energy/lse-hbr/harbour-energy-shares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Modelo propio de producción × precio de Harbour (escenarios Bajista, Base y Alcista; calibrado con 2025 y el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(informes/harbour-energy-2026-10-19/notas/modelo.mjs)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informes/harbour-energy-2026-10-19/notas/modelo.mjs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Curvas de futuros a 19-oct-2026: Brent (NYMEX BZ, ene-27 104,9; dic-27 87,0; dic-28 78,3; dic-29 71,5 USD) y TTF (ICE Endex, cal-27 ≈ 71 y cal-28 ≈ 45 EUR/MWh)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y TradingView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https://www.tradingview.com/symbols/ICEENDEX-TFM1!/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(10 años: 5,09 % el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(prima implícita del S&amp;P 500, oct-2026: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Académica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https://pages.stern.nyu.edu/~adamodar/New_Home_Page/datafile/implpr.html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Equinor: análisis value del 15-oct-2026 (mismo sector: tratamiento del impuesto, del beneficio de pico y de la curva)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(informes/equinor-2026-10-15)</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informes/equinor-2026-10-15/</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89,9 %</w:t>
      </w:r>
      <w:r>
        <w:t xml:space="preserve"> · Secciones con menos del 60 % de campos cubiertos: </w:t>
      </w:r>
      <w:r>
        <w:rPr>
          <w:b/>
          <w:bCs/>
        </w:rPr>
        <w:t xml:space="preserve">ninguna</w:t>
      </w:r>
      <w:r>
        <w:t xml:space="preserve"> · Generado el 19 oct 2026.</w:t>
      </w:r>
    </w:p>
    <w:p>
      <w:pPr>
        <w:pStyle w:val="Nota"/>
        <w:spacing w:after="100"/>
      </w:pPr>
      <w:r>
        <w:t xml:space="preserve">Cifras en millones de USD (la moneda de las cuentas); la acción cotiza en peniques (GBp) y se pasa a USD con GBPUSD 1,3307 (19-oct-2026, 15:47 UTC). Precio: cierre oficial del 19-oct-2026 (296,4 peniques tras la subasta de cierre; Yahoo, 15:35 UTC). Cuentas 2021-2025 del ESEF [8] comprobadas con los comunicados anuales [2, 4, 5, 6, 7] y el semestre a 30-jun-2026 [3]; 2024 reexpresado por la asignación del precio de Wintershall. Segmentos solo para 2024-2025 (antes, Reino Unido casi en exclusiva). Acciones económicas: con voto + sin voto de LetterOne × 1,13 (prima de dividendo del 13 %); la capitalización publicada (Yahoo) solo cuenta las con voto. BPA: el ajustado de la empresa menos el cupón de los híbridos; 2022 y 2023 reconstruidos (la empresa no publicaba ajustado). El ROIC del motor limita el impuesto al 40 %: el real de Harbour (75-80 %) se calcula a mano en «Rentabilidad». Avance de mayo de 2026 [12].</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Harbour Energy plc (HBR)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3,94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(2,42 – 4,27)</c:v>
                </c:pt>
                <c:pt idx="1">
                  <c:v>Precio objetivo de los analistas (3,63 – 6,76)</c:v>
                </c:pt>
                <c:pt idx="2">
                  <c:v>Comparables: PER NTM (6,17 – 8,05)</c:v>
                </c:pt>
                <c:pt idx="3">
                  <c:v>DCF (WACC y g ± 0,5) (4,33 – 5,87)</c:v>
                </c:pt>
                <c:pt idx="4">
                  <c:v>Escenarios (bajista – alcista) (1,01 – 8,57)</c:v>
                </c:pt>
                <c:pt idx="5">
                  <c:v>DCF con la prima implícita del mercado (4,2 %)</c:v>
                </c:pt>
                <c:pt idx="6">
                  <c:v>Precio actual (3,94)</c:v>
                </c:pt>
              </c:strCache>
            </c:strRef>
          </c:cat>
          <c:val>
            <c:numRef>
              <c:f>Hoja1!$B$2:$B$8</c:f>
              <c:numCache>
                <c:formatCode>#,##0.00</c:formatCode>
                <c:ptCount val="7"/>
                <c:pt idx="0">
                  <c:v>2.42</c:v>
                </c:pt>
                <c:pt idx="1">
                  <c:v>3.63</c:v>
                </c:pt>
                <c:pt idx="2">
                  <c:v>6.17</c:v>
                </c:pt>
                <c:pt idx="3">
                  <c:v>4.33</c:v>
                </c:pt>
                <c:pt idx="4">
                  <c:v>1.01</c:v>
                </c:pt>
                <c:pt idx="5">
                  <c:v>5.32</c:v>
                </c:pt>
                <c:pt idx="6">
                  <c:v>3.92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(2,42 – 4,27)</c:v>
                </c:pt>
                <c:pt idx="1">
                  <c:v>Precio objetivo de los analistas (3,63 – 6,76)</c:v>
                </c:pt>
                <c:pt idx="2">
                  <c:v>Comparables: PER NTM (6,17 – 8,05)</c:v>
                </c:pt>
                <c:pt idx="3">
                  <c:v>DCF (WACC y g ± 0,5) (4,33 – 5,87)</c:v>
                </c:pt>
                <c:pt idx="4">
                  <c:v>Escenarios (bajista – alcista) (1,01 – 8,57)</c:v>
                </c:pt>
                <c:pt idx="5">
                  <c:v>DCF con la prima implícita del mercado (4,2 %)</c:v>
                </c:pt>
                <c:pt idx="6">
                  <c:v>Precio actual (3,94)</c:v>
                </c:pt>
              </c:strCache>
            </c:strRef>
          </c:cat>
          <c:val>
            <c:numRef>
              <c:f>Hoja1!$C$2:$C$8</c:f>
              <c:numCache>
                <c:formatCode>#,##0.00</c:formatCode>
                <c:ptCount val="7"/>
                <c:pt idx="0">
                  <c:v>1.8499999999999996</c:v>
                </c:pt>
                <c:pt idx="1">
                  <c:v>3.13</c:v>
                </c:pt>
                <c:pt idx="2">
                  <c:v>1.8800000000000008</c:v>
                </c:pt>
                <c:pt idx="3">
                  <c:v>1.54</c:v>
                </c:pt>
                <c:pt idx="4">
                  <c:v>7.5600000000000005</c:v>
                </c:pt>
                <c:pt idx="5">
                  <c:v>1.2399999999999993</c:v>
                </c:pt>
                <c:pt idx="6">
                  <c:v>0.040000000000000036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Noruega</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1465</c:v>
                </c:pt>
                <c:pt idx="1">
                  <c:v>4330</c:v>
                </c:pt>
              </c:numCache>
            </c:numRef>
          </c:val>
        </c:ser>
        <c:ser>
          <c:idx val="1"/>
          <c:order val="1"/>
          <c:tx>
            <c:strRef>
              <c:f>Hoja1!$C$1</c:f>
              <c:strCache>
                <c:ptCount val="1"/>
                <c:pt idx="0">
                  <c:v>Reino Unido</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3917</c:v>
                </c:pt>
                <c:pt idx="1">
                  <c:v>3870</c:v>
                </c:pt>
              </c:numCache>
            </c:numRef>
          </c:val>
        </c:ser>
        <c:ser>
          <c:idx val="2"/>
          <c:order val="2"/>
          <c:tx>
            <c:strRef>
              <c:f>Hoja1!$D$1</c:f>
              <c:strCache>
                <c:ptCount val="1"/>
                <c:pt idx="0">
                  <c:v>Argentina</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147</c:v>
                </c:pt>
                <c:pt idx="1">
                  <c:v>574</c:v>
                </c:pt>
              </c:numCache>
            </c:numRef>
          </c:val>
        </c:ser>
        <c:ser>
          <c:idx val="3"/>
          <c:order val="3"/>
          <c:tx>
            <c:strRef>
              <c:f>Hoja1!$E$1</c:f>
              <c:strCache>
                <c:ptCount val="1"/>
                <c:pt idx="0">
                  <c:v>Alemania</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246</c:v>
                </c:pt>
                <c:pt idx="1">
                  <c:v>680</c:v>
                </c:pt>
              </c:numCache>
            </c:numRef>
          </c:val>
        </c:ser>
        <c:ser>
          <c:idx val="4"/>
          <c:order val="4"/>
          <c:tx>
            <c:strRef>
              <c:f>Hoja1!$F$1</c:f>
              <c:strCache>
                <c:ptCount val="1"/>
                <c:pt idx="0">
                  <c:v>México, norte de África, Sudeste Asiático y CCS</c:v>
                </c:pt>
              </c:strCache>
            </c:strRef>
          </c:tx>
          <c:spPr>
            <a:solidFill>
              <a:srgbClr val="E87BA4"/>
            </a:solidFill>
            <a:ln w="12700">
              <a:solidFill>
                <a:srgbClr val="FFFFFF"/>
              </a:solidFill>
            </a:ln>
          </c:spPr>
          <c:invertIfNegative val="0"/>
          <c:cat>
            <c:strRef>
              <c:f>Hoja1!$A$2:$A$3</c:f>
              <c:strCache>
                <c:ptCount val="2"/>
                <c:pt idx="0">
                  <c:v>2024</c:v>
                </c:pt>
                <c:pt idx="1">
                  <c:v>2025</c:v>
                </c:pt>
              </c:strCache>
            </c:strRef>
          </c:cat>
          <c:val>
            <c:numRef>
              <c:f>Hoja1!$F$2:$F$3</c:f>
              <c:numCache>
                <c:formatCode>#,##0</c:formatCode>
                <c:ptCount val="2"/>
                <c:pt idx="0">
                  <c:v>436</c:v>
                </c:pt>
                <c:pt idx="1">
                  <c:v>632</c:v>
                </c:pt>
              </c:numCache>
            </c:numRef>
          </c:val>
        </c:ser>
        <c:ser>
          <c:idx val="5"/>
          <c:order val="5"/>
          <c:tx>
            <c:strRef>
              <c:f>Hoja1!$G$1</c:f>
              <c:strCache>
                <c:ptCount val="1"/>
                <c:pt idx="0">
                  <c:v>Corporativo y comercialización</c:v>
                </c:pt>
              </c:strCache>
            </c:strRef>
          </c:tx>
          <c:spPr>
            <a:solidFill>
              <a:srgbClr val="008300"/>
            </a:solidFill>
            <a:ln w="12700">
              <a:solidFill>
                <a:srgbClr val="FFFFFF"/>
              </a:solidFill>
            </a:ln>
          </c:spPr>
          <c:invertIfNegative val="0"/>
          <c:cat>
            <c:strRef>
              <c:f>Hoja1!$A$2:$A$3</c:f>
              <c:strCache>
                <c:ptCount val="2"/>
                <c:pt idx="0">
                  <c:v>2024</c:v>
                </c:pt>
                <c:pt idx="1">
                  <c:v>2025</c:v>
                </c:pt>
              </c:strCache>
            </c:strRef>
          </c:cat>
          <c:val>
            <c:numRef>
              <c:f>Hoja1!$G$2:$G$3</c:f>
              <c:numCache>
                <c:formatCode>#,##0</c:formatCode>
                <c:ptCount val="2"/>
                <c:pt idx="0">
                  <c:v>1894</c:v>
                </c:pt>
                <c:pt idx="1">
                  <c:v>6981</c:v>
                </c:pt>
              </c:numCache>
            </c:numRef>
          </c:val>
        </c:ser>
        <c:ser>
          <c:idx val="6"/>
          <c:order val="6"/>
          <c:tx>
            <c:strRef>
              <c:f>Hoja1!$H$1</c:f>
              <c:strCache>
                <c:ptCount val="1"/>
                <c:pt idx="0">
                  <c:v>Eliminaciones</c:v>
                </c:pt>
              </c:strCache>
            </c:strRef>
          </c:tx>
          <c:spPr>
            <a:solidFill>
              <a:srgbClr val="4A3AA7"/>
            </a:solidFill>
            <a:ln w="12700">
              <a:solidFill>
                <a:srgbClr val="FFFFFF"/>
              </a:solidFill>
            </a:ln>
          </c:spPr>
          <c:invertIfNegative val="0"/>
          <c:cat>
            <c:strRef>
              <c:f>Hoja1!$A$2:$A$3</c:f>
              <c:strCache>
                <c:ptCount val="2"/>
                <c:pt idx="0">
                  <c:v>2024</c:v>
                </c:pt>
                <c:pt idx="1">
                  <c:v>2025</c:v>
                </c:pt>
              </c:strCache>
            </c:strRef>
          </c:cat>
          <c:val>
            <c:numRef>
              <c:f>Hoja1!$H$2:$H$3</c:f>
              <c:numCache>
                <c:formatCode>#,##0</c:formatCode>
                <c:ptCount val="2"/>
                <c:pt idx="0">
                  <c:v>-1879</c:v>
                </c:pt>
                <c:pt idx="1">
                  <c:v>-6806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Hoja1!$A$2:$A$8</c:f>
              <c:strCache>
                <c:ptCount val="7"/>
                <c:pt idx="0">
                  <c:v>Noruega</c:v>
                </c:pt>
                <c:pt idx="1">
                  <c:v>Reino Unido</c:v>
                </c:pt>
                <c:pt idx="2">
                  <c:v>Argentina</c:v>
                </c:pt>
                <c:pt idx="3">
                  <c:v>Alemania</c:v>
                </c:pt>
                <c:pt idx="4">
                  <c:v>México, norte de África, Sudeste Asiático y CCS</c:v>
                </c:pt>
                <c:pt idx="5">
                  <c:v>Corporativo y comercialización</c:v>
                </c:pt>
                <c:pt idx="6">
                  <c:v>Eliminaciones</c:v>
                </c:pt>
              </c:strCache>
            </c:strRef>
          </c:cat>
          <c:val>
            <c:numRef>
              <c:f>Hoja1!$B$2:$B$8</c:f>
              <c:numCache>
                <c:formatCode>General</c:formatCode>
                <c:ptCount val="7"/>
                <c:pt idx="0">
                  <c:v>42.2</c:v>
                </c:pt>
                <c:pt idx="1">
                  <c:v>37.7</c:v>
                </c:pt>
                <c:pt idx="2">
                  <c:v>5.6</c:v>
                </c:pt>
                <c:pt idx="3">
                  <c:v>6.6</c:v>
                </c:pt>
                <c:pt idx="4">
                  <c:v>6.2</c:v>
                </c:pt>
                <c:pt idx="5">
                  <c:v>68</c:v>
                </c:pt>
                <c:pt idx="6">
                  <c:v>-66.3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(producción del 1S26 en kbep/d)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Noruega</c:v>
                </c:pt>
                <c:pt idx="1">
                  <c:v>Reino Unido</c:v>
                </c:pt>
                <c:pt idx="2">
                  <c:v>Argentina</c:v>
                </c:pt>
                <c:pt idx="3">
                  <c:v>Estados Unidos</c:v>
                </c:pt>
                <c:pt idx="4">
                  <c:v>Resto (Alemania, México, norte de África, Sudeste Asiático)</c:v>
                </c:pt>
              </c:strCache>
            </c:strRef>
          </c:cat>
          <c:val>
            <c:numRef>
              <c:f>Hoja1!$B$2:$B$6</c:f>
              <c:numCache>
                <c:formatCode>0"%"</c:formatCode>
                <c:ptCount val="5"/>
                <c:pt idx="0">
                  <c:v>35</c:v>
                </c:pt>
                <c:pt idx="1">
                  <c:v>29</c:v>
                </c:pt>
                <c:pt idx="2">
                  <c:v>15</c:v>
                </c:pt>
                <c:pt idx="3">
                  <c:v>7</c:v>
                </c:pt>
                <c:pt idx="4">
                  <c:v>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bep/día (producción del Reino Unido y Noruega))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2025</c:v>
                </c:pt>
              </c:strCache>
            </c:strRef>
          </c:cat>
          <c:val>
            <c:numRef>
              <c:f>Hoja1!$B$2</c:f>
              <c:numCache>
                <c:formatCode>#,##0</c:formatCode>
                <c:ptCount val="1"/>
                <c:pt idx="0">
                  <c:v>5130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Sustitutos</c:v>
                </c:pt>
              </c:strCache>
            </c:strRef>
          </c:cat>
          <c:val>
            <c:numRef>
              <c:f>Hoja1!$B$2:$B$6</c:f>
              <c:numCache>
                <c:formatCode>General</c:formatCode>
                <c:ptCount val="5"/>
                <c:pt idx="0">
                  <c:v>2</c:v>
                </c:pt>
                <c:pt idx="1">
                  <c:v>1</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Harbour Energy</c:v>
                </c:pt>
                <c:pt idx="1">
                  <c:v>Equinor</c:v>
                </c:pt>
                <c:pt idx="2">
                  <c:v>Aker BP</c:v>
                </c:pt>
                <c:pt idx="3">
                  <c:v>Vår Energi</c:v>
                </c:pt>
                <c:pt idx="4">
                  <c:v>Ithaca Energy</c:v>
                </c:pt>
                <c:pt idx="5">
                  <c:v>Serica Energy y EnQuest</c:v>
                </c:pt>
              </c:strCache>
            </c:strRef>
          </c:cat>
          <c:val>
            <c:numRef>
              <c:f>Hoja1!$B$2:$B$7</c:f>
              <c:numCache>
                <c:formatCode>0.0"%"</c:formatCode>
                <c:ptCount val="6"/>
                <c:pt idx="0">
                  <c:v>34.8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c:v>
                </c:pt>
                <c:pt idx="3">
                  <c:v>Ventaja en costes</c:v>
                </c:pt>
                <c:pt idx="4">
                  <c:v>Escala eficiente</c:v>
                </c:pt>
              </c:strCache>
            </c:strRef>
          </c:cat>
          <c:val>
            <c:numRef>
              <c:f>Hoja1!$B$2:$B$6</c:f>
              <c:numCache>
                <c:formatCode>0</c:formatCode>
                <c:ptCount val="5"/>
                <c:pt idx="0">
                  <c:v>0</c:v>
                </c:pt>
                <c:pt idx="1">
                  <c:v>0</c:v>
                </c:pt>
                <c:pt idx="2">
                  <c:v>1</c:v>
                </c:pt>
                <c:pt idx="3">
                  <c:v>1</c:v>
                </c:pt>
                <c:pt idx="4">
                  <c:v>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3618</c:v>
                </c:pt>
                <c:pt idx="1">
                  <c:v>5431</c:v>
                </c:pt>
                <c:pt idx="2">
                  <c:v>3751</c:v>
                </c:pt>
                <c:pt idx="3">
                  <c:v>6226</c:v>
                </c:pt>
                <c:pt idx="4">
                  <c:v>10261</c:v>
                </c:pt>
                <c:pt idx="5">
                  <c:v>13555</c:v>
                </c:pt>
                <c:pt idx="6">
                  <c:v>15385</c:v>
                </c:pt>
                <c:pt idx="7">
                  <c:v>11954</c:v>
                </c:pt>
                <c:pt idx="8">
                  <c:v>10328</c:v>
                </c:pt>
                <c:pt idx="9">
                  <c:v>9647</c:v>
                </c:pt>
                <c:pt idx="10">
                  <c:v>9531</c:v>
                </c:pt>
                <c:pt idx="11">
                  <c:v>9407</c:v>
                </c:pt>
                <c:pt idx="12">
                  <c:v>9275</c:v>
                </c:pt>
                <c:pt idx="13">
                  <c:v>9136</c:v>
                </c:pt>
                <c:pt idx="14">
                  <c:v>8990</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2381</c:v>
                </c:pt>
                <c:pt idx="1">
                  <c:v>3969</c:v>
                </c:pt>
                <c:pt idx="2">
                  <c:v>2639</c:v>
                </c:pt>
                <c:pt idx="3">
                  <c:v>4078</c:v>
                </c:pt>
                <c:pt idx="4">
                  <c:v>7090</c:v>
                </c:pt>
                <c:pt idx="5">
                  <c:v>9448</c:v>
                </c:pt>
                <c:pt idx="6">
                  <c:v>11154</c:v>
                </c:pt>
                <c:pt idx="7">
                  <c:v>7878</c:v>
                </c:pt>
                <c:pt idx="8">
                  <c:v>6321</c:v>
                </c:pt>
                <c:pt idx="9">
                  <c:v>5672</c:v>
                </c:pt>
                <c:pt idx="10">
                  <c:v>5595</c:v>
                </c:pt>
                <c:pt idx="11">
                  <c:v>5503</c:v>
                </c:pt>
                <c:pt idx="12">
                  <c:v>5407</c:v>
                </c:pt>
                <c:pt idx="13">
                  <c:v>5308</c:v>
                </c:pt>
                <c:pt idx="14">
                  <c:v>5196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32.2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65.8</c:v>
                </c:pt>
                <c:pt idx="1">
                  <c:v>73.1</c:v>
                </c:pt>
                <c:pt idx="2">
                  <c:v>70.4</c:v>
                </c:pt>
                <c:pt idx="3">
                  <c:v>65.5</c:v>
                </c:pt>
                <c:pt idx="4">
                  <c:v>69.1</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17.7</c:v>
                </c:pt>
                <c:pt idx="1">
                  <c:v>46.8</c:v>
                </c:pt>
                <c:pt idx="2">
                  <c:v>24.8</c:v>
                </c:pt>
                <c:pt idx="3">
                  <c:v>28.4</c:v>
                </c:pt>
                <c:pt idx="4">
                  <c:v>34.8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2.8</c:v>
                </c:pt>
                <c:pt idx="1">
                  <c:v>0.1</c:v>
                </c:pt>
                <c:pt idx="2">
                  <c:v>1.2</c:v>
                </c:pt>
                <c:pt idx="3">
                  <c:v>-1.7</c:v>
                </c:pt>
                <c:pt idx="4">
                  <c:v>-2.6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2">
                  <c:v>175.1</c:v>
                </c:pt>
                <c:pt idx="3">
                  <c:v>15.8</c:v>
                </c:pt>
                <c:pt idx="4">
                  <c:v>21.6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135</c:v>
                </c:pt>
                <c:pt idx="1">
                  <c:v>94</c:v>
                </c:pt>
                <c:pt idx="2">
                  <c:v>85</c:v>
                </c:pt>
                <c:pt idx="3">
                  <c:v>136</c:v>
                </c:pt>
                <c:pt idx="4">
                  <c:v>71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184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540</c:v>
                </c:pt>
                <c:pt idx="1">
                  <c:v>2050</c:v>
                </c:pt>
                <c:pt idx="2">
                  <c:v>1072</c:v>
                </c:pt>
                <c:pt idx="3">
                  <c:v>-375</c:v>
                </c:pt>
                <c:pt idx="4">
                  <c:v>937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101</c:v>
                </c:pt>
                <c:pt idx="1">
                  <c:v>8</c:v>
                </c:pt>
                <c:pt idx="2">
                  <c:v>45</c:v>
                </c:pt>
                <c:pt idx="3">
                  <c:v>-108</c:v>
                </c:pt>
                <c:pt idx="4">
                  <c:v>-263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11.4</c:v>
                </c:pt>
                <c:pt idx="1">
                  <c:v>51.2</c:v>
                </c:pt>
                <c:pt idx="2">
                  <c:v>21.8</c:v>
                </c:pt>
                <c:pt idx="3">
                  <c:v>15.1</c:v>
                </c:pt>
                <c:pt idx="4">
                  <c:v>18.9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8.3</c:v>
                </c:pt>
                <c:pt idx="1">
                  <c:v>8.3</c:v>
                </c:pt>
                <c:pt idx="2">
                  <c:v>8.3</c:v>
                </c:pt>
                <c:pt idx="3">
                  <c:v>8.3</c:v>
                </c:pt>
                <c:pt idx="4">
                  <c:v>8.3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21.3</c:v>
                </c:pt>
                <c:pt idx="1">
                  <c:v>1.1</c:v>
                </c:pt>
                <c:pt idx="2">
                  <c:v>3.5</c:v>
                </c:pt>
                <c:pt idx="3">
                  <c:v>-2.8</c:v>
                </c:pt>
                <c:pt idx="4">
                  <c:v>-4.2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1.22</c:v>
                </c:pt>
                <c:pt idx="1">
                  <c:v>0.39</c:v>
                </c:pt>
                <c:pt idx="2">
                  <c:v>0.38</c:v>
                </c:pt>
                <c:pt idx="3">
                  <c:v>1.28</c:v>
                </c:pt>
                <c:pt idx="4">
                  <c:v>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2027</c:v>
                </c:pt>
                <c:pt idx="1">
                  <c:v>2028</c:v>
                </c:pt>
                <c:pt idx="2">
                  <c:v>2029</c:v>
                </c:pt>
                <c:pt idx="3">
                  <c:v>2031</c:v>
                </c:pt>
                <c:pt idx="4">
                  <c:v>2032</c:v>
                </c:pt>
                <c:pt idx="5">
                  <c:v>2035</c:v>
                </c:pt>
              </c:strCache>
            </c:strRef>
          </c:cat>
          <c:val>
            <c:numRef>
              <c:f>Hoja1!$B$2:$B$7</c:f>
              <c:numCache>
                <c:formatCode>#,##0</c:formatCode>
                <c:ptCount val="6"/>
                <c:pt idx="0">
                  <c:v>1000</c:v>
                </c:pt>
                <c:pt idx="1">
                  <c:v>1140</c:v>
                </c:pt>
                <c:pt idx="2">
                  <c:v>1798</c:v>
                </c:pt>
                <c:pt idx="3">
                  <c:v>1140</c:v>
                </c:pt>
                <c:pt idx="4">
                  <c:v>1026</c:v>
                </c:pt>
                <c:pt idx="5">
                  <c:v>900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2">
                  <c:v>0</c:v>
                </c:pt>
                <c:pt idx="3">
                  <c:v>1044</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191</c:v>
                </c:pt>
                <c:pt idx="2">
                  <c:v>190</c:v>
                </c:pt>
                <c:pt idx="3">
                  <c:v>199</c:v>
                </c:pt>
                <c:pt idx="4">
                  <c:v>455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361</c:v>
                </c:pt>
                <c:pt idx="2">
                  <c:v>249</c:v>
                </c:pt>
                <c:pt idx="3">
                  <c:v>0</c:v>
                </c:pt>
                <c:pt idx="4">
                  <c:v>90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Ejecutivo</c:v>
                </c:pt>
                <c:pt idx="2">
                  <c:v>Independiente</c:v>
                </c:pt>
              </c:strCache>
            </c:strRef>
          </c:cat>
          <c:val>
            <c:numRef>
              <c:f>Hoja1!$B$2:$B$4</c:f>
              <c:numCache>
                <c:formatCode>0</c:formatCode>
                <c:ptCount val="3"/>
                <c:pt idx="0">
                  <c:v>2</c:v>
                </c:pt>
                <c:pt idx="1">
                  <c:v>2</c:v>
                </c:pt>
                <c:pt idx="2">
                  <c:v>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BASF</c:v>
                </c:pt>
                <c:pt idx="1">
                  <c:v>LetterOne (con acciones sin voto)</c:v>
                </c:pt>
                <c:pt idx="2">
                  <c:v>LLOG Holdings (vendedores de LLOG)</c:v>
                </c:pt>
                <c:pt idx="3">
                  <c:v>Capital flotante</c:v>
                </c:pt>
              </c:strCache>
            </c:strRef>
          </c:cat>
          <c:val>
            <c:numRef>
              <c:f>Hoja1!$B$2:$B$5</c:f>
              <c:numCache>
                <c:formatCode>0.0"%"</c:formatCode>
                <c:ptCount val="4"/>
                <c:pt idx="0">
                  <c:v>16.38</c:v>
                </c:pt>
                <c:pt idx="1">
                  <c:v>16.84</c:v>
                </c:pt>
                <c:pt idx="2">
                  <c:v>11.6</c:v>
                </c:pt>
                <c:pt idx="3">
                  <c:v>55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-14</c:v>
                </c:pt>
                <c:pt idx="1">
                  <c:v>1.5</c:v>
                </c:pt>
                <c:pt idx="2">
                  <c:v>-17.2</c:v>
                </c:pt>
                <c:pt idx="3">
                  <c:v>-22.9</c:v>
                </c:pt>
              </c:numCache>
            </c:numRef>
          </c:val>
        </c:ser>
        <c:ser>
          <c:idx val="1"/>
          <c:order val="1"/>
          <c:tx>
            <c:strRef>
              <c:f>Hoja1!$C$1</c:f>
              <c:strCache>
                <c:ptCount val="1"/>
                <c:pt idx="0">
                  <c:v>Índice</c:v>
                </c:pt>
              </c:strCache>
            </c:strRef>
          </c:tx>
          <c:spPr>
            <a:solidFill>
              <a:srgbClr val="EB6834"/>
            </a:solidFill>
            <a:ln w="9525">
              <a:no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0">
                  <c:v>5</c:v>
                </c:pt>
                <c:pt idx="1">
                  <c:v>7.7</c:v>
                </c:pt>
                <c:pt idx="2">
                  <c:v>9.3</c:v>
                </c:pt>
                <c:pt idx="3">
                  <c:v>25.8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3</c:v>
                </c:pt>
                <c:pt idx="1">
                  <c:v>1.2</c:v>
                </c:pt>
                <c:pt idx="2">
                  <c:v>1.6</c:v>
                </c:pt>
                <c:pt idx="3">
                  <c:v>2.1</c:v>
                </c:pt>
                <c:pt idx="4">
                  <c:v>1.3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1.6</c:v>
                </c:pt>
                <c:pt idx="1">
                  <c:v>1.6</c:v>
                </c:pt>
                <c:pt idx="2">
                  <c:v>1.6</c:v>
                </c:pt>
                <c:pt idx="3">
                  <c:v>1.6</c:v>
                </c:pt>
                <c:pt idx="4">
                  <c:v>1.6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Pt>
            <c:idx val="11"/>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Hoja1!$A$2:$A$13</c:f>
              <c:strCache>
                <c:ptCount val="12"/>
                <c:pt idx="0">
                  <c:v>Harbour Energy</c:v>
                </c:pt>
                <c:pt idx="1">
                  <c:v>Aker BP</c:v>
                </c:pt>
                <c:pt idx="2">
                  <c:v>Vår Energi</c:v>
                </c:pt>
                <c:pt idx="3">
                  <c:v>DNO</c:v>
                </c:pt>
                <c:pt idx="4">
                  <c:v>Ithaca Energy</c:v>
                </c:pt>
                <c:pt idx="5">
                  <c:v>Serica Energy</c:v>
                </c:pt>
                <c:pt idx="6">
                  <c:v>Equinor</c:v>
                </c:pt>
                <c:pt idx="7">
                  <c:v>Murphy Oil</c:v>
                </c:pt>
                <c:pt idx="8">
                  <c:v>APA</c:v>
                </c:pt>
                <c:pt idx="9">
                  <c:v>Talos Energy</c:v>
                </c:pt>
                <c:pt idx="10">
                  <c:v>Kosmos Energy</c:v>
                </c:pt>
                <c:pt idx="11">
                  <c:v>EnQuest</c:v>
                </c:pt>
              </c:strCache>
            </c:strRef>
          </c:cat>
          <c:val>
            <c:numRef>
              <c:f>Hoja1!$B$2:$B$13</c:f>
              <c:numCache>
                <c:formatCode>0.0"x"</c:formatCode>
                <c:ptCount val="12"/>
                <c:pt idx="0">
                  <c:v>2.5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2624</c:v>
                </c:pt>
                <c:pt idx="1">
                  <c:v>3338</c:v>
                </c:pt>
                <c:pt idx="2">
                  <c:v>2939</c:v>
                </c:pt>
                <c:pt idx="3">
                  <c:v>2290</c:v>
                </c:pt>
                <c:pt idx="4">
                  <c:v>2096</c:v>
                </c:pt>
                <c:pt idx="5">
                  <c:v>2050</c:v>
                </c:pt>
                <c:pt idx="6">
                  <c:v>1947</c:v>
                </c:pt>
                <c:pt idx="7">
                  <c:v>1845</c:v>
                </c:pt>
                <c:pt idx="8">
                  <c:v>1769</c:v>
                </c:pt>
                <c:pt idx="9">
                  <c:v>1676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15186</c:v>
                </c:pt>
                <c:pt idx="1">
                  <c:v>7720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3,94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1.01</c:v>
                </c:pt>
                <c:pt idx="1">
                  <c:v>5.03</c:v>
                </c:pt>
                <c:pt idx="2">
                  <c:v>8.57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3,94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(2,42 – 4,27)</c:v>
                </c:pt>
                <c:pt idx="1">
                  <c:v>Precio objetivo de los analistas (3,63 – 6,76)</c:v>
                </c:pt>
                <c:pt idx="2">
                  <c:v>Comparables: PER NTM (6,17 – 8,05)</c:v>
                </c:pt>
                <c:pt idx="3">
                  <c:v>DCF (WACC y g ± 0,5) (4,33 – 5,87)</c:v>
                </c:pt>
                <c:pt idx="4">
                  <c:v>Escenarios (bajista – alcista) (1,01 – 8,57)</c:v>
                </c:pt>
                <c:pt idx="5">
                  <c:v>DCF con la prima implícita del mercado (4,2 %)</c:v>
                </c:pt>
                <c:pt idx="6">
                  <c:v>Precio actual (3,94)</c:v>
                </c:pt>
              </c:strCache>
            </c:strRef>
          </c:cat>
          <c:val>
            <c:numRef>
              <c:f>Hoja1!$B$2:$B$8</c:f>
              <c:numCache>
                <c:formatCode>#,##0.00</c:formatCode>
                <c:ptCount val="7"/>
                <c:pt idx="0">
                  <c:v>2.42</c:v>
                </c:pt>
                <c:pt idx="1">
                  <c:v>3.63</c:v>
                </c:pt>
                <c:pt idx="2">
                  <c:v>6.17</c:v>
                </c:pt>
                <c:pt idx="3">
                  <c:v>4.33</c:v>
                </c:pt>
                <c:pt idx="4">
                  <c:v>1.01</c:v>
                </c:pt>
                <c:pt idx="5">
                  <c:v>5.32</c:v>
                </c:pt>
                <c:pt idx="6">
                  <c:v>3.92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(2,42 – 4,27)</c:v>
                </c:pt>
                <c:pt idx="1">
                  <c:v>Precio objetivo de los analistas (3,63 – 6,76)</c:v>
                </c:pt>
                <c:pt idx="2">
                  <c:v>Comparables: PER NTM (6,17 – 8,05)</c:v>
                </c:pt>
                <c:pt idx="3">
                  <c:v>DCF (WACC y g ± 0,5) (4,33 – 5,87)</c:v>
                </c:pt>
                <c:pt idx="4">
                  <c:v>Escenarios (bajista – alcista) (1,01 – 8,57)</c:v>
                </c:pt>
                <c:pt idx="5">
                  <c:v>DCF con la prima implícita del mercado (4,2 %)</c:v>
                </c:pt>
                <c:pt idx="6">
                  <c:v>Precio actual (3,94)</c:v>
                </c:pt>
              </c:strCache>
            </c:strRef>
          </c:cat>
          <c:val>
            <c:numRef>
              <c:f>Hoja1!$C$2:$C$8</c:f>
              <c:numCache>
                <c:formatCode>#,##0.00</c:formatCode>
                <c:ptCount val="7"/>
                <c:pt idx="0">
                  <c:v>1.8499999999999996</c:v>
                </c:pt>
                <c:pt idx="1">
                  <c:v>3.13</c:v>
                </c:pt>
                <c:pt idx="2">
                  <c:v>1.8800000000000008</c:v>
                </c:pt>
                <c:pt idx="3">
                  <c:v>1.54</c:v>
                </c:pt>
                <c:pt idx="4">
                  <c:v>7.5600000000000005</c:v>
                </c:pt>
                <c:pt idx="5">
                  <c:v>1.2399999999999993</c:v>
                </c:pt>
                <c:pt idx="6">
                  <c:v>0.040000000000000036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