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W.W. Grainger, Inc.</w:t>
      </w:r>
    </w:p>
    <w:p>
      <w:pPr>
        <w:spacing w:after="60"/>
        <w:rPr>
          <w:color w:val="52514E"/>
          <w:sz w:val="22"/>
          <w:szCs w:val="22"/>
        </w:rPr>
      </w:pPr>
      <w:r>
        <w:rPr>
          <w:color w:val="52514E"/>
          <w:sz w:val="22"/>
          <w:szCs w:val="22"/>
        </w:rPr>
        <w:t xml:space="preserve">GWW · New York Stock Exchange · ISIN US3848021040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1.335,96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1.158,80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-12,6 % (base -1,8 %)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684,02 USD · mercado 783,35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62.924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 Grainger,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GWW / US3848021040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Distribuidores de comercio (GICS 201070)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Lake Forest (Illinois) · 1927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https://www.grainger.com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1.335,96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906,52 – 1.419,91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62.924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68.489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344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1.158,80 USD</w:t>
      </w:r>
      <w:r>
        <w:t xml:space="preserve"> frente a 1.335,96 · Rentabilidad a 12 meses </w:t>
      </w:r>
      <w:r>
        <w:rPr>
          <w:b/>
          <w:bCs/>
        </w:rPr>
        <w:t xml:space="preserve">-12,6 % (base -1,8 %)</w:t>
      </w:r>
      <w:r>
        <w:t xml:space="preserve"> · Valor intrínseco 684,02 USD · con la prima implícita del mercado: 783,35 (-41,4 %) · Alcista / bajista -51,3 % / -73,2 %</w:t>
      </w:r>
    </w:p>
    <w:p>
      <w:pPr>
        <w:spacing w:after="100"/>
      </w:pPr>
      <w:r>
        <w:rPr>
          <w:b/>
        </w:rPr>
        <w:t xml:space="preserve">La recomendación y por qué.</w:t>
      </w:r>
      <w:r>
        <w:t xml:space="preserve"> Vender con convicción media. El objetivo a 12 meses es de 1.158,80 USD ponderado (1.302,19 en el base), con una rentabilidad del −12,6 % ponderada y del −1,8 % en el base con dividendo, frente a un precio de 1.335,96 USD (cierre del 20-oct-2026). El valor intrínseco es de 684,02 USD, un 48,8 % por debajo, y el objetivo medio de los analistas, 1.331,57 USD. La asimetría es mala: el bajista a 12 meses pierde ≈ 52 % y el alcista gana ≈ 5 %, con dividendo. La razón principal: un negocio excelente a un precio que ya descuenta mucho más de lo que puede dar. La convicción es media, no alta, porque la ponderada está solo 2,6 puntos por debajo del umbral de venta y el caso base es casi plano: un 3T26 fuerte o un múltiplo que aguante la llevarían a Mantener.</w:t>
      </w:r>
    </w:p>
    <w:p>
      <w:pPr>
        <w:spacing w:after="100"/>
      </w:pPr>
      <w:r>
        <w:rPr>
          <w:b/>
        </w:rPr>
        <w:t xml:space="preserve">El negocio.</w:t>
      </w:r>
      <w:r>
        <w:t xml:space="preserve"> Grainger es el mayor distribuidor de suministros de mantenimiento, reparación y operaciones (MRO) de Norteamérica: 2 millones de productos con entrega al día siguiente y servicio en planta para clientes grandes (High-Touch, ≈ 78 % de las ventas) y dos tiendas en línea para clientes pequeños, Zoro en EE. UU. y MonotaRO en Japón, de la que tiene el 50,5 % [1]. Convierte su escala y sus datos de producto en un ROIC del 34,9 % frente a un WACC del 9,83 % (31,4 % sobre el capital operativo, que no depende del patrimonio reducido por recompras). La sostenibilidad del crecimiento es «Sí»: el 5,3 % anual proyectado se financia de sobra con el ROIC actual.</w:t>
      </w:r>
    </w:p>
    <w:p>
      <w:pPr>
        <w:spacing w:after="100"/>
      </w:pPr>
      <w:r>
        <w:rPr>
          <w:b/>
        </w:rPr>
        <w:t xml:space="preserve">Sector y ciclo.</w:t>
      </w:r>
      <w:r>
        <w:t xml:space="preserve"> El ≈ 80 % de las ventas está en EE. UU. y depende de la actividad industrial, de la Administración y de los contratistas. 2026 ha sido de recuperación (ventas +10,3 % en el 2T, +13,7 % orgánico), pero con ≈ 4 puntos de precio arancelario y 43 M de devoluciones IEEPA que no se repetirán [2, 10]. 2027 compara contra eso con una industria plana.</w:t>
      </w:r>
    </w:p>
    <w:p>
      <w:pPr>
        <w:spacing w:after="100"/>
      </w:pPr>
      <w:r>
        <w:rPr>
          <w:b/>
        </w:rPr>
        <w:t xml:space="preserve">La valoración.</w:t>
      </w:r>
      <w:r>
        <w:t xml:space="preserve"> El DCF da 571,68 USD (WACC 9,83 %, terminal al 2,5 %), ya restando la parte ajena de MonotaRO a mercado. El DCF inverso pide un 23,0 % de crecimiento anual frente al 4,8 % del base; la rentabilidad implícita es del 6,0 %. A 12 meses, la regla lleva el PER de 27,6 veces hacia su mediana adelantada (21,3) con el tope de ×1,1: 25,1 veces sobre un BPA 2028e de 51,88.</w:t>
      </w:r>
    </w:p>
    <w:p>
      <w:pPr>
        <w:spacing w:after="100"/>
      </w:pPr>
      <w:r>
        <w:rPr>
          <w:b/>
        </w:rPr>
        <w:t xml:space="preserve">Competencia e IA.</w:t>
      </w:r>
      <w:r>
        <w:t xml:space="preserve"> Fastenal (expendedoras y almacenes en planta, margen del 22 %) y MSC disputan el cliente grande; Amazon Business, el pequeño. La IA es mixta: puede abaratar el catálogo estándar con agentes de compra, pero Grainger tiene los mejores datos de producto del sector y los usa en búsqueda y comercio electrónico, lo que hoy le ayuda.</w:t>
      </w:r>
    </w:p>
    <w:p>
      <w:pPr>
        <w:spacing w:after="100"/>
      </w:pPr>
      <w:r>
        <w:rPr>
          <w:b/>
        </w:rPr>
        <w:t xml:space="preserve">Riesgos.</w:t>
      </w:r>
      <w:r>
        <w:t xml:space="preserve"> Compresión del múltiplo hacia 21 veces (−20 %); recesión industrial en 2027 (bajista −52 %); crecimiento inflado por precio; director financiero interino.</w:t>
      </w:r>
    </w:p>
    <w:p>
      <w:pPr>
        <w:spacing w:after="100"/>
      </w:pPr>
      <w:r>
        <w:rPr>
          <w:b/>
        </w:rPr>
        <w:t xml:space="preserve">Qué cambiaría la recomendación.</w:t>
      </w:r>
      <w:r>
        <w:t xml:space="preserve"> Una caída del precio hacia el valor intrínseco (≈ 680-700 USD) con el negocio intacto la haría compra; una rentabilidad ponderada por encima del −10 % (precio por debajo de ≈ 1.298 USD con el objetivo fijo) la dejaría en Mantener. Los resultados del 3T26 (≈ 30-oct) no cambian la conclusión salvo una subida de la guía con margen claramente por encima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1.158,80 USD</w:t>
      </w:r>
      <w:r>
        <w:t xml:space="preserve"> (rentabilidad -12,6 % (base -1,8 %)) · Valor intrínseco: 684,02 USD (-48,8 % sobre 1.335,96) · con la prima implícita del mercado: 783,35 (-41,4 %)</w:t>
      </w:r>
    </w:p>
    <w:p>
      <w:pPr>
        <w:spacing w:after="100"/>
      </w:pPr>
      <w:r>
        <w:t xml:space="preserve">Grainger es el mayor distribuidor de suministros industriales y de mantenimiento de Norteamérica y uno de los más rentables: ROIC del 34,9 %, deuda baja con rating A, y una ventaja de escala y de datos de producto que le da cuota en clientes grandes y un negocio en línea (Zoro y MonotaRO) que crece a doble dígito [1, 2].</w:t>
      </w:r>
    </w:p>
    <w:p>
      <w:pPr>
        <w:spacing w:after="100"/>
      </w:pPr>
      <w:r>
        <w:t xml:space="preserve">El precio, 1.335,96 USD, equivale a 27,6 veces nuestro BPA de los próximos doce meses y a 21 veces el EBITDA. El DCF inverso dice que para valer eso las ventas tendrían que crecer un 23,0 % anual hasta 2034, el triple de su historia; la rentabilidad implícita es del 6,0 %, por debajo de su coste de capital (9,83 %).</w:t>
      </w:r>
    </w:p>
    <w:p>
      <w:pPr>
        <w:spacing w:after="100"/>
      </w:pPr>
      <w:r>
        <w:t xml:space="preserve">El mercado acierta en la calidad y se equivoca en el precio. 2026 lleva precio arancelario y devoluciones que no se repetirán, y la industria de EE. UU. no da para más del 5-7 % sostenido. La regla a 12 meses, que supone que el múltiplo se acerca a su mediana, da un −12,6 % ponderado: vender o no entrar.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1.158,80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41,86 = 636,27 · 25,1x × 51,88 = 1.302,19 · 25,1x × 55,56 = 1.394,56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 / -1,8 %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1.331,57 (nuestro base -2,2 %)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684,02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 / -73,2 %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9,8 %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783,35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(5,3 % anual proyectado; financiable al ROIC actual: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-48,1 % (-40,7 % con la prima del mercado) y el precio pide 18,2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684,02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684,02 y 1.297,86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1.297,86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hasta el límite de compra que dan las pruebas de robustez y el valor intrínseco queda por encima del precio, pasaríamos a Comprar.</w:t>
      </w:r>
    </w:p>
    <w:p>
      <w:pPr>
        <w:pStyle w:val="ListParagraph"/>
        <w:numPr>
          <w:ilvl w:val="0"/>
          <w:numId w:val="2"/>
        </w:numPr>
        <w:spacing w:after="60"/>
      </w:pPr>
      <w:r>
        <w:t xml:space="preserve">Si la rentabilidad ponderada a 12 meses sube por encima del −10 % (precio por debajo de ≈ 1.298 USD con el objetivo fijo), pasaríamos a Mantener.</w:t>
      </w:r>
    </w:p>
    <w:p>
      <w:pPr>
        <w:pStyle w:val="ListParagraph"/>
        <w:numPr>
          <w:ilvl w:val="0"/>
          <w:numId w:val="2"/>
        </w:numPr>
        <w:spacing w:after="60"/>
      </w:pPr>
      <w:r>
        <w:t xml:space="preserve">Si el 3T26 y la guía de 2027 muestran crecimiento orgánico de doble dígito sin precio y margen operativo por encima del 16,5 %, revisaríamos al alza el BPA.</w:t>
      </w:r>
    </w:p>
    <w:p>
      <w:pPr>
        <w:pStyle w:val="ListParagraph"/>
        <w:numPr>
          <w:ilvl w:val="0"/>
          <w:numId w:val="2"/>
        </w:numPr>
        <w:spacing w:after="60"/>
      </w:pPr>
      <w:r>
        <w:t xml:space="preserve">Si el ISM baja de 47 tres meses o la guía de 2027 queda por debajo del +3 %, rebajaríamos el BPA y la convicción en Vender subiría.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Grainger seguirá creciendo al 8-10 % con margen al alza y que su prima de calidad (27-28 veces el BPA adelantado, frente a 21 de mediana) es permanente: el objetivo medio de los analistas (1.331,57) coincide con el precio.</w:t>
      </w:r>
    </w:p>
    <w:p>
      <w:pPr>
        <w:keepNext/>
        <w:spacing w:after="100"/>
      </w:pPr>
      <w:r>
        <w:rPr>
          <w:b/>
          <w:bCs/>
        </w:rPr>
        <w:t xml:space="preserve">Lo que creemos nosotros.</w:t>
      </w:r>
    </w:p>
    <w:p>
      <w:pPr>
        <w:spacing w:after="100"/>
      </w:pPr>
      <w:r>
        <w:t xml:space="preserve">Coincidimos en el BPA de 2026 (46,22 frente a 46,47) pero no en 2027 ni en el múltiplo: el crecimiento de 2026 lleva ≈ 4 puntos de precio arancelario y 43 M de devoluciones que no se repetirán. Con un WACC del 9,83 % el negocio vale 571,68 USD.</w:t>
      </w:r>
    </w:p>
    <w:p>
      <w:pPr>
        <w:keepNext/>
        <w:spacing w:after="100"/>
      </w:pPr>
      <w:r>
        <w:rPr>
          <w:b/>
          <w:bCs/>
        </w:rPr>
        <w:t xml:space="preserve">Por qué podemos tener razón.</w:t>
      </w:r>
    </w:p>
    <w:p>
      <w:pPr>
        <w:spacing w:after="100"/>
      </w:pPr>
      <w:r>
        <w:t xml:space="preserve">Porque la historia lo respalda: en 2019-2025 creció un 7,7 % anual y nunca un 23 %; el margen está en máximos; y con el bono a 10 años al 5,12 %, 27,6 veces beneficio implica una rentabilidad del 6,0 %, inferior al coste de capital.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335,9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del capital muy alta</w:t>
      </w:r>
      <w:r>
        <w:t xml:space="preserve">: ROIC del 34,9 % (31,4 % sobre capital operativo) frente a un WACC del 9,83 %.</w:t>
      </w:r>
    </w:p>
    <w:p>
      <w:pPr>
        <w:pStyle w:val="ListParagraph"/>
        <w:numPr>
          <w:ilvl w:val="0"/>
          <w:numId w:val="2"/>
        </w:numPr>
        <w:spacing w:after="60"/>
      </w:pPr>
      <w:r>
        <w:rPr>
          <w:b/>
        </w:rPr>
        <w:t xml:space="preserve">Crecimiento orgánico fuerte en 2026</w:t>
      </w:r>
      <w:r>
        <w:t xml:space="preserve">: +13,7 % a tipo constante en el 2T26 y guía subida dos veces [2].</w:t>
      </w:r>
    </w:p>
    <w:p>
      <w:pPr>
        <w:pStyle w:val="ListParagraph"/>
        <w:numPr>
          <w:ilvl w:val="0"/>
          <w:numId w:val="2"/>
        </w:numPr>
        <w:spacing w:after="60"/>
      </w:pPr>
      <w:r>
        <w:rPr>
          <w:b/>
        </w:rPr>
        <w:t xml:space="preserve">Endless Assortment a doble dígito</w:t>
      </w:r>
      <w:r>
        <w:t xml:space="preserve">: Zoro y MonotaRO crecen y mejoran margen (7,6 % y 14 %) [10].</w:t>
      </w:r>
    </w:p>
    <w:p>
      <w:pPr>
        <w:pStyle w:val="ListParagraph"/>
        <w:numPr>
          <w:ilvl w:val="0"/>
          <w:numId w:val="2"/>
        </w:numPr>
        <w:spacing w:after="60"/>
      </w:pPr>
      <w:r>
        <w:rPr>
          <w:b/>
        </w:rPr>
        <w:t xml:space="preserve">Balance sólido</w:t>
      </w:r>
      <w:r>
        <w:t xml:space="preserve">: deuda neta de 0,6 veces el EBITDA y rating A+ / A2 [2].</w:t>
      </w:r>
    </w:p>
    <w:p>
      <w:pPr>
        <w:pStyle w:val="ListParagraph"/>
        <w:numPr>
          <w:ilvl w:val="0"/>
          <w:numId w:val="2"/>
        </w:numPr>
        <w:spacing w:after="60"/>
      </w:pPr>
      <w:r>
        <w:rPr>
          <w:b/>
        </w:rPr>
        <w:t xml:space="preserve">Dividendo creciente 54 años seguidos</w:t>
      </w:r>
      <w:r>
        <w:t xml:space="preserve">: 2,49 USD trimestral, +10,2 % [1].</w:t>
      </w:r>
    </w:p>
    <w:p>
      <w:pPr>
        <w:pStyle w:val="Heading2"/>
      </w:pPr>
      <w:r>
        <w:t xml:space="preserve">En contra</w:t>
      </w:r>
    </w:p>
    <w:p>
      <w:pPr>
        <w:pStyle w:val="ListParagraph"/>
        <w:numPr>
          <w:ilvl w:val="0"/>
          <w:numId w:val="2"/>
        </w:numPr>
        <w:spacing w:after="60"/>
      </w:pPr>
      <w:r>
        <w:rPr>
          <w:b/>
        </w:rPr>
        <w:t xml:space="preserve">Valoración</w:t>
      </w:r>
      <w:r>
        <w:t xml:space="preserve">: 27,6 veces nuestro BPA de doce meses, frente a 21,3 de mediana histórica y 23,6 de los comparables.</w:t>
      </w:r>
    </w:p>
    <w:p>
      <w:pPr>
        <w:pStyle w:val="ListParagraph"/>
        <w:numPr>
          <w:ilvl w:val="0"/>
          <w:numId w:val="2"/>
        </w:numPr>
        <w:spacing w:after="60"/>
      </w:pPr>
      <w:r>
        <w:rPr>
          <w:b/>
        </w:rPr>
        <w:t xml:space="preserve">DCF inverso</w:t>
      </w:r>
      <w:r>
        <w:t xml:space="preserve">: el precio exige un 23,0 % de crecimiento anual frente al 4,8 % del base.</w:t>
      </w:r>
    </w:p>
    <w:p>
      <w:pPr>
        <w:pStyle w:val="ListParagraph"/>
        <w:numPr>
          <w:ilvl w:val="0"/>
          <w:numId w:val="2"/>
        </w:numPr>
        <w:spacing w:after="60"/>
      </w:pPr>
      <w:r>
        <w:rPr>
          <w:b/>
        </w:rPr>
        <w:t xml:space="preserve">Crecimiento inflado por precio</w:t>
      </w:r>
      <w:r>
        <w:t xml:space="preserve">: ≈ 4 % de precio arancelario y 43 M de devoluciones IEEPA en 2026 que no se repiten [2, 10].</w:t>
      </w:r>
    </w:p>
    <w:p>
      <w:pPr>
        <w:pStyle w:val="ListParagraph"/>
        <w:numPr>
          <w:ilvl w:val="0"/>
          <w:numId w:val="2"/>
        </w:numPr>
        <w:spacing w:after="60"/>
      </w:pPr>
      <w:r>
        <w:rPr>
          <w:b/>
        </w:rPr>
        <w:t xml:space="preserve">Ciclo industrial de EE. UU.</w:t>
      </w:r>
      <w:r>
        <w:t xml:space="preserve">: ≈ 80 % de las ventas; el bajista a 12 meses pierde ≈ 52 %.</w:t>
      </w:r>
    </w:p>
    <w:p>
      <w:pPr>
        <w:pStyle w:val="ListParagraph"/>
        <w:numPr>
          <w:ilvl w:val="0"/>
          <w:numId w:val="2"/>
        </w:numPr>
        <w:spacing w:after="60"/>
      </w:pPr>
      <w:r>
        <w:rPr>
          <w:b/>
        </w:rPr>
        <w:t xml:space="preserve">Ventas de directivos</w:t>
      </w:r>
      <w:r>
        <w:t xml:space="preserve">: 33,5 M en doce meses, ninguna compra [22].</w:t>
      </w:r>
    </w:p>
    <w:p>
      <w:pPr>
        <w:pStyle w:val="Heading2"/>
      </w:pPr>
      <w:r>
        <w:t xml:space="preserve">Qué tiene que pasar para que la tesis funcione</w:t>
      </w:r>
    </w:p>
    <w:p>
      <w:pPr>
        <w:spacing w:after="100"/>
      </w:pPr>
      <w:r>
        <w:t xml:space="preserve">La tesis depende de que el crecimiento orgánico no se desplome cuando el precio arancelario salga de la comparación (primer semestre de 2027) y de que el margen operativo se mantenga en el 15,5-16 % sin las devoluciones. La señal de que no se cumple: guía de ventas de 2027 por debajo del +5 % o margen operativo de High-Touch por debajo del 17 %. Para el precio, la señal es el múltiplo: por debajo de unas 22-23 veces el BPA de doce meses la regla a 12 meses mejora de forma clara.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a tipo constante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sin precio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crecimiento sobrevive al fin del precio arancelario.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(2T26, con 43 M de IEEPA)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y apalancamiento.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High-Touch 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17,4 %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87 % del resultado de los segmentos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Zoro y MonotaRO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y 14 %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Zoro &lt;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 línea e IA de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veces (mejora la entrada)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decisión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34,1x / 26,6x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William W. Grainger fundó la empresa en Chicago en 1927 como mayorista de motores eléctricos por catálogo; se constituyó en Illinois en 1928 [1]. Creció con sucursales y el catálogo hasta ser el mayor distribuidor de suministros MRO de Norteamérica [1]. En los años 2000 entró en Japón (MonotaRO, comercio electrónico, con mayoría desde 2008) y en 2011 creó Zoro en EE. UU., las dos piezas del segmento Endless Assortment [1, 19]. Probó Europa con Fabory (Países Bajos) y Cromwell (Reino Unido, 2015) y salió de las dos con pérdidas (2020 y 2025) [1]. Desde 2021 se organiza en dos modelos: High-Touch Solutions para clientes con contrato y Endless Assortment para clientes pequeños por internet [1]. D.G. Macpherson es consejero delegado desde 2016 y presidente desde 2017.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Chicago como mayorista de motores eléctricos por catálogo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MonotaRO (Japón), comercio electrónico de suministros MRO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Zoro en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Cromwell (Reino Unido) por ≈ 482 M USD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Fabory (Europa continental) con ≈ 300 M de cargos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segmentación: High-Touch Solutions N.A. y Endless Assortment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del Reino Unido: venta de Cromwell y cierre de Zoro U.K. (pérdida de 196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los activos tecnológicos de Adroit Worldwide Media (210 M USD) para inventario autónomo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Grainger distribuye productos de mantenimiento, reparación y operaciones (MRO): seguridad, herramientas, motores, fontanería, iluminación, limpieza, manutención y miles de familias más [1]. Tiene dos modelos: High-Touch Solutions N.A. (78 % de las ventas de 2025) vende ≈ 2 millones de productos con entrega al día siguiente desde centros de distribución automatizados y 245 sucursales a clientes medianos y grandes con contrato, con servicios como KeepStock (inventario en planta) y asesoría técnica [1]; Endless Assortment (20 %) vende por internet ≈ 13 millones de productos con Zoro en EE. UU. y ≈ 29 millones con MonotaRO en Japón [1]. Sirve a más de 4,6 millones de clientes con ≈ 25.000 empleados y más de 5.000 proveedores [18]. Desde 2026 ya no tiene negocio en el Reino Unido [1].</w:t>
      </w:r>
    </w:p>
    <w:p>
      <w:pPr>
        <w:pStyle w:val="Heading2"/>
      </w:pPr>
      <w:r>
        <w:t xml:space="preserve">Cómo gana dinero</w:t>
      </w:r>
    </w:p>
    <w:p>
      <w:pPr>
        <w:spacing w:after="100"/>
      </w:pPr>
      <w:r>
        <w:t xml:space="preserve">Compra a miles de fabricantes y revende con un margen bruto del 39-40 %: cobra la disponibilidad (casi todo en stock y entregado al día siguiente), el surtido y el servicio técnico, no el producto [1, 12]. High-Touch N.A. tiene margen bruto del ≈ 42 % y operativo del 17 %; Endless Assortment, margen bruto menor y operativo del 10-11 % (MonotaRO 14 %, Zoro 7,6 %) [10, 13]. El beneficio depende del volumen (apalancamiento de una red logística con costes fijos), del precio frente al coste (aranceles con trimestres de retraso y LIFO) y de la mezcla entre segmentos y clientes (los grandes compran con menos margen) [1]. Ingresos casi todos recurrentes (reposición de consumibles y repuestos), poco estacionales y sensibles a la producción industrial y a la actividad de EE. UU.</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High-Touch Solutions 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Endless Assortment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(Cromwell y Zoro U.K., vendidos o cerrados en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High-Touch Solutions 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Endless Assortment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(Cromwell y Zoro U.K., vendidos o cerrados en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Más de 4,6 millones de clientes; ninguno relevante por sí solo [1]. Por sector (2025): fabricación 30 %, administraciones públicas 15 %, mayoristas 9 %, servicios 8 %, contratistas 7 %, sanidad 6 %, transporte 5 % y otros [1]. High-Touch N.A. vende con contrato a clientes medianos y grandes (KeepStock, compras electrónicas integradas, asesores técnicos), lo que crea costes de cambio; Endless Assortment vende por internet a clientes pequeños con precio transparente [1]. Poder de precios demostrado: en 2025-2026 trasladó los aranceles con ≈ 4 % de precio en 2026 y un precio/coste casi neutro en el 2T26, aunque con trimestres de retraso (cargo LIFO de 102 M en 2025) [9, 10]. Las administraciones (15 %) compran por contratos marco y exponen a cierres del gobierno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diarias orgánicas a tipo constante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aprox. (2T25, publicado)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High-Touch N.A. +11,7 %, Endless Assortment +20,6 %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43 M de devoluciones IEEPA; sin ellas ≈ 15,3 %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High-Touch N.A.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año 17,2-17,6 %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Endless Assortment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MonotaRO 14 %, Zoro 7,6 %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 pb de devoluciones IEEPA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atendidos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4,6 millones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25.000 empleados, 90 % en Norteamérica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Distribución de suministros MRO a empresas e instituciones de Norteamérica (y, para Endless Assortment, Japón). Usamos como tamaño la estimación de Fastenal (más de 140.000 M USD al año en Norteamérica, con la tornillería de producción), que es la cifra primaria más reciente [12]; la segunda fuente, la propia Grainger, daba 105.000 M USD en 2018 solo para MRO en EE. UU. y Canadá [13]. En su 10-K 2025 Grainger lo describe como «grande y fragmentado» sin cifra [1]. Ninguna fuente gratuita independiente publica una serie; el crecimiento sale de la producción y la actividad más el precio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140.000 M USD al año en Norteamérica (Fastenal, 10-K 2025) [12]; 105.000 M USD de MRO en EE. UU. y Canadá en 2018 (Grainger)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Fragmentado</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industrial de EE. UU. (ISM manufacturero,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es el 30 % de las ventas de Grainger; 2023-2025 con la industria plana y ventas +4-8 %; en 2026 la dirección ve «aceleración en casi todos los mercados» [1,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aranceles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 4 % en 2026; cargo LIFO de 102 M en 2025; aranceles IEEPA anulados por el Tribunal Supremo en 2026 y devueltos en parte [10,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y compras electrónicas de los clientes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High-Touch N.A. crece por encima del mercado con KeepStock y compras integradas; 2 millones de productos en stock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de catálogo (Amazon Business, Zoro, MonotaRO)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Endless Assortment +20,6 % orgánico en el 2T26: Grainger es a la vez amenazado y ganador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y sanidad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Administraciones 15 % y sanidad 6 % de las ventas, menos cíclicos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en búsqueda y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cree que la IA «tendrá un impacto significativo en las preferencias de los clientes y la dinámica del mercado» e invierte en ella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Fragmentado, con grandes nacionales (Grainger, Fastenal, MSC), distribuidores especializados, Amazon Business y miles de locales; compiten en disponibilidad, servicio y precio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relevante, pero los grandes negocian contratos y las administraciones compran por concurso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5.000 proveedores; algunos venden directo, pero ninguno domina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logística (centros automatizados, 2 millones de productos en stock) difícil de replicar; Amazon Business es la excepción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 fabricantes y mercados en línea en el catálogo estándar [1].</w:t>
            </w:r>
          </w:p>
        </w:tc>
      </w:tr>
    </w:tbl>
    <w:p>
      <w:pPr>
        <w:spacing w:after="160" w:before="0"/>
      </w:pPr>
    </w:p>
    <w:p>
      <w:pPr>
        <w:pStyle w:val="Heading2"/>
      </w:pPr>
      <w:r>
        <w:t xml:space="preserve">Ciclo</w:t>
      </w:r>
    </w:p>
    <w:p>
      <w:pPr>
        <w:spacing w:after="100"/>
      </w:pPr>
      <w:r>
        <w:t xml:space="preserve">Tras dos años de industria plana (2024-2025), 2026 muestra aceleración: ventas orgánicas +12-14 % en el 1S26 con ≈ 4 puntos de precio y volumen en casi todos los mercados [10]. Comportamiento histórico: en 2020 las ventas subieron un 3 % gracias a los equipos de protección pese a la caída industrial; en 2022, +17 % por la inflación; en 2023-2025, +4-8 % con el ISM por debajo de 50 la mayor parte del tiempo [9 del A, 1]. El precio de los aranceles infla las ventas de 2025-2026 y saldrá de la comparación en 2027.</w:t>
      </w:r>
    </w:p>
    <w:p>
      <w:pPr>
        <w:pStyle w:val="Heading2"/>
      </w:pPr>
      <w:r>
        <w:t xml:space="preserve">Regulación</w:t>
      </w:r>
    </w:p>
    <w:p>
      <w:pPr>
        <w:spacing w:after="100"/>
      </w:pPr>
      <w:r>
        <w:t xml:space="preserve">Aranceles de EE. UU. desde 2025 sobre importaciones (China, acero, aluminio); los impuestos al amparo de la IEEPA los anuló el Tribunal Supremo en 2026 y Grainger recibió devoluciones por lo que importó directamente (43 M en el 2T26) [10, 16]. Como contratista del gobierno, está expuesta a auditorías de precios y a cierres administrativos [1]. Normas de seguridad laboral (OSHA) sostienen la demanda de equipos de protección. Japón: normativa de comercio electrónico y protección de datos para MonotaRO [1].</w:t>
      </w:r>
    </w:p>
    <w:p>
      <w:pPr>
        <w:pStyle w:val="Heading2"/>
      </w:pPr>
      <w:r>
        <w:t xml:space="preserve">Tendencias y disrupción</w:t>
      </w:r>
    </w:p>
    <w:p>
      <w:pPr>
        <w:spacing w:after="100"/>
      </w:pPr>
      <w:r>
        <w:t xml:space="preserve">Tres tendencias: (1) los clientes grandes reducen proveedores y automatizan la reposición (KeepStock, máquinas, compras electrónicas), lo que favorece a los grandes con red logística [1]; (2) el comercio electrónico de catálogo gana cuota en los clientes pequeños, donde Grainger compite consigo misma con Zoro y MonotaRO y con Amazon Business [1, 10]; (3) la IA cambia cómo se busca y se compra: puede convertir el catálogo estándar en mercancía comparada por agentes de compra, pero Grainger tiene el surtido, los datos de producto y la logística, y la compra de AWM (inventario autónomo con visión artificial) va en esa línea [1,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distribuidor de suministros MRO de Norteamérica: ventas de High-Touch N.A. y Zoro de ≈ 17.000 M en 2025 frente a un mercado de más de 140.000 M (≈ 12-13 %; estimación propia con la cifra de Fastenal) [1, 12]; MonotaRO es el líder del comercio electrónico MRO en Japón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Tornillería y consumibles en la planta del cliente (máquinas y Onsites); el más rentable del sector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Herramientas de corte y metalurgia; más expuesta a la fabricación pesada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Rodamientos, transmisión e hidráulica; crece con compras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 Business (Amazon.com)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en línea para empresas; compite en precio y surtido en el cliente pequeño y en compras no planificadas; sin cifras separadas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WCC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Material eléctrico y de comunicaciones; coincide en la parte eléctrica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Würth (no cotiza)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grupo mundial de tornillería y montaje; en EE. UU. por filiales [14].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proveedores y datos de producto mejoran el catálogo de Zoro y MonotaRO, pero no hay efecto de red fuerte entre clientes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compras electrónicas integradas y KeepStock en planta; las administraciones compran por contratos marco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Grainger reconocida en MRO y datos de producto propios; sin patentes relevantes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logística: margen operativo del 17 % en High-Touch N.A. frente al 8 % de MSC y el 11 % de Applied; ROIC ajustado del 41 % (2024) [3 del 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centros automatizados con 2 millones de productos en stock y entrega al día siguiente que un nuevo competidor no puede justificar [1].</w:t>
            </w:r>
          </w:p>
        </w:tc>
      </w:tr>
    </w:tbl>
    <w:p>
      <w:pPr>
        <w:spacing w:after="160" w:before="0"/>
      </w:pPr>
    </w:p>
    <w:p>
      <w:pPr>
        <w:pStyle w:val="Heading2"/>
      </w:pPr>
      <w:r>
        <w:t xml:space="preserve">Amenazas</w:t>
      </w:r>
    </w:p>
    <w:p>
      <w:pPr>
        <w:spacing w:after="100"/>
      </w:pPr>
      <w:r>
        <w:t xml:space="preserve">Tres amenazas, de más a menos probable: (1) que el precio de los aranceles se invierta o se frene y deje a la vista un volumen más débil, con presión sobre el margen bruto (probabilidad media en 2027) [10]; (2) que Amazon Business y los agentes de compra con IA abaraten la comparación de precios en el catálogo estándar y en los clientes pequeños, donde Zoro ya compite en precio (probabilidad media a cinco años) [1]; (3) que la mezcla hacia Endless Assortment, de menor margen, y hacia proyectos grandes baje el margen del grupo (probabilidad media, efecto pequeño) [10]. La ventaja de escala logística no está en riesgo a corto plazo.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2019-2025: ingresos </w:t>
      </w:r>
      <w:r>
        <w:rPr>
          <w:b/>
          <w:bCs/>
        </w:rPr>
        <w:t xml:space="preserve">7,7 %</w:t>
      </w:r>
      <w:r>
        <w:t xml:space="preserve">, EBITDA </w:t>
      </w:r>
      <w:r>
        <w:rPr>
          <w:b/>
          <w:bCs/>
        </w:rPr>
        <w:t xml:space="preserve">10,6 %</w:t>
      </w:r>
      <w:r>
        <w:t xml:space="preserve">, BPA </w:t>
      </w:r>
      <w:r>
        <w:rPr>
          <w:b/>
          <w:bCs/>
        </w:rPr>
        <w:t xml:space="preserve">15,0 %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11.486 M USD en 2019 a 17.942 M en 2025 (TCAC del 7,7 %) y 18.845 M en los doce meses a junio de 2026, casi todo orgánico: la última compra grande fue Cromwell en 2015 y se ha vendido [1, 9]. 2021-2022 fueron años de inflación y de cuota tras la pandemia (+10 % y +17 %) [9]; 2023-2025 se frenaron al 8 %, 4 % y 4,5 % con la industria de EE. UU. plana [1, 5]. El margen operativo ajustado subió del 11,2 % de 2020 al 15,7 % de 2023 por la mezcla y el apalancamiento de gastos en High-Touch N.A., y bajó al 15,0 % en 2025 por los aranceles (precio/coste y 102 M de cargo LIFO) y la sanidad de los empleados [5, 9]. En 2026 vuelve a acelerar: ventas +10,1 % y +10,3 % en el 1T y el 2T (+12,2 % y +13,7 % orgánico a tipo constante), con un precio de ≈ 4 % en el año y margen operativo del 16,7 % y del 16,1 % [2, 4, 10]. Años no comparables: 2019-2020 (deterioros de Cromwell y venta de Fabory) y 2025 (196 M de pérdida por la salida del Reino Unido) [5, 7].</w:t>
      </w:r>
    </w:p>
    <w:p>
      <w:pPr>
        <w:pStyle w:val="Heading2"/>
      </w:pPr>
      <w:r>
        <w:t xml:space="preserve">Ajustes y partidas no recurrentes</w:t>
      </w:r>
    </w:p>
    <w:p>
      <w:pPr>
        <w:spacing w:after="100"/>
      </w:pPr>
      <w:r>
        <w:t xml:space="preserve">Grainger publica un BPA ajustado que solo quita partidas puntuales: 2019 (deterioro de intangibles de Cromwell y reestructuración: 17,29 frente a 15,32 publicado), 2020 (venta de Fabory y reestructuración: 16,18 frente a 12,82), 2022 (plusvalía: 29,66 frente a 30,06), 2023 (36,67 frente a 36,23), 2024 (reestructuración de 16 M: 38,96 frente a 38,71) y 2025 (196 M de pérdida por la venta de Cromwell y el cierre de Zoro U.K., sin efecto fiscal: 39,48 frente a 35,40) [5, 7]. No ajusta la amortización de intangibles ni los pagos en acciones, así que el ajustado es casi el publicado. En 2026 publicado y ajustado coinciden, pero el 2T26 lleva 43 M de devoluciones de aranceles IEEPA (≈ 0,68 USD por acción tras impuestos; 23 pb de margen bruto en el año según la dirección) que no se repetirán [2, 10]. El cargo LIFO resta beneficio en los años de inflación (102 M en 2025, 139 M en 2022)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(4-ago-2026) las ventas crecieron un 10,3 % (13,7 % orgánico a tipo constante): High-Touch N.A. +11,9 % «por volumen y un precio sano» y Endless Assortment +20,6 % orgánico, con Zoro EE. UU. +18,4 % y MonotaRO +24 % en yenes [2, 10]. El margen bruto subió al 39,5 %, pero 90 pb eran devoluciones de aranceles IEEPA (43 M); sin ellas, el margen bruto bajó por fletes, mezcla de proyectos grandes y marca propia [2, 10]. La dirección (D.G. Macpherson y la directora financiera Deidra Merriwether, que dejó el cargo el 4-sep) subió la guía de BPA a 45,50-47,25 USD (antes 44,25-46,25) y de ventas a 19.400-19.700 M, con un precio de ≈ 4 % en 2026 y nuevas subidas en septiembre para cubrir costes; espera un 3T con ventas de más de 5.000 M (+12 % orgánico) y margen operativo en torno al 15,5 %, y dijo que julio creció «más del 13 %» [2, 10]. Los analistas preguntaron por qué el margen bruto del año sube menos que la devolución (proyectos grandes, fletes y combustible), por el peso de los centros de datos (menos del 1 % de las ventas), por los ≈ 45 M de compras anticipadas de productos derivados del petróleo en MonotaRO, que «ya han desaparecido», y por la visibilidad de los proyectos grandes [10]. Frente al 1T26 (7-may), el discurso pasa de «buen arranque» a «demanda que acelera en casi todos los mercados», con la duda en la calidad del margen [4,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Venta de Cromwell (Reino Unido) completada el 17-dic-2025 y cierre de Zoro U.K. en el 4T25: salen del balance a cierre de 2025 y la cuenta lleva sus ventas de casi todo el año (324 M de «Otros»)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comercial pasó de 3.598 M (21,0 % de las ventas) en 2025 a 3.916 M en junio de 2026 (20,8 % de las ventas de doce meses): las cuentas a cobrar suben un 21 % en seis meses (proyectos grandes y clientes que pagan más tarde) y los proveedores lo compensan en parte [2]. Las existencias se mantienen (2.371 M) pese a vender un 10 % más [2]. La deuda bruta apenas cambia desde 2016 (2.200-2.800 M); la caja ha bajado de 1.036 M en 2024 a 589 M tras devolver 500 M de bonos en 2025 [1, 2]. Deuda neta de ≈ 1.800 M, 0,6 veces el EBITDA: holgura para recomprar.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2019-2025: FCF </w:t>
      </w:r>
      <w:r>
        <w:rPr>
          <w:b/>
          <w:bCs/>
        </w:rPr>
        <w:t xml:space="preserve">7.993</w:t>
      </w:r>
      <w:r>
        <w:t xml:space="preserve">, conversión </w:t>
      </w:r>
      <w:r>
        <w:rPr>
          <w:b/>
          <w:bCs/>
        </w:rPr>
        <w:t xml:space="preserve">83 %</w:t>
      </w:r>
      <w:r>
        <w:t xml:space="preserve"> del beneficio neto; adquisiciones 0, dividendos 2.673, recompras 5.695.</w:t>
      </w:r>
    </w:p>
    <w:p>
      <w:pPr>
        <w:spacing w:after="100"/>
      </w:pPr>
      <w:r>
        <w:t xml:space="preserve">Conversión de beneficio en caja alta pero con años de circulante: flujo operativo de 1.123 M en 2020 y 937 M en 2021 (acopio de existencias en la pandemia y la inflación) y de 2.031-2.111 M en 2023-2024 [9]. En 2025, 2.015 M (113 % del beneficio publicado, 104 % del ajustado) [5]. El capex sube del 2 % de las ventas en 2019-2022 al 3,8 % en 2025 (684 M) y a 575-650 M en 2026 por la ampliación de centros de distribución en EE. UU. y Japón y la tecnología [2, 5]; estimación propia: el mantenimiento ronda la amortización (≈ 1,4 % de las ventas) y el resto es crecimiento. Reparte casi todo: 467 M de dividendos y 1.045 M de recompras en 2025 (1.512 M frente a 1.336 M de flujo libre) [5]. En el 1S26 el flujo operativo fue de 1.183 M y el libre de 902 M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de distribución: ingreso al entregar, sin capitalización relevante salvo software, compras escasas y fondo de comercio de 360 M (4 % del activo) [1]. Los pagos en acciones son pequeños (64 M en 2025, 3,4 % del beneficio) y no se ajustan [9]. Tres puntos que vigilar: (1) el LIFO (80 % de las existencias) baja el beneficio en años de inflación y lo subiría si los precios cayeran: la reserva LIFO es de 939 M a final de 2025 [1, 9]; (2) la pérdida de 196 M por el Reino Unido fue no monetaria y sin efecto fiscal, lo que subió el tipo efectivo publicado al 25,6 % [5]; (3) MonotaRO se consolida con un mes de retraso y en US GAAP, distinto de lo que publica en Japón [2]. Los indicadores del motor (Altman, Piotroski, Beneish) se leen con un patrimonio pequeño por las recompras: un Altman muy alto es normal; si el Beneish se acercara a −1,78 sería por las cuentas a cobrar de 2026, que la empresa atribuye a proyectos grandes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2026 con devoluciones de aranceles IEEPA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el coste de ventas del 2T26 (90 pb de margen bruto del trimestre, 23 pb en el año); no se repiten en 2027 [2,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que crecen más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en seis meses con ventas +10 %; proyectos grandes y plazos de clientes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Cargo LIFO variable con la inflación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M en 2025 por los aranceles; reserva LIFO de 939 M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360 M en 2025 (el 6 % del capital invertido medio); ha subido más de un 5 % en 0 de 6 años: sin compras. ROIC publicado 34,9 %; sin fondo de comercio, 37,2 %. Sin compras relevantes: el publicado ya es el ROIC del negocio.</w:t>
      </w:r>
    </w:p>
    <w:p>
      <w:pPr>
        <w:spacing w:after="100"/>
      </w:pPr>
      <w:r>
        <w:rPr>
          <w:b/>
          <w:bCs/>
        </w:rPr>
        <w:t xml:space="preserve">ROIC incremental</w:t>
      </w:r>
      <w:r>
        <w:t xml:space="preserve"> (variación del NOPAT sobre variación del capital invertido en el periodo): 53,7 % · </w:t>
      </w:r>
      <w:r>
        <w:rPr>
          <w:b/>
          <w:bCs/>
        </w:rPr>
        <w:t xml:space="preserve">WACC</w:t>
      </w:r>
      <w:r>
        <w:t xml:space="preserve">: 9,8 %.</w:t>
      </w:r>
    </w:p>
    <w:p>
      <w:pPr>
        <w:spacing w:after="100"/>
      </w:pPr>
      <w:r>
        <w:t xml:space="preserve">Grainger crea mucho valor: ROIC del 34,9 % en 2025 frente a un WACC del 9,83 %, unos 25 puntos de diferencia, y por encima del 26 % todos los años desde 2019, con un máximo del 40,2 % en 2023 [1]. El patrimonio contable (3.736 M atribuidos) está reducido por las recompras, lo que infla el ROE (48,1 %), pero el ROIC no depende de eso: sobre el capital operativo del activo (inmovilizado, intangibles, fondo de comercio y circulante comercial; 6.382 M de media en 2025) el NOPAT de 2.002 M da un 31,4 %, y sin la pérdida no monetaria del Reino Unido (196 M) un 33-34 % (estimación propia) [1, 5]. Lo mueve la rotación (2,0 veces el activo) más que el margen neto (9,5 %; 10,6 % ajustado). El ROIC incremental histórico (53,7 %) dice que el crecimiento de 2019-2025, casi todo orgánico y en High-Touch EE. UU., ha sido muy rentable, mientras las compras en Europa (Fabory, Cromwell) destruyeron valor y se han vendido [1, 7]. Fastenal tiene un ROIC parecido (32,6 %) y MSC y Applied muy inferior (13,6 % y 19,6 %) [31].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589 M USD (30-jun-2026) + crédito sindicado comprometido de 1.250 M sin disponer hasta octubre de 2028 (ampliable a 1.875 M), que respalda el papel comercial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y Moody's A2, ambas estables (deuda sénior no garantizada; últimos datos publicados por la empresa, 2024)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de 2.408 M a 30-jun-2026: bonos sénior a tipo fijo de 500 M al 4,45 % (2034), 1.000 M al 4,60 % (2045), 400 M al 3,75 % (2046) y 400 M al 4,20 % (2047), más préstamos de MonotaRO en yenes (13.000 M de yenes en 2025 y 7.500 M en 2026, al 1,27-1,74 %, hasta 2035) [1, 3]. Sin covenants financieros [1]. Arrendamientos operativos de 389 M (72 a corto) que, en US GAAP, no se suman a la deuda [2]. Pensiones: planes de prestación definida menores, sobre todo en el extranjero, sin déficit relevante [1]. Después del balance, 210 M en efectivo por los activos de Adroit Worldwide Media (26-ago-2026), que se restan en el puente [11]. Minoritarios: ≈ 49,5 % de MonotaRO, cotizada en Tokio (a valor contable 405 M a final de 2025; a mercado, muy por encima) [1].</w:t>
      </w:r>
    </w:p>
    <w:p>
      <w:pPr>
        <w:pStyle w:val="Heading1"/>
      </w:pPr>
      <w:r>
        <w:t xml:space="preserve">12. Asignación de capital</w:t>
      </w:r>
    </w:p>
    <w:p>
      <w:pPr>
        <w:pStyle w:val="Confianza"/>
        <w:spacing w:after="100"/>
      </w:pPr>
      <w:r>
        <w:t xml:space="preserve">Confianza: Alta</w:t>
      </w:r>
    </w:p>
    <w:p>
      <w:pPr>
        <w:spacing w:after="100"/>
      </w:pPr>
      <w:r>
        <w:t xml:space="preserve">Dividendo creciente durante 54 años seguidos: 2,26 USD por trimestre en 2025 y 2,49 desde mayo de 2026 (+10,2 %) [4]. Recompras constantes con el flujo libre que sobra tras el dividendo y el capex: 1.045 M en 2025 y 975-1.050 M guiados para 2026, con el programa de 2024 de hasta 5 M de acciones sin caducidad [2, 3]. Prioridades declaradas: invertir en el negocio (centros de distribución, tecnología), dividendo y recompras; compras de empresas pequeñas y raras [1]. La deuda se mantiene estable con rating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tecnológicos, propiedad intelectual y equipo de Adroit Worldwide Media (inventario autónomo con visión artificial, RFID y estanterías inteligentes)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curso; piloto comercial en los próximos meses; sin efecto material a corto plazo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Cromwell (Reino Unido) y cierre de Zoro U.K.</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no monetaria de 196 M; Cromwell se compró en 2015 por ≈ 482 M y había acumulado deterioros (120 M de intangibles en 2019): una compra que no salió bien [1,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Fabory (Europa continental)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Cargos de ≈ 300 M en 2020; salida de un negocio europeo sin rentabilidad [7].</w:t>
            </w:r>
          </w:p>
        </w:tc>
      </w:tr>
    </w:tbl>
    <w:p>
      <w:pPr>
        <w:spacing w:after="160" w:before="0"/>
      </w:pPr>
    </w:p>
    <w:p>
      <w:pPr>
        <w:spacing w:after="100"/>
      </w:pPr>
      <w:r>
        <w:t xml:space="preserve">La dirección asigna bien el capital en lo que controla: el crecimiento es orgánico y rentable (ROIC ajustado de la empresa del 41 % en 2024) y lo que sobra vuelve al accionista, con las acciones diluidas bajando de 54,9 M en 2019 a 47,1 M (−14 %) [3, 9]. Las compras grandes fuera de Norteamérica y Japón fueron un error (Fabory y Cromwell, vendidas con pérdidas) y la empresa lo ha corregido saliendo de Europa [1, 7]. La compra de AWM (210 M) es tecnológica y pequeña [11]. El límite: con la acción a 26-29 veces beneficios, las recompras crean poco valor, y el patrimonio contable (3.736 M atribuidos a final de 2025) queda pequeño frente al beneficio, lo que infla el ROE.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D.G. Macpherson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octubre de 2016 y presidente desde 2017; antes director de operaciones y de Grainger EE. UU. Con él, las ventas pasaron de ≈ 10.100 M a 17.900 M, el margen operativo ajustado del 11-12 % al 15-16 % y salió de Europa [5,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R. Thomson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interina (desde el 5-sep-2026) y vicepresidenta, directora contable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Grainger desde 2008 (auditoría interna, finanzas); directora contable desde mayo de 2021. Interina mientras se busca un director financiero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Deidra C. Merriwether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hasta el 4-sep-2026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Dimitió para «buscar otra oportunidad», sin desacuerdos con la empresa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Jonny M. LeRoy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tecnología, datos e IA de los canales digitales [18,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Paige K. Robbins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sénior (High-Touch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High-Touch Solutions N.A. [18,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 Scott Santi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consejero delegado y presidente de Illinois Tool Works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23,50-25,50 USD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29,66 ajustado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32,00-34,50 USD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36,67 ajustado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38,00-40,50 USD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38,96 ajustado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39,00-41,50 USD, rebajado a 39,00-39,75 en octubre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39,48 ajustado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42,25-44,75 USD, subido a 44,25-46,25 en mayo y a 45,50-47,25 en agosto [2,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23,66 en el 1S26; en curso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historial: Macpherson lleva diez años y ha cumplido o batido la guía de BPA en 2022-2024; en 2025 la cumplió en la parte baja tras rebajarla por los aranceles, y en 2026 la ha subido dos veces [2, 5, 6]. La salida de la directora financiera en septiembre de 2026, para irse a otra empresa, deja una interina de la casa mientras se busca sustituto: no hay señal de desacuerdo, pero es el cambio más relevante del año y coincide con un pico de márgenes [21]. No hay sucesor declarado de Macpherson; el consejo tiene un consejero coordinador fuerte (Santi, ex ITW)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D.G. Macpherson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 Scott Santi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Rodney C. Adkins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S. 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Katherine D. Jaspon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J. Klein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Cindy J. Miller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S. Novich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Beatriz R. Perez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Slavik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(familia fundadora, 5,9 %)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Lucas E. Watson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A.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33,52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(fondos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(fondos índice)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Susan Slavik Williams (familia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 fundadora, con derecho a proponer un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Macpherson Donald G (Chairman and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Berardinelli Krantz Nancy L (Sr. VP &amp; CLO)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Merriwether Deidra C (Sr. VP &amp;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Laurie R (VP,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Laurie R (VP,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Laurie R (VP,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Laurie R (VP,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Laurie R (VP,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LeRoy Jonny M (SVP, Chief Technology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LeRoy Jonny M (SVP, Chief Technology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LeRoy Jonny M (SVP, Chief Technology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LeRoy Jonny M (SVP, Chief Technology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LeRoy Jonny M (SVP, Chief Technology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Robbins Paige K (Sr. 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Robbins Paige K (Sr. 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Robbins Paige K (Sr. 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Robbins Paige K (Sr. 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Robbins Paige K (Sr. 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11,61 M USD en 2025 (1,18 de fijo, 1,65 de bonus anual y 8,45 en acciones), 172 veces el empleado mediano [18]. El bonus anual (MIP) depende del crecimiento de las ventas diarias orgánicas a tipo constante y del ROIC ajustado del grupo; el incentivo a largo plazo en acciones también lleva métricas de rentabilidad: premia crecer con rentabilidad sobre el capital, no a cualquier precio [18]. Hay política de recuperación (clawback) y guías de tenencia de acciones [18]. Voto en contra de la remuneración en la junta de 2026: 3,5 % (96,1 % a favor de los votos emitidos) [20].</w:t>
      </w:r>
    </w:p>
    <w:p>
      <w:pPr>
        <w:pStyle w:val="Heading2"/>
      </w:pPr>
      <w:r>
        <w:t xml:space="preserve">Operaciones vinculadas, estructura de control y defensas</w:t>
      </w:r>
    </w:p>
    <w:p>
      <w:pPr>
        <w:spacing w:after="100"/>
      </w:pPr>
      <w:r>
        <w:t xml:space="preserve">Sin accionista de control: Vanguard 11,7 %, BlackRock 8,1 % y la familia Slavik (descendientes del fundador) 5,9 % [18]. La familia tiene, por una carta de entendimiento, el derecho a proponer un consejero mientras conserve al menos el 5 % (hoy, la propia Susan Slavik Williams) [18]. Una acción, un voto; consejeros elegidos cada año [18, 20]. El presidente es también consejero delegado, con un consejero coordinador independiente elegido cada año (Santi) [18]. Sin operaciones vinculadas relevantes ni defensas especiales más allá de la ley de Illinois [18].</w:t>
      </w:r>
    </w:p>
    <w:p>
      <w:pPr>
        <w:pStyle w:val="Heading2"/>
      </w:pPr>
      <w:r>
        <w:t xml:space="preserve">Señales de alerta</w:t>
      </w:r>
    </w:p>
    <w:p>
      <w:pPr>
        <w:pStyle w:val="ListParagraph"/>
        <w:numPr>
          <w:ilvl w:val="0"/>
          <w:numId w:val="2"/>
        </w:numPr>
        <w:spacing w:after="60"/>
      </w:pPr>
      <w:r>
        <w:t xml:space="preserve">Dimisión de la directora financiera (efectiva el 4-sep-2026) para irse a otra empresa, sin desacuerdos declarados; directora financiera interina hasta que se nombre otra [21].</w:t>
      </w:r>
    </w:p>
    <w:p>
      <w:pPr>
        <w:pStyle w:val="ListParagraph"/>
        <w:numPr>
          <w:ilvl w:val="0"/>
          <w:numId w:val="2"/>
        </w:numPr>
        <w:spacing w:after="60"/>
      </w:pPr>
      <w:r>
        <w:t xml:space="preserve">Ventas de directivos de 33,5 M USD en 12 meses, sin compras; el 90 % con planes 10b5-1 (25,96 M del consejero delegado) [22].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(ajustada), subida dos veces: ventas de 19.400-19.700 M USD (+8,4-10,0 %; +11,5-13,0 % orgánico a tipo constante), margen bruto del 39,3-39,6 %, margen operativo del 15,8-16,2 %, BPA de 45,50-47,25 USD, flujo operativo de 2.250-2.400 M, capex de 575-650 M, recompras de 975-1.050 M y tipo fiscal de ≈ 25 % (4-ago-2026; en febrero era BPA de 42,25-44,75) [2 del A]. Por segmentos: High-Touch N.A. 17,2-17,6 % y Endless Assortment 10,4-10,8 % de margen operativo. Para el 3T26 la dirección espera ventas de más de 5.000 M y margen operativo en torno al 15,5 %. No hay objetivos a medio plazo publicados con cifra.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(18 analistas de BPA) [24]; DPA = 2,26 + 3 × 2,49 declarados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(19 analistas)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13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1.331,57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1.100,00 – 1.500,00</w:t>
            </w:r>
          </w:p>
        </w:tc>
      </w:tr>
    </w:tbl>
    <w:p>
      <w:pPr>
        <w:spacing w:after="160" w:before="0"/>
      </w:pPr>
    </w:p>
    <w:p>
      <w:pPr>
        <w:pStyle w:val="Heading2"/>
      </w:pPr>
      <w:r>
        <w:t xml:space="preserve">Revisiones de estimaciones</w:t>
      </w:r>
    </w:p>
    <w:p>
      <w:pPr>
        <w:spacing w:after="100"/>
      </w:pPr>
      <w:r>
        <w:t xml:space="preserve">BPA de 2026 del consenso: 45,65 USD hace 90 días y 46,47 hoy (+1,8 %); 2027: 50,48 hace 90 días y 51,06 hoy (+1,2 %) [24]. Las revisiones al alza siguen a las dos subidas de guía (mayo y agosto) y al precio de los aranceles. Recomendaciones de Yahoo: 1 compra fuerte, 3 comprar, 13 mantener y 2 venta fuerte (19); objetivo medio de 14 analistas 1331,57 USD (1100-1500), justo por debajo del precio [24]. Acciones de 2026: Stephens rebaja a Equal Weight por valoración (14-jul), Wolfe sube a Peer Perform (9-jul); el resto mantiene (Barclays Underweight) [34]. Solo una fuente gratuita con estimaciones completas (Yahoo).</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bl>
    <w:p>
      <w:pPr>
        <w:spacing w:after="160" w:before="0"/>
      </w:pPr>
    </w:p>
    <w:p>
      <w:pPr>
        <w:spacing w:after="100"/>
      </w:pPr>
      <w:r>
        <w:t xml:space="preserve">Grainger ha batido al S&amp;P 500 a 1, 5 y 10 años (22,4 % anual con dividendos en diez años frente al 15,5 %) y en 2026 sube un 33,2 % frente al 13,7 % [23]. La subida de 2026 es de resultados (dos subidas de guía, ventas orgánicas de dos dígitos) y de múltiplo: el PER sobre el BPA de los doce meses siguientes pasa de ≈ 22 veces a final de 2025 a ≈ 27 hoy [23, 24]. En 2025 bajó un 3,4 % por la rebaja de guía de agosto (caída del 11 % el día de resultados del 2T25) [23]. Los días de resultados mueven la acción: −5,2 % el 4-ago-2026 pese a subir la guía, porque parte del margen eran devoluciones de aranceles [23]. Beta mensual de 5 años de 0,96 (semanal de 2 años 0,64) [23].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 -1,7 % / +16,5 % / +38,4 %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 / +46,4 %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(7-may): ventas +10,1 % (+12,2 % orgánico) y margen operativo del 16,7 %; guía de BPA subida a 44,25-46,25 USD; subida del dividendo del 10,2 % [1,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ventas +10,3 % y BPA de 12,01 USD con 43 M de devoluciones de aranceles IEEPA que no se repiten; margen del 3T guiado al 15,5 %; el mismo día se supo la dimisión de la directora financiera [2,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el máximo de julio (1.419,91 USD) y rebaja de Stephens por valoración; salida de un fondo de crecimiento (ClearBridge) [34, 36]. Sin hecho nuevo del negocio.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localizada tras tres búsquedas: no hubo 8-K ni nota de la empresa ese día; la acción lo recuperó en las semanas siguientes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Próximos resultados (3T26) hacia el 30-oct-2026 (fecha estimada): la empresa guió ventas de más de 5.000 M y margen operativo en torno al 15,5 %; consenso de BPA del trimestre de 11,66 USD [10,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los activos tecnológicos de Adroit Worldwide Media (inventario autónomo con visión artificial) por 210 M en efectivo; pequeña frente a una capitalización de ≈ 63.000 M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la directora financiera, Deidra Merriwether (efectiva el 4-sep-2026); director financiero interino mientras se busca relevo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Stephens rebaja a Equal Weight por valoración; Wolfe había subido a Peer Perform el 9-jul. Consenso de Yahoo: 4 compras, 13 mantener y 2 ventas; objetivo medio de 1.331,57 USD, por debajo del precio [24,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en 12 meses por 33,5 M USD y ninguna compra; el consejero delegado (Macpherson) vendió 26,0 M, todo con plan 10b5-1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subida de la guía de 2026 (BPA 44,25-46,25 USD) y dividendo de 2,49 USD trimestral (+10,2 %; 54 años seguidos de subidas); la segunda subida, el 4-ago, a 45,50-47,25 [2,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anulación de los aranceles IEEPA por el Tribunal Supremo de EE. UU. (2026), Grainger reconoce 43 M de devoluciones en el 2T26. Los aranceles de las secciones 232 y 301 (acero, China) siguen [2,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Cromwell (Reino Unido) y cierre de Zoro U.K.: pérdida no monetaria de 196 M en 2025; Grainger se queda en Norteamérica y Japón [1,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38,4 % en doce meses, está a un 4,1 % de su máximo histórico y un 9,7 % por encima de la media de 200 sesiones (tendencia alcista), sin avisos de movimiento [23]. Las sacudidas del año tienen causa conocida y recogida en el análisis (calidad del margen del 2T26 con las devoluciones de aranceles, rebaja por valoración), salvo la del 12-feb, que no hemos localizado y que se recuperó. No hay colocaciones, ampliaciones, litigios propios ni operaciones grandes pendientes. Los resultados del 3T26 (≈ 30-oct) pueden mover el precio más de un 5 % en cualquier sentido, pero no cambian la decisión: con la rentabilidad ponderada a 12 meses en el −12,6 % y el valor intrínseco a la mitad del precio, ni un trimestre muy bueno la convertiría en compra.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año (Yahoo) [23]. Grainger cotizó a 16-21 veces el BPA ajustado del año siguiente entre 2018 y 2022 y se revalorizó desde 2023 (21 veces) y 2024 (27 veces) cuando el mercado premió el salto de márgenes y el ROIC por encima del 40 %; con tipos al 5 %, el múltiplo no ha vuelto atrás. Hoy, a ≈ 27 veces nuestro BPA de los próximos doce meses, está por encima de su mediana adelantada de cinco años (≈ 21 veces) y cerca del máximo de 2024 (detalle en la regla a 12 meses).</w:t>
      </w:r>
    </w:p>
    <w:p>
      <w:pPr>
        <w:pStyle w:val="Heading1"/>
      </w:pPr>
      <w:r>
        <w:t xml:space="preserve">18. Comparables cotizados</w:t>
      </w:r>
    </w:p>
    <w:p>
      <w:pPr>
        <w:pStyle w:val="Confianza"/>
        <w:spacing w:after="100"/>
      </w:pPr>
      <w:r>
        <w:t xml:space="preserve">Confianza: Media</w:t>
      </w:r>
    </w:p>
    <w:p>
      <w:pPr>
        <w:spacing w:after="100"/>
      </w:pPr>
      <w:r>
        <w:t xml:space="preserve">Distribuidores industriales cotizados de EE. UU. y Reino Unido con clientes profesionales: Fastenal y MSC (competidores directos en MRO), Applied (componentes industriales), Wesco y Ferguson (eléctrico, fontanería), Watsco (climatización) y Diploma y RS (especialistas europeos). Fuera MonotaRO (filial consolidada), Amazon (no comparable en negocio ni múltiplo), Würth (no cotiza) y Bunzl (consumibles no industriales). Todos con datos de Yahoo del 21-oct-2026 [24]; libras a dólares con el BCE [32]; ROIC y rentabilidad por FCF de la ficha sectorial del 14-oct cuando existen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Fastenal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 Industrial Direct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Industrial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Wesco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Ferguson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Diploma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RS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17,4x / 21,8x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23,6x / 26,1x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1,8x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1.275,22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-54,3 %</w:t>
            </w:r>
          </w:p>
        </w:tc>
      </w:tr>
    </w:tbl>
    <w:p>
      <w:pPr>
        <w:spacing w:after="160" w:before="0"/>
      </w:pPr>
    </w:p>
    <w:p>
      <w:pPr>
        <w:spacing w:after="100"/>
      </w:pPr>
      <w:r>
        <w:t xml:space="preserve">Grainger cotiza a ≈ 26 veces el BPA adelantado de consenso, por encima de la mediana de los comparables (23,6 veces) y por debajo de Fastenal (37 veces) y Diploma (28) [24]. La prima frente a la mediana se justifica en parte: ROIC por encima del 30 % (con Fastenal), margen EBITDA del 17 % frente al 9-14 % de MSC, Applied, Ferguson o Wesco, y crecimiento orgánico del 12-14 % en 2026 [24, 31]. Usaríamos el PER (mismo criterio GAAP en EE. UU.); el EV/EBITDA de Yahoo de Grainger mezcla los minoritarios de MonotaRO a valor contable.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Foundation Building Materials (distribución de materiales de interior)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Lowe's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pro forma 2024 de 635 M y ventas de 6.500 M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GMS (distribución de placas de yeso y techos)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 Depot (SRS)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comunicado; EBITDA GAAP de FY2025 del XBRL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Beacon Roofing Supply (distribución de tejados)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QXO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con deuda del comunicado; EBITDA GAAP 2024 del XBRL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SRS Distribution (distribución especializada para profesionales)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16,1x el EBITDA ajustado 2023e según el comprador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(12,9x – 14,5x)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795,08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759,43 – 862,97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recientes de distribuidores para profesionales en EE. UU. se pagaron a 12,7-16,1 veces el EBITDA, con control y sinergias [27, 28, 29, 30]. Grainger cotiza a ≈ 20 veces su EBITDA de doce meses sin prima de control. No es objetivo de compra verosímil (≈ 63.000 M USD de capitalización) y vendió Cromwell sin múltiplo publicado. Son distribuidores de construcción, no de MRO: referencia lejana, sin peso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dos trimestres publicados (+10,2 %) y la guía de 19.400-19.700 M subida el 4-ago, que dan 19.646 M (+9,5 %; consenso 19.669) [2, 24]; sin los 324 M del Reino Unido vendido, ≈ +11,5 %. Después bajamos del +6,5 % de 2027 al +3 % de 2034. El histórico de 2019-2025 es del 7,7 % anual, con 2021-2022 inflados por la inflación [1]. Nuestro 2027 (+6,5 %) queda por debajo del consenso (+7,2 %) porque el precio arancelario (≈ 4 % en 2026) desaparece de la comparación y suponemos una industria plana [10, 24].</w:t>
      </w:r>
    </w:p>
    <w:p>
      <w:pPr>
        <w:keepNext/>
        <w:spacing w:after="100"/>
      </w:pPr>
      <w:r>
        <w:rPr>
          <w:b/>
          <w:bCs/>
        </w:rPr>
        <w:t xml:space="preserve">Márgenes.</w:t>
      </w:r>
    </w:p>
    <w:p>
      <w:pPr>
        <w:spacing w:after="100"/>
      </w:pPr>
      <w:r>
        <w:t xml:space="preserve">Margen EBITDA del 17,35 % en 2026e (margen operativo guiado del 15,8-16,2 % más 1,35 % de amortización, con 43 M de devoluciones IEEPA), que vuelve al 17,1 % en 2027e sin las devoluciones y sube al 17,3 % por la mezcla hacia Endless Assortment (Zoro y MonotaRO mejorando margen) y el apalancamiento de gastos [2]. Es el máximo de la historia reciente (17,2 % en 2023 con el margen operativo ajustado del 15,7 %) y no suponemos más: Fastenal está en el 22,5 % y MSC en el 11,4 % [1, 31].</w:t>
      </w:r>
    </w:p>
    <w:p>
      <w:pPr>
        <w:keepNext/>
        <w:spacing w:after="100"/>
      </w:pPr>
      <w:r>
        <w:rPr>
          <w:b/>
          <w:bCs/>
        </w:rPr>
        <w:t xml:space="preserve">Inversión y circulante.</w:t>
      </w:r>
    </w:p>
    <w:p>
      <w:pPr>
        <w:spacing w:after="100"/>
      </w:pPr>
      <w:r>
        <w:t xml:space="preserve">Capex del 3,1 % de las ventas en 2026e (guía de 575-650 M por los centros de distribución nuevos de EE. UU. y de MonotaRO) que baja al 2,4 % en 2034e, por encima de la amortización (1,35-1,6 %); 3,8 % en 2025 y 2,0 % de media en 2019-2022 [1]. Circulante comercial del 21 % de las ventas, el de 2025 y de los doce meses a junio de 2026 [2].</w:t>
      </w:r>
    </w:p>
    <w:p>
      <w:pPr>
        <w:keepNext/>
        <w:spacing w:after="100"/>
      </w:pPr>
      <w:r>
        <w:rPr>
          <w:b/>
          <w:bCs/>
        </w:rPr>
        <w:t xml:space="preserve">Coste del capital.</w:t>
      </w:r>
    </w:p>
    <w:p>
      <w:pPr>
        <w:spacing w:after="100"/>
      </w:pPr>
      <w:r>
        <w:t xml:space="preserve">Tasa libre del 5,12 % (bono del Tesoro a 10 años del 20-oct-2026) [25]; beta de 0,90, entre la mensual de cinco años (0,96) y la semanal (0,82; ajustada 0,88) [23]; prima de mercado del 5,5 %. Coste de los recursos propios del 10,07 %; deuda con rating A (S&amp;P A+) al 5,3 % antes de impuestos y un peso del 4 % a valor de mercado: WACC del 9,83 %. Con la prima implícita del mercado (4,20 % en octubre de 2026) [26] el WACC baja al 8,7 % y el valor sube a 699,34 USD, y la conclusión no cambia.</w:t>
      </w:r>
    </w:p>
    <w:p>
      <w:pPr>
        <w:keepNext/>
        <w:spacing w:after="100"/>
      </w:pPr>
      <w:r>
        <w:rPr>
          <w:b/>
          <w:bCs/>
        </w:rPr>
        <w:t xml:space="preserve">Valor terminal.</w:t>
      </w:r>
    </w:p>
    <w:p>
      <w:pPr>
        <w:spacing w:after="100"/>
      </w:pPr>
      <w:r>
        <w:t xml:space="preserve">Gordon con crecimiento del 2,5 % en dólares (≈ 0,5 % real más la inflación esperada; Grainger es ya el mayor del sector y crece con la industria), por debajo de la tasa libre menos medio punto. El valor terminal es el 59 % del valor de empresa. Con el último año a 15 veces el EBITDA (múltiplo de salida de referencia, por debajo de las 21 veces actuales) el valor terminal sería de 73.866 M en vez de 41.272, y el valor por acción subiría hacia los 1.000 USD, aún por debajo del precio: la diferencia está en cuánto crecimiento descuenta 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747,61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 M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(ROIC 34,9 %)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frente al 5,3 %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 (histórico: 53,7 %)</w:t>
            </w:r>
          </w:p>
        </w:tc>
      </w:tr>
    </w:tbl>
    <w:p>
      <w:pPr>
        <w:spacing w:after="160" w:before="0"/>
      </w:pPr>
    </w:p>
    <w:p>
      <w:pPr>
        <w:spacing w:after="100"/>
      </w:pPr>
      <w:r>
        <w:t xml:space="preserve">La proyección reinvierte el 18 % del NOPAT. Con el ROIC del último ejercicio (34,9 %), eso financia un crecimiento del 6,4 % anual, frente al 5,3 % de ingresos proyectado. Supone que el capital nuevo rinde un 28,4 %, frente a un ROIC incremental histórico del 53,7 %.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(cuota en High-Touch con clientes grandes y Endless Assortment creciendo a doble dígito) y precio +2,5 % (resto del arancel y acero) [2,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con una industria plana y precio +2 %, en línea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la cuota sigue ganándose a menor ritmo;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precio +2 %; converge hacia el crecimiento nominal de la industria más algo de cuota.</w:t>
            </w:r>
          </w:p>
        </w:tc>
      </w:tr>
    </w:tbl>
    <w:p>
      <w:pPr>
        <w:spacing w:after="160" w:before="0"/>
      </w:pPr>
    </w:p>
    <w:p>
      <w:pPr>
        <w:spacing w:after="100"/>
      </w:pPr>
      <w:r>
        <w:t xml:space="preserve">Sí. La proyección reinvierte el 18 % del NOPAT, que al ROIC actual (34,9 %) financia un 6,4 % anual frente al 5,3 % proyectado [14]. El capital nuevo rinde un 28,4 % en la proyección, muy por debajo del ROIC incremental histórico (53,7 %). El crecimiento proyectado (5,3 %) queda bajo el histórico (7,7 %) y se apoya en una ventaja demostrada (escala, datos de producto, entrega al día siguiente, contratos con clientes grandes) [1]. La cuota final no se mide porque el mercado no tiene serie, pero con un ≈ 13 % de un mercado fragmentado de más de 140.000 M no es un límite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 (base: 17,3 %)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(WACC: 9,8 %)</w:t>
            </w:r>
          </w:p>
        </w:tc>
      </w:tr>
    </w:tbl>
    <w:p>
      <w:pPr>
        <w:spacing w:after="160" w:before="0"/>
      </w:pPr>
    </w:p>
    <w:p>
      <w:pPr>
        <w:spacing w:after="100"/>
      </w:pPr>
      <w:r>
        <w:t xml:space="preserve">El DCF da 571,68 USD por acción, un 57,2 % por debajo del precio, con un WACC del 9,83 % y el 59 % del valor en el terminal; ya resta el 49,5 % de MonotaRO a precio de mercado (3.536 M, ≈ 75 USD por acción). Con la prima de riesgo que hoy pide el mercado (WACC del 8,7 %) sube a 699,34. El DCF inverso es la clave: para justificar 1.335,96 USD con nuestros márgenes, las ventas tendrían que crecer un 23,0 % anual en 2027-2034, frente al 4,8 % de nuestro caso base y al 7,7 % de 2019-2025; o, con nuestro crecimiento, el margen EBITDA tendría que ser del 32,3 %, casi el doble del máximo histórico. La rentabilidad anual implícita en el precio es del 6,0 %, por debajo de su coste de capital (9,83 %) y del 8,7 % que pide el mercado. El precio no descuenta la empresa que hay sino una que crece al triple: eso es exigente, no conservador. El múltiplo que se paga (21 veces el EBITDA y 27,6 el BPA de doce meses) solo se sostiene si el mercado sigue pagándolo, que es lo que mide la regla a 12 meses.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industrial en 2027 como la de 2009 o 2015-2016 en pequeño, justo cuando se acaba el precio arancelario: ventas −2 % en vez de +6,5 % y margen EBITDA 2 puntos menor por apalancamiento operativo y precio/coste; después el crecimiento queda 2,5 puntos por debajo y el margen 1,5 puntos. Ya le ha pasado: 2009 (≈ −10 % de ventas) y 2015-2016 (ventas planas, margen −2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plana, cuota en clientes grandes, Endless Assortment a doble dígito y 2-2,5 puntos de precio: ventas +6,5 % en 2027 bajando al 3 % en 2034, margen EBITDA del 17,1-17,3 %.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industrial (ISM &gt; 52), relocalización y centros de datos: crecimiento 1,5 puntos mayor cada año y 0,6 puntos más de margen por apalancamiento y la mejora de Zoro y MonotaRO.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335,9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537,95 USD (-59,7 %).</w:t>
      </w:r>
    </w:p>
    <w:p>
      <w:pPr>
        <w:spacing w:after="100"/>
      </w:pPr>
      <w:r>
        <w:t xml:space="preserve">La asimetría es mala en los tres escenarios del DCF: el alcista vale 650,39 USD y el bajista 358,04, ambos muy por debajo del precio (−51,3 % y −73,2 %). En la regla a 12 meses, que mira a cuánto cotizará, el alcista da 1.394,56 USD (≈ +5 % con dividendo) y el bajista 636,27 (≈ −52 %): se arriesga mucho más de lo que se puede ganar a este precio. El alcista y el base usan el mismo PER (25,1 veces) porque la regla no deja que el alcista quede por debajo del base; aun así, el alcista apenas supera el precio.</w:t>
      </w:r>
    </w:p>
    <w:p>
      <w:pPr>
        <w:pStyle w:val="Heading1"/>
      </w:pPr>
      <w:r>
        <w:t xml:space="preserve">22. Suma de partes</w:t>
      </w:r>
    </w:p>
    <w:p>
      <w:pPr>
        <w:pStyle w:val="Confianza"/>
        <w:spacing w:after="100"/>
      </w:pPr>
      <w:r>
        <w:t xml:space="preserve">Confianza: Media</w:t>
      </w:r>
    </w:p>
    <w:p>
      <w:pPr>
        <w:spacing w:after="100"/>
      </w:pPr>
      <w:r>
        <w:t xml:space="preserve">No se usa como método: el único negocio separable con precio de mercado es MonotaRO, y ya entra en el DCF consolidado al 100 % con su parte ajena restada a valor de mercado en el puente (3.536 M USD) [24, 33]. Hacer suma de partes con High-Touch a múltiplo duplicaría el DCF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335,9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684,02 USD (-48,8 % sobre 1.335,96).</w:t>
      </w:r>
    </w:p>
    <w:p>
      <w:pPr>
        <w:spacing w:after="100"/>
      </w:pPr>
      <w:r>
        <w:t xml:space="preserve">Pesos: DCF 50 %, escenarios 30 % y comparables 20 %; transacciones 0 (distribución de construcción con control, referencia lejana) y sin suma de partes (MonotaRO ya entra en el DCF y en el puente a mercado). El DCF es el método más fiable para una empresa con historia larga, deuda baja y flujos estables. Los comparables (PER de los próximos doce meses, mediana de 23,6 veces) dan más valor que el DCF porque todo el sector cotiza caro frente a su coste de capital con tipos al 5 %, y aun así quedan por debajo del precio. La dispersión es moderada entre métodos y grande frente al precio: todos dicen que el precio descuenta más de lo que la empresa puede dar. El valor objetivo de la síntesis es 684,02 USD (−48,8 %).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(27.6x) ÷ 1.1 (tope: la mediana de 5 años, 21.3x,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spacing w:after="100"/>
      </w:pPr>
      <w:r>
        <w:rPr>
          <w:b/>
          <w:bCs/>
        </w:rPr>
        <w:t xml:space="preserve">Objetivo a 12 meses (ponderado):</w:t>
      </w:r>
      <w:r>
        <w:t xml:space="preserve"> 1.158,80 USD · rentabilidad -12,6 % (base -1,8 %) · señal Vender.</w:t>
      </w:r>
    </w:p>
    <w:p>
      <w:pPr>
        <w:spacing w:after="100"/>
      </w:pPr>
      <w:r>
        <w:t xml:space="preserve">Para comparar, con la regla v2 (historia al cierre, mismo precio): 18,8x / 25,6x / 25,6x, -8,3 % Mantener; con el tope anterior del base (×1,3, 14-oct mediodía): -15,3 %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(46,22) coincide con el consenso (46,47) y el de 2027e (48,82) queda un 4,4 % por debajo (51,06): suponemos un crecimiento de ventas de 2027 del 6,5 % frente al 7,2 % del consenso (sale el precio arancelario), que no se repiten las devoluciones IEEPA y ninguna recompra no anunciada (el consenso incluye ≈ 2 % menos de acciones al año) [24]. No hay consenso de 2028e. Nuestro objetivo base a 12 meses (1.302,19) queda un 2,2 % por debajo del objetivo medio de los analistas (1.331,57) y dentro de su rango (1.100-1.500): la diferencia no está en el BPA sino en el múltiplo, que la regla común lleva de 27,6 veces hacia su mediana de 21,3, con el tope de ×1,1.</w:t>
      </w:r>
    </w:p>
    <w:p>
      <w:pPr>
        <w:keepNext/>
        <w:spacing w:after="100"/>
      </w:pPr>
      <w:r>
        <w:rPr>
          <w:b/>
          <w:bCs/>
        </w:rPr>
        <w:t xml:space="preserve">Del valor intrínseco al objetivo a 12 meses.</w:t>
      </w:r>
    </w:p>
    <w:p>
      <w:pPr>
        <w:spacing w:after="100"/>
      </w:pPr>
      <w:r>
        <w:t xml:space="preserve">El objetivo a 12 meses (1.158,80 USD ponderado, 1.302,19 en el base) queda muy por encima del valor intrínseco (684,02 USD): la distancia es el múltiplo. El mercado paga 27,6 veces el BPA de los próximos doce meses por un negocio que, descontado a su coste de capital, vale unas 14-15 veces. Cerrarla exigiría un crecimiento sostenido muy superior al histórico o tipos de interés mucho más bajos; no hay catalizador con fecha que lo haga. El objetivo a 12 meses supone que el múltiplo se mantiene alto, y el valor intrínseco dice que no debería.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tercera revisión de la guía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frente al 15,5 % guiado; crecimiento orgánico frente al 13,7 % del 2T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precio arancelario ni devoluciones IEEPA en la comparación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precio de los aranceles en la comparación interanual (≈ 4 % de precio en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publicado pierde 2-3 puntos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 manufacturero de EE. UU. por encima o por debajo de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High-Touch (clientes industriales, contratistas y Administración)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de la política de capital (recompras de ≈ 1.000 M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Zoro y de MonotaRO (7,6 % y 14 % en el 2T26)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Endless Assortment llega al 11-12 % de margen, el BPA sube ≈ 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cotiza a 27,6 veces nuestro BPA de los próximos doce meses frente a una mediana adelantada de 21,3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vuelve a su mediana con el BPA de 2027e; −45 % hasta su mínimo de cinco años (15,2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 15 % en 2026 y recompras del 2 %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High-Touch por debajo del 5 %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industrial en EE. UU. (≈ 80 % de las ventas): caída de volumen y apalancamiento operativo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en el escenario bajista a 12 meses (636,27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mantenimiento (gasto menos discrecional que la inversión), Administración y sanidad; balance con rating 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ISM por debajo de 47 tres meses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inflado por precio: ≈ 4 % de precio arancelario en 2026 y 43 M de devoluciones IEEPA que no se repiten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2027 crece por debajo del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también crece (High-Touch +11,9 % en el 2T26 «por volumen y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2027 por debajo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Precio/coste y LIFO: si los costes de los proveedores suben más rápido que los precios, o si los precios bajan (cargo o abono LIFO)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50 pb de margen bruto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 precios demostrado en 2022 y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Amazon Business y el catálogo en línea en el cliente pequeño; Fastenal (expendedoras y almacenes en planta) y MSC en el grande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Zoro y MonotaRO compiten en el mismo canal; KeepStock y servicio en planta en el cliente grande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High-Touch por debajo del mercado (cuota) dos años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MonotaRO y el yen: el 12 % de las ventas está en Japón y el 49,5 % de su beneficio es de minoritarios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10 % de caída del yen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yenes del 13 % y margen del 14 %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MonotaRO por debajo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con un director financiero interino y el consejero delegado (Macpherson) desde 2017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Política de capital estable durante décadas; equipo con experiencia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en la política de recompras o compras grandes fuera de Norteamérica</w:t>
            </w:r>
          </w:p>
        </w:tc>
      </w:tr>
    </w:tbl>
    <w:p>
      <w:pPr>
        <w:spacing w:after="160" w:before="0"/>
      </w:pPr>
    </w:p>
    <w:p>
      <w:pPr>
        <w:pStyle w:val="Heading2"/>
      </w:pPr>
      <w:r>
        <w:t xml:space="preserve">Pre-mortem</w:t>
      </w:r>
    </w:p>
    <w:p>
      <w:pPr>
        <w:spacing w:after="100"/>
      </w:pPr>
      <w:r>
        <w:t xml:space="preserve">Es octubre de 2029 y Grainger ha perdido un 40 %. La historia más probable: en 2027 se acabó el empujón de los aranceles (≈ 4 puntos de precio y las devoluciones IEEPA que desaparecen de la comparación) justo cuando la industria de EE. UU. volvió a frenarse; las ventas pasaron de crecer un 10 % a un 2-3 %, y el margen operativo, que había vuelto al 16 %, bajó al 14-15 % por precio/coste y por el gasto en centros de distribución y tecnología que ya estaba comprometido. El BPA se quedó en 45-48 USD con recompras, y el mercado, que pagaba 27-28 veces, volvió a pagar las 17-21 veces de 2021-2023: 47 × 19 ≈ 900 USD. Mientras, Amazon Business y los agentes de compra con IA abarataron el catálogo estándar del cliente pequeño. Nadie dudó de la calidad; se pagó demasiado por ella. Los indicadores que lo habrían anticipado: guía de 2027 por debajo del +5 %, el ISM por debajo de 47 y el margen operativo de High-Touch por debajo del 17 %.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(amenaza en el catálogo estándar y el cliente pequeño) / +5 % (búsqueda, comercio electrónico y productividad) a 3-5 años</w:t>
      </w:r>
    </w:p>
    <w:p>
      <w:pPr>
        <w:spacing w:after="100"/>
      </w:pPr>
      <w:r>
        <w:t xml:space="preserve">Grainger vende productos físicos y servicio (entrega al día siguiente, KeepStock en planta, gestores de cuenta): la IA no sustituye el producto. La amenaza está en la elección del proveedor: agentes de compra con IA y mercados en línea (Amazon Business) hacen más fácil comparar precios en la parte estándar del catálogo, y eso presiona el margen del cliente pequeño; el propio 10-K de 2025 avisa de que la IA «afectará de forma significativa» a las preferencias de los clientes y a la dinámica del mercado [1]. Pero la IA también le ayuda, y esto pesa más hoy: el valor de Grainger está en tener los datos de producto mejor limpiados del sector (2 millones de referencias en High-Touch, 13 millones en Zoro y 29 en MonotaRO), que es lo que necesita una búsqueda con IA para encontrar la pieza exacta; la dirección usa IA en la búsqueda, el servicio al cliente y los almacenes, y ha comprado tecnología de visión artificial (AWM, 210 M) para el inventario en planta [10, 11, 17]. Alrededor del 80 % de las ventas pasa ya por canales digitales y contratos, donde el coste de cambiar de proveedor es alto. Señal a vigilar: que High-Touch crezca por debajo del mercado o que el margen bruto de Endless Assortment baje dos trimestres. Lo dejamos en «Mixto» con exposición media: más oportunidad que amenaza mientras mantenga la ventaja en datos.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que mueve cifras: (1) seguridad laboral en centros de distribución y sucursales (≈ 25.000 empleados) y el coste sanitario de la plantilla, que restó margen en el 4T25 («costes sanitarios imprevistos») [1]; (2) cumplimiento en la cadena de suministro (origen, trabajo forzoso, aranceles) con más de 5.000 proveedores [1, 18]; (3) emisiones de la logística y de los edificios, sin coste regulatorio material hoy en EE. UU. [1].</w:t>
      </w:r>
    </w:p>
    <w:p>
      <w:pPr>
        <w:pStyle w:val="Heading2"/>
      </w:pPr>
      <w:r>
        <w:t xml:space="preserve">Controversias</w:t>
      </w:r>
    </w:p>
    <w:p>
      <w:pPr>
        <w:spacing w:after="100"/>
      </w:pPr>
      <w:r>
        <w:t xml:space="preserve">Sin sanciones ni litigios materiales en los últimos tres años según el 10-K 2025; los pleitos por el incendio de KMCO (2019) se han cerrado sin efecto en el beneficio ni en la caja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+13,7 % orgánico del 2T26 es precio arancelario que no se repetirá en 2027, y qué volumen queda debajo?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2027e (+6,5 %) supone 2,5 puntos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de fondo sin devoluciones IEEPA ni ganancia LIFO, y cuánto gasto de centros de distribución nuevos entra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50 pb de margen son ≈ 4 %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MonotaRO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Grainger subir su participación en MonotaRO (compró 70 M de minoritarios en el 1S26) o venderla?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valor de mercado, la parte ajena vale 3.536 M; cualquier movimiento cambia el BPA y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la cuota frente a Amazon Business en clientes pequeños y qué parte de los pedidos ya llega por agentes o integraciones automáticas?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vía por la que la IA podría abaratar el catálogo.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¿Seguirán las recompras de ≈ 1.000 M al año con la acción a 27 veces beneficio y un director financiero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estos precios, recomprar crea poco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las cuentas a cobrar suben un 21 % en seis meses con las ventas +10 %?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grandes con plazos más largos o clientes que pagan peor.</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($GWW)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alcistas en julio («cada gráfico es increíble», «imprime dinero») con la acción en máximos; en octubre, «el sentimiento está más frío que el negocio», salida de dinero institucional y la cotización bajo las medias de 20 y 50 sesiones; mucha operativa de opciones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Conviven «gran empresa a mal precio» (junio) y «compré la caída tras resultados» (agosto); titulares de rebaja de Stephens por valoración y de un fondo de crecimiento (ClearBridge) que vende la posición en octubre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26-29 veces)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en parte: ≈ 27 veces nuestro BPA de doce meses frente a una mediana adelantada de ≈ 21 veces en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negocio y del equipo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ROIC por encima del 30 %, guía cumplida y subida dos veces en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margen (devoluciones de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43 M de IEEPA en el 2T26 que no se repiten; la caída del 5,2 % del 4-ago lo descontó.</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creciente (54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pero la rentabilidad por dividendo es del 0,7 %.</w:t>
            </w:r>
          </w:p>
        </w:tc>
      </w:tr>
    </w:tbl>
    <w:p>
      <w:pPr>
        <w:spacing w:after="160" w:before="0"/>
      </w:pPr>
    </w:p>
    <w:p>
      <w:pPr>
        <w:spacing w:after="100"/>
      </w:pPr>
      <w:r>
        <w:t xml:space="preserve">Los particulares admiran la empresa y discuten el precio; no hay euforia ni capitulación. Tras el máximo de julio el tono se ha enfriado (salida de un fondo de crecimiento, rebaja de Stephens por valoración), lo que coincide con la lectura del informe: el negocio es de calidad y el múltiplo, exigente. El foro no aporta un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36 (23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28,4 % frente a un ROIC de 34,9 % y un incremental histórico de 53,7 %: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21,0 % real: genera una variación de circulante de 366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-48,1 % (-40,7 % con la prima del mercado) y el precio pide 18,2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de Grainger (sin cifra); 2) 10-K 2025 de Fastenal y 10-K 2018 de Grainger (cifras sueltas, sin serie); 3) Precedence Research (la página redirige y no deja leer la cifra) y MDM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2026 (no las citan); 2) web de la empresa (no consultada con éxito); 3) agencias (MSCI y Sustainalytics, de pago o con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 y composición de las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2026 (solo 2026); 2) proxy 2026 (texto de comisiones en tablas que la extracción no separa); 3) búsqueda de los 8-K de 2024 y 2025 (no descargados en esta iteración)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(una junta en vez de tres; comisiones n.d.)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y BPA de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(dos ejercicios, sin EBITDA); 2) MarketScreener (no abre sin sesión); 3) Nasdaq/Zacks (solo BPA del año y el siguiente)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distribuidores MRO puros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de Grainger (venta de Cromwell, sin múltiplo); 2) 8-K de Applied Industrial y DSG (sin múltiplo); 3) prensa sectorial (MDM,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distribuidores de construcción, marcados como referencia lejana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 caída del 7,1 % del 12-feb-2026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y notas de prensa de la empresa de febrero de 2026 (ninguno ese día); 2) titulares de Seeking Alpha y Stocktwits de febrero (sin hecho de la empresa); 3) búsqueda web «Grainger stock falls February 12 2026»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bloque de movimiento; la acción lo recuperó en semanas)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segmentos, ingresos por sector de cliente y geografía, deuda, LIFO, salida del Reino Unido,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https://www.sec.gov/Archives/edgar/data/277135/000027713526000011/gww-20251231.htm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Grainger Reports Results for the Second Quarter 2026 (8-K, anexo 99.1): cuenta, balance y flujos a 30-jun-2026, devoluciones IEEPA,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https://www.sec.gov/Archives/edgar/data/277135/000027713526000076/gww8kex991q22026.htm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(segmentos, geografía, préstamos de MonotaRO, recompras,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https://www.sec.gov/Archives/edgar/data/277135/000027713526000079/gww-20260630.htm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Reports Results for the First Quarter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https://www.sec.gov/Archives/edgar/data/277135/000027713526000056/gww8kex991q12026.htm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Reports Results for the Fourth Quarter and Full Year 2025 (8-K, anexo 99.1): BPA ajustado 39,48 USD, pérdida por la salida del Reino Unido,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https://www.sec.gov/Archives/edgar/data/277135/000027713526000004/gww8kex991q42025.htm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Reports Results for the Third Quarter 2025 (8-K, anexo 99.1): pérdida no monetaria por la venta de Cromwell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https://www.sec.gov/Archives/edgar/data/277135/000027713525000145/gww8kex991q32025.htm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2019-2024 (8-K, anexos 99.1): BPA y resultado operativo publicados y ajustados,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https://www.sec.gov/Archives/edgar/data/277135/000027713525000004/gww8kex991q42024.htm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del ejercicio 2023 (segmentos 2021-2023, proveedores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https://www.sec.gov/Archives/edgar/data/277135/000027713524000011/gww-20231231.htm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Grainger (depreciación y amortización del estado de flujos, LIFO, proveedores, trimestres)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https://data.sec.gov/api/xbrl/companyfacts/CIK0000277135.json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W.W. Grainger Inc Earnings Call (transcripción: precio ≈ 4 % en 2026, 90 pb de IEEPA en el margen bruto, MonotaRO +24 % en yenes, guía del 3T)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(transcripción de la conferencia)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https://allmind.ai/earnings/event/2935904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acquires technology assets from Adroit Worldwide Media (210 M USD en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(PR Newswire, vía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https://www.placera.se/pressmeddelanden/w-w-grainger-grainger-acquires-technology-assets-from-adroit-worldwide-media-20260826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Fastenal (mercado norteamericano de suministros industriales de más de 140.000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https://www.sec.gov/Archives/edgar/data/815556/000081555626000009/fast-20251231.htm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2018 de W.W. Grainger (mercado MRO de EE. UU. de 93.000 M USD y de Canadá de 12.000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https://www.sec.gov/Archives/edgar/data/277135/000027713519000010/gww20181231-10k.htm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distribución industrial especializada (perímetro, economía, ciclo, comparables, márgenes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(sectores/distribucion-industrial-2026-10-14.md)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Fastenal del 21-oct-2026 (competidor; márgenes, cuota, aranceles, ciclo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(informes/fastenal-2026-10-21)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informes/fastenal-2026-10-21/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3T26 de Fastenal (el Tribunal Supremo de EE. UU. anula en 2026 los aranceles IEEPA)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Fastenal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https://www.sec.gov/Archives/edgar/data/815556/000081555626000049/fast-20260930.htm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Makes $210M Tech Acquisition to Boost High-Touch Solutions Offering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Modern Distribution Management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https://www.mdm.com/news/technology/digital-commerce/grainger-makes-210m-tech-acquisition-to-boost-high-touch-solutions-offering/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 Grainger (descripción del negocio, 2 millones de productos, 5.000 proveedores, 4,6 millones de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https://www.sec.gov/Archives/edgar/data/277135/000110465926025575/tm261342-1_def14a.htm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buys majority stake in Japanese MRO direct marketer (MonotaRO, 2006-2008)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Marketing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https://www.electricalmarketing.com/news/people/article/20913406/grainger-buys-majority-stake-in-japanese-mro-direct-marketer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29-abr-2026 (votos de consejeros, auditor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https://www.sec.gov/Archives/edgar/data/277135/000027713526000033/gww-20260429.htm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la directora financiera Deidra Merriwether (efectiva el 4-sep-2026) y nombramiento de Laurie Thomson como directora financiera interina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W.W. Grainger,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https://www.sec.gov/Archives/edgar/data/277135/000110465926089478/tm2621790d1_8k.htm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(21-oct-2025 a 21-oct-2026),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https://www.sec.gov/cgi-bin/browse-edgar?action=getcompany&amp;CIK=0000277135&amp;type=4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(GWW, SPY, XLI) y cierres de cada ejercicio, hasta el 20-oct-2026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https://finance.yahoo.com/quote/GWW/history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Grainger, MonotaRO y comparables (consenso de BPA y ventas, recomendaciones, objetivos, valor empresa, EBITDA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https://finance.yahoo.com/quote/GWW/analysis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 Depot: adquisición de SRS Distribution (18.250 M USD, ≈ 16,1x el EBITDA ajustado 2023e), presentación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Home Depot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https://www.sec.gov/Archives/edgar/data/354950/000110465924040163/tm2410002d1_ex99-2.htm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acuerdo para comprar Foundation Building Materials (≈ 8.800 M USD; 6.500 M de ventas y 635 M de EBITDA ajustado pro forma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Lowe's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https://www.sec.gov/Archives/edgar/data/60667/000006066725000162/exhibit991-08012025fbm.htm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GMS: acuerdo con Home Depot/SRS (valor empresa ≈ 5.500 M USD) y cuentas XBRL de FY2025 (ventas 5.514 M, EBITDA 422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GMS Inc. (SEC, 8-K y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https://www.sec.gov/Archives/edgar/data/1600438/000110465925063833/tm2519400d1_ex99-1.htm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 to Acquire Beacon Roofing Supply for $11 Billion; cuentas XBRL de Beacon 2024 (ventas 9.763 M, EBITDA 867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QXO (Business Wire) 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https://www.businesswire.com/news/home/20250320149865/en/QXO-to-Acquire-Beacon-Roofing-Supply-for-11-Billion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distribución industrial (ROIC y rentabilidad por FCF de los comparables,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(sectores/distribucion-industrial-2026-10-14-comparables.json)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sectores/distribucion-industrial-2026-10-14-comparables.json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(20-oct-2026: 1,1215 USD, 177,34 JPY y 0,84028 GBP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MonotaRO: accionistas principales (Grainger Global Holdings ≈ 50,3-50,5 %)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(propiedad de MonotaRO) y MonotaRO (perfil corporativo)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https://simplywall.st/stocks/us/capital-goods/otc-mono.f/monotaro/ownership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Grainger: acciones de los analistas (Stephens rebaja a Equal Weight el 14-jul-2026; Wolfe sube a Peer Perform el 9-jul; RBC, Barclays, Morgan Stanley, DA Davidson, Oppenheimer mantienen)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https://fn2.ai/earnings/gww/2026-q1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$GWW (30 mensajes, mayo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https://api.stocktwits.com/api/2/streams/symbol/GWW.json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titulares sobre Grainger (febrero-octubre de 2026: «Great Company, At A Bad Price», «Why I Bought The Post-Earnings Pullback», ClearBridge sale de GWW)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https://seekingalpha.com/api/sa/combined/GWW.xml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90,5 %</w:t>
      </w:r>
      <w:r>
        <w:t xml:space="preserve"> · Secciones con menos del 60 % de campos cubiertos: </w:t>
      </w:r>
      <w:r>
        <w:rPr>
          <w:b/>
          <w:bCs/>
        </w:rPr>
        <w:t xml:space="preserve">ninguna</w:t>
      </w:r>
      <w:r>
        <w:t xml:space="preserve"> · Generado el 21 oct 2026.</w:t>
      </w:r>
    </w:p>
    <w:p>
      <w:pPr>
        <w:pStyle w:val="Nota"/>
        <w:spacing w:after="100"/>
      </w:pPr>
      <w:r>
        <w:t xml:space="preserve">Una sola línea cotizada (NYSE: GWW). Precio del informe: cierre del 20-oct-2026 (1.335,96 USD); el 21-oct la sesión de Nueva York estaba abierta al cerrar el análisis, y la decisión se comprueba con el precio del día en las pruebas de robustez. Las cuentas de 2025 llevan casi un año del Reino Unido (Cromwell y Zoro U.K., 324 M de ventas, vendidos o cerrados en diciembre de 2025) y una pérdida no monetaria de 196 M por la salida; el crecimiento publicado de 2026 queda por eso ≈ 2 puntos por debajo del orgánico. Amortización tomada del estado de flujos: el concepto del XBRL incluye el gasto no monetario de los arrendamientos operativos. MonotaRO (Japón) se consolida al 100 % con un mes de retraso; su 49,5 % ajeno se resta en el puente a valor de mercado (3.536 M USD con el yen del BCE del 20-oct-2026), no a valor contable (405 M). El ROIC del informe es sobre patrimonio + minoritarios + deuda − caja; el patrimonio está reducido por décadas de recompras, así que damos también el ROIC sobre el capital operativo del activo (inmovilizado, intangibles, fondo de comercio y circulante comercial), que es el que mide el negocio. Consenso de una sola fuente gratuita (Yahoo Finance), sin EBITDA ni 2028e. Tamaño de mercado: estimaciones de las empresas, sin serie independiente. No hemos localizado la causa de la caída del 7,1 % del 12-feb-2026. Los resultados del 3T26 salen hacia el 30-oct-2026,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W.W. Grainger, Inc. (GWW)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1.335,96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(906,52 – 1.419,91)</c:v>
                </c:pt>
                <c:pt idx="1">
                  <c:v>Precio objetivo de los analistas (1.100,00 – 1.500,00)</c:v>
                </c:pt>
                <c:pt idx="2">
                  <c:v>Comparables: PER NTM (889,22 – 1.311,89)</c:v>
                </c:pt>
                <c:pt idx="3">
                  <c:v>Transacciones precedentes (EV/EBITDA) (759,43 – 862,97)</c:v>
                </c:pt>
                <c:pt idx="4">
                  <c:v>DCF (WACC y g ± 0,5) (503,08 – 661,44)</c:v>
                </c:pt>
                <c:pt idx="5">
                  <c:v>Escenarios (bajista – alcista) (358,04 – 650,39)</c:v>
                </c:pt>
                <c:pt idx="6">
                  <c:v>DCF con la prima implícita del mercado (4,2 %)</c:v>
                </c:pt>
                <c:pt idx="7">
                  <c:v>Precio actual (1.335,96)</c:v>
                </c:pt>
              </c:strCache>
            </c:strRef>
          </c:cat>
          <c:val>
            <c:numRef>
              <c:f>Hoja1!$B$2:$B$9</c:f>
              <c:numCache>
                <c:formatCode>#,##0</c:formatCode>
                <c:ptCount val="8"/>
                <c:pt idx="0">
                  <c:v>906.52</c:v>
                </c:pt>
                <c:pt idx="1">
                  <c:v>1100</c:v>
                </c:pt>
                <c:pt idx="2">
                  <c:v>889.22</c:v>
                </c:pt>
                <c:pt idx="3">
                  <c:v>759.43</c:v>
                </c:pt>
                <c:pt idx="4">
                  <c:v>503.08</c:v>
                </c:pt>
                <c:pt idx="5">
                  <c:v>358.04</c:v>
                </c:pt>
                <c:pt idx="6">
                  <c:v>637.17</c:v>
                </c:pt>
                <c:pt idx="7">
                  <c:v>1329.28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(906,52 – 1.419,91)</c:v>
                </c:pt>
                <c:pt idx="1">
                  <c:v>Precio objetivo de los analistas (1.100,00 – 1.500,00)</c:v>
                </c:pt>
                <c:pt idx="2">
                  <c:v>Comparables: PER NTM (889,22 – 1.311,89)</c:v>
                </c:pt>
                <c:pt idx="3">
                  <c:v>Transacciones precedentes (EV/EBITDA) (759,43 – 862,97)</c:v>
                </c:pt>
                <c:pt idx="4">
                  <c:v>DCF (WACC y g ± 0,5) (503,08 – 661,44)</c:v>
                </c:pt>
                <c:pt idx="5">
                  <c:v>Escenarios (bajista – alcista) (358,04 – 650,39)</c:v>
                </c:pt>
                <c:pt idx="6">
                  <c:v>DCF con la prima implícita del mercado (4,2 %)</c:v>
                </c:pt>
                <c:pt idx="7">
                  <c:v>Precio actual (1.335,96)</c:v>
                </c:pt>
              </c:strCache>
            </c:strRef>
          </c:cat>
          <c:val>
            <c:numRef>
              <c:f>Hoja1!$C$2:$C$9</c:f>
              <c:numCache>
                <c:formatCode>#,##0</c:formatCode>
                <c:ptCount val="8"/>
                <c:pt idx="0">
                  <c:v>513.3900000000001</c:v>
                </c:pt>
                <c:pt idx="1">
                  <c:v>400</c:v>
                </c:pt>
                <c:pt idx="2">
                  <c:v>422.6700000000001</c:v>
                </c:pt>
                <c:pt idx="3">
                  <c:v>103.54000000000008</c:v>
                </c:pt>
                <c:pt idx="4">
                  <c:v>158.36000000000007</c:v>
                </c:pt>
                <c:pt idx="5">
                  <c:v>292.34999999999997</c:v>
                </c:pt>
                <c:pt idx="6">
                  <c:v>135.36</c:v>
                </c:pt>
                <c:pt idx="7">
                  <c:v>13.360000000000127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High-Touch Solutions N.A.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10186</c:v>
                </c:pt>
                <c:pt idx="1">
                  <c:v>12182</c:v>
                </c:pt>
                <c:pt idx="2">
                  <c:v>13267</c:v>
                </c:pt>
                <c:pt idx="3">
                  <c:v>13720</c:v>
                </c:pt>
                <c:pt idx="4">
                  <c:v>13993</c:v>
                </c:pt>
              </c:numCache>
            </c:numRef>
          </c:val>
        </c:ser>
        <c:ser>
          <c:idx val="1"/>
          <c:order val="1"/>
          <c:tx>
            <c:strRef>
              <c:f>Hoja1!$C$1</c:f>
              <c:strCache>
                <c:ptCount val="1"/>
                <c:pt idx="0">
                  <c:v>Endless Assortment</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2576</c:v>
                </c:pt>
                <c:pt idx="1">
                  <c:v>2787</c:v>
                </c:pt>
                <c:pt idx="2">
                  <c:v>2916</c:v>
                </c:pt>
                <c:pt idx="3">
                  <c:v>3134</c:v>
                </c:pt>
                <c:pt idx="4">
                  <c:v>3625</c:v>
                </c:pt>
              </c:numCache>
            </c:numRef>
          </c:val>
        </c:ser>
        <c:ser>
          <c:idx val="2"/>
          <c:order val="2"/>
          <c:tx>
            <c:strRef>
              <c:f>Hoja1!$D$1</c:f>
              <c:strCache>
                <c:ptCount val="1"/>
                <c:pt idx="0">
                  <c:v>Otros (Cromwell y Zoro U.K., vendidos o cerrados en 2025)</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260</c:v>
                </c:pt>
                <c:pt idx="1">
                  <c:v>259</c:v>
                </c:pt>
                <c:pt idx="2">
                  <c:v>295</c:v>
                </c:pt>
                <c:pt idx="3">
                  <c:v>314</c:v>
                </c:pt>
                <c:pt idx="4">
                  <c:v>324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High-Touch Solutions N.A.</c:v>
                </c:pt>
                <c:pt idx="1">
                  <c:v>Endless Assortment</c:v>
                </c:pt>
                <c:pt idx="2">
                  <c:v>Otros (Cromwell y Zoro U.K., vendidos o cerrados en 2025)</c:v>
                </c:pt>
              </c:strCache>
            </c:strRef>
          </c:cat>
          <c:val>
            <c:numRef>
              <c:f>Hoja1!$B$2:$B$4</c:f>
              <c:numCache>
                <c:formatCode>General</c:formatCode>
                <c:ptCount val="3"/>
                <c:pt idx="0">
                  <c:v>78</c:v>
                </c:pt>
                <c:pt idx="1">
                  <c:v>20.2</c:v>
                </c:pt>
                <c:pt idx="2">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Canadá</c:v>
                </c:pt>
                <c:pt idx="3">
                  <c:v>Otros (Reino Unido hasta 2025, México y otros)</c:v>
                </c:pt>
              </c:strCache>
            </c:strRef>
          </c:cat>
          <c:val>
            <c:numRef>
              <c:f>Hoja1!$B$2:$B$5</c:f>
              <c:numCache>
                <c:formatCode>0"%"</c:formatCode>
                <c:ptCount val="4"/>
                <c:pt idx="0">
                  <c:v>80.5</c:v>
                </c:pt>
                <c:pt idx="1">
                  <c:v>12.1</c:v>
                </c:pt>
                <c:pt idx="2">
                  <c:v>3.8</c:v>
                </c:pt>
                <c:pt idx="3">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Grainger</c:v>
                </c:pt>
                <c:pt idx="1">
                  <c:v>Fastenal</c:v>
                </c:pt>
                <c:pt idx="2">
                  <c:v>MSC Industrial Direct</c:v>
                </c:pt>
                <c:pt idx="3">
                  <c:v>Applied Industrial Technologies</c:v>
                </c:pt>
                <c:pt idx="4">
                  <c:v>Amazon Business (Amazon.com)</c:v>
                </c:pt>
                <c:pt idx="5">
                  <c:v>Wesco International</c:v>
                </c:pt>
                <c:pt idx="6">
                  <c:v>Würth (no cotiza)</c:v>
                </c:pt>
              </c:strCache>
            </c:strRef>
          </c:cat>
          <c:val>
            <c:numRef>
              <c:f>Hoja1!$B$2:$B$8</c:f>
              <c:numCache>
                <c:formatCode>0.0"%"</c:formatCode>
                <c:ptCount val="7"/>
                <c:pt idx="0">
                  <c:v>15</c:v>
                </c:pt>
                <c:pt idx="1">
                  <c:v>20.2</c:v>
                </c:pt>
                <c:pt idx="2">
                  <c:v>8</c:v>
                </c:pt>
                <c:pt idx="3">
                  <c:v>11.1</c:v>
                </c:pt>
                <c:pt idx="5">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strCache>
            </c:strRef>
          </c:cat>
          <c:val>
            <c:numRef>
              <c:f>Hoja1!$B$2:$B$17</c:f>
              <c:numCache>
                <c:formatCode>#,##0</c:formatCode>
                <c:ptCount val="16"/>
                <c:pt idx="0">
                  <c:v>11486</c:v>
                </c:pt>
                <c:pt idx="1">
                  <c:v>11797</c:v>
                </c:pt>
                <c:pt idx="2">
                  <c:v>13022</c:v>
                </c:pt>
                <c:pt idx="3">
                  <c:v>15228</c:v>
                </c:pt>
                <c:pt idx="4">
                  <c:v>16478</c:v>
                </c:pt>
                <c:pt idx="5">
                  <c:v>17168</c:v>
                </c:pt>
                <c:pt idx="6">
                  <c:v>17942</c:v>
                </c:pt>
                <c:pt idx="7">
                  <c:v>19646</c:v>
                </c:pt>
                <c:pt idx="8">
                  <c:v>20924</c:v>
                </c:pt>
                <c:pt idx="9">
                  <c:v>22179</c:v>
                </c:pt>
                <c:pt idx="10">
                  <c:v>23399</c:v>
                </c:pt>
                <c:pt idx="11">
                  <c:v>24569</c:v>
                </c:pt>
                <c:pt idx="12">
                  <c:v>25674</c:v>
                </c:pt>
                <c:pt idx="13">
                  <c:v>26701</c:v>
                </c:pt>
                <c:pt idx="14">
                  <c:v>27636</c:v>
                </c:pt>
                <c:pt idx="15">
                  <c:v>28465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strCache>
            </c:strRef>
          </c:cat>
          <c:val>
            <c:numRef>
              <c:f>Hoja1!$C$2:$C$17</c:f>
              <c:numCache>
                <c:formatCode>#,##0</c:formatCode>
                <c:ptCount val="16"/>
                <c:pt idx="0">
                  <c:v>1607</c:v>
                </c:pt>
                <c:pt idx="1">
                  <c:v>1509</c:v>
                </c:pt>
                <c:pt idx="2">
                  <c:v>1734</c:v>
                </c:pt>
                <c:pt idx="3">
                  <c:v>2399</c:v>
                </c:pt>
                <c:pt idx="4">
                  <c:v>2805</c:v>
                </c:pt>
                <c:pt idx="5">
                  <c:v>2890</c:v>
                </c:pt>
                <c:pt idx="6">
                  <c:v>2945</c:v>
                </c:pt>
                <c:pt idx="7">
                  <c:v>3409</c:v>
                </c:pt>
                <c:pt idx="8">
                  <c:v>3578</c:v>
                </c:pt>
                <c:pt idx="9">
                  <c:v>3815</c:v>
                </c:pt>
                <c:pt idx="10">
                  <c:v>4048</c:v>
                </c:pt>
                <c:pt idx="11">
                  <c:v>4250</c:v>
                </c:pt>
                <c:pt idx="12">
                  <c:v>4442</c:v>
                </c:pt>
                <c:pt idx="13">
                  <c:v>4619</c:v>
                </c:pt>
                <c:pt idx="14">
                  <c:v>4781</c:v>
                </c:pt>
                <c:pt idx="15">
                  <c:v>4924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38.3</c:v>
                </c:pt>
                <c:pt idx="1">
                  <c:v>35.9</c:v>
                </c:pt>
                <c:pt idx="2">
                  <c:v>36.2</c:v>
                </c:pt>
                <c:pt idx="3">
                  <c:v>38.4</c:v>
                </c:pt>
                <c:pt idx="4">
                  <c:v>39.4</c:v>
                </c:pt>
                <c:pt idx="5">
                  <c:v>39.4</c:v>
                </c:pt>
                <c:pt idx="6">
                  <c:v>39.1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14</c:v>
                </c:pt>
                <c:pt idx="1">
                  <c:v>12.8</c:v>
                </c:pt>
                <c:pt idx="2">
                  <c:v>13.3</c:v>
                </c:pt>
                <c:pt idx="3">
                  <c:v>15.8</c:v>
                </c:pt>
                <c:pt idx="4">
                  <c:v>17</c:v>
                </c:pt>
                <c:pt idx="5">
                  <c:v>16.8</c:v>
                </c:pt>
                <c:pt idx="6">
                  <c:v>16.4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c:v>
                </c:pt>
                <c:pt idx="1">
                  <c:v>11.2</c:v>
                </c:pt>
                <c:pt idx="2">
                  <c:v>11.9</c:v>
                </c:pt>
                <c:pt idx="3">
                  <c:v>14.4</c:v>
                </c:pt>
                <c:pt idx="4">
                  <c:v>15.7</c:v>
                </c:pt>
                <c:pt idx="5">
                  <c:v>15.5</c:v>
                </c:pt>
                <c:pt idx="6">
                  <c:v>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7.4</c:v>
                </c:pt>
                <c:pt idx="1">
                  <c:v>5.9</c:v>
                </c:pt>
                <c:pt idx="2">
                  <c:v>8</c:v>
                </c:pt>
                <c:pt idx="3">
                  <c:v>10.2</c:v>
                </c:pt>
                <c:pt idx="4">
                  <c:v>11.1</c:v>
                </c:pt>
                <c:pt idx="5">
                  <c:v>11.1</c:v>
                </c:pt>
                <c:pt idx="6">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4.3</c:v>
                </c:pt>
                <c:pt idx="1">
                  <c:v>5.9</c:v>
                </c:pt>
                <c:pt idx="2">
                  <c:v>1.7</c:v>
                </c:pt>
                <c:pt idx="3">
                  <c:v>5.6</c:v>
                </c:pt>
                <c:pt idx="4">
                  <c:v>6.1</c:v>
                </c:pt>
                <c:pt idx="5">
                  <c:v>4.5</c:v>
                </c:pt>
                <c:pt idx="6">
                  <c:v>10.1</c:v>
                </c:pt>
                <c:pt idx="7">
                  <c:v>10.3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5">
                  <c:v>4.6</c:v>
                </c:pt>
                <c:pt idx="6">
                  <c:v>12.2</c:v>
                </c:pt>
                <c:pt idx="7">
                  <c:v>13.7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45</c:v>
                </c:pt>
                <c:pt idx="1">
                  <c:v>46</c:v>
                </c:pt>
                <c:pt idx="2">
                  <c:v>49</c:v>
                </c:pt>
                <c:pt idx="3">
                  <c:v>51</c:v>
                </c:pt>
                <c:pt idx="4">
                  <c:v>49</c:v>
                </c:pt>
                <c:pt idx="5">
                  <c:v>47</c:v>
                </c:pt>
                <c:pt idx="6">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85</c:v>
                </c:pt>
                <c:pt idx="1">
                  <c:v>84</c:v>
                </c:pt>
                <c:pt idx="2">
                  <c:v>82</c:v>
                </c:pt>
                <c:pt idx="3">
                  <c:v>88</c:v>
                </c:pt>
                <c:pt idx="4">
                  <c:v>83</c:v>
                </c:pt>
                <c:pt idx="5">
                  <c:v>81</c:v>
                </c:pt>
                <c:pt idx="6">
                  <c:v>80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37</c:v>
                </c:pt>
                <c:pt idx="1">
                  <c:v>38</c:v>
                </c:pt>
                <c:pt idx="2">
                  <c:v>36</c:v>
                </c:pt>
                <c:pt idx="3">
                  <c:v>41</c:v>
                </c:pt>
                <c:pt idx="4">
                  <c:v>35</c:v>
                </c:pt>
                <c:pt idx="5">
                  <c:v>33</c:v>
                </c:pt>
                <c:pt idx="6">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821</c:v>
                </c:pt>
                <c:pt idx="1">
                  <c:v>926</c:v>
                </c:pt>
                <c:pt idx="2">
                  <c:v>682</c:v>
                </c:pt>
                <c:pt idx="3">
                  <c:v>1077</c:v>
                </c:pt>
                <c:pt idx="4">
                  <c:v>1586</c:v>
                </c:pt>
                <c:pt idx="5">
                  <c:v>1570</c:v>
                </c:pt>
                <c:pt idx="6">
                  <c:v>1331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849</c:v>
                </c:pt>
                <c:pt idx="1">
                  <c:v>695</c:v>
                </c:pt>
                <c:pt idx="2">
                  <c:v>1043</c:v>
                </c:pt>
                <c:pt idx="3">
                  <c:v>1547</c:v>
                </c:pt>
                <c:pt idx="4">
                  <c:v>1829</c:v>
                </c:pt>
                <c:pt idx="5">
                  <c:v>1909</c:v>
                </c:pt>
                <c:pt idx="6">
                  <c:v>1706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26.1</c:v>
                </c:pt>
                <c:pt idx="1">
                  <c:v>27.1</c:v>
                </c:pt>
                <c:pt idx="2">
                  <c:v>28.4</c:v>
                </c:pt>
                <c:pt idx="3">
                  <c:v>36.6</c:v>
                </c:pt>
                <c:pt idx="4">
                  <c:v>40.2</c:v>
                </c:pt>
                <c:pt idx="5">
                  <c:v>38.8</c:v>
                </c:pt>
                <c:pt idx="6">
                  <c:v>34.9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9.8</c:v>
                </c:pt>
                <c:pt idx="1">
                  <c:v>9.8</c:v>
                </c:pt>
                <c:pt idx="2">
                  <c:v>9.8</c:v>
                </c:pt>
                <c:pt idx="3">
                  <c:v>9.8</c:v>
                </c:pt>
                <c:pt idx="4">
                  <c:v>9.8</c:v>
                </c:pt>
                <c:pt idx="5">
                  <c:v>9.8</c:v>
                </c:pt>
                <c:pt idx="6">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45.8</c:v>
                </c:pt>
                <c:pt idx="1">
                  <c:v>37.7</c:v>
                </c:pt>
                <c:pt idx="2">
                  <c:v>56.3</c:v>
                </c:pt>
                <c:pt idx="3">
                  <c:v>71.7</c:v>
                </c:pt>
                <c:pt idx="4">
                  <c:v>65.9</c:v>
                </c:pt>
                <c:pt idx="5">
                  <c:v>59</c:v>
                </c:pt>
                <c:pt idx="6">
                  <c:v>48.1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1.15</c:v>
                </c:pt>
                <c:pt idx="1">
                  <c:v>1.2</c:v>
                </c:pt>
                <c:pt idx="2">
                  <c:v>1.22</c:v>
                </c:pt>
                <c:pt idx="3">
                  <c:v>0.83</c:v>
                </c:pt>
                <c:pt idx="4">
                  <c:v>0.58</c:v>
                </c:pt>
                <c:pt idx="5">
                  <c:v>0.6</c:v>
                </c:pt>
                <c:pt idx="6">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2034</c:v>
                </c:pt>
                <c:pt idx="4">
                  <c:v>2035+</c:v>
                </c:pt>
              </c:strCache>
            </c:strRef>
          </c:cat>
          <c:val>
            <c:numRef>
              <c:f>Hoja1!$B$2:$B$6</c:f>
              <c:numCache>
                <c:formatCode>#,##0</c:formatCode>
                <c:ptCount val="5"/>
                <c:pt idx="0">
                  <c:v>2</c:v>
                </c:pt>
                <c:pt idx="1">
                  <c:v>0</c:v>
                </c:pt>
                <c:pt idx="2">
                  <c:v>0</c:v>
                </c:pt>
                <c:pt idx="3">
                  <c:v>500</c:v>
                </c:pt>
                <c:pt idx="4">
                  <c:v>1906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328</c:v>
                </c:pt>
                <c:pt idx="1">
                  <c:v>338</c:v>
                </c:pt>
                <c:pt idx="2">
                  <c:v>357</c:v>
                </c:pt>
                <c:pt idx="3">
                  <c:v>370</c:v>
                </c:pt>
                <c:pt idx="4">
                  <c:v>392</c:v>
                </c:pt>
                <c:pt idx="5">
                  <c:v>421</c:v>
                </c:pt>
                <c:pt idx="6">
                  <c:v>467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700</c:v>
                </c:pt>
                <c:pt idx="1">
                  <c:v>601</c:v>
                </c:pt>
                <c:pt idx="2">
                  <c:v>695</c:v>
                </c:pt>
                <c:pt idx="3">
                  <c:v>603</c:v>
                </c:pt>
                <c:pt idx="4">
                  <c:v>850</c:v>
                </c:pt>
                <c:pt idx="5">
                  <c:v>1201</c:v>
                </c:pt>
                <c:pt idx="6">
                  <c:v>1045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10</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 Inc.</c:v>
                </c:pt>
                <c:pt idx="2">
                  <c:v>Susan Slavik Williams (familia del fundador)</c:v>
                </c:pt>
              </c:strCache>
            </c:strRef>
          </c:cat>
          <c:val>
            <c:numRef>
              <c:f>Hoja1!$B$2:$B$4</c:f>
              <c:numCache>
                <c:formatCode>0.0"%"</c:formatCode>
                <c:ptCount val="3"/>
                <c:pt idx="0">
                  <c:v>11.71</c:v>
                </c:pt>
                <c:pt idx="1">
                  <c:v>8.1</c:v>
                </c:pt>
                <c:pt idx="2">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17.3</c:v>
                </c:pt>
                <c:pt idx="1">
                  <c:v>4.3</c:v>
                </c:pt>
                <c:pt idx="2">
                  <c:v>21.7</c:v>
                </c:pt>
                <c:pt idx="3">
                  <c:v>22.2</c:v>
                </c:pt>
                <c:pt idx="4">
                  <c:v>22.8</c:v>
                </c:pt>
                <c:pt idx="5">
                  <c:v>28.8</c:v>
                </c:pt>
                <c:pt idx="6">
                  <c:v>8.7</c:v>
                </c:pt>
                <c:pt idx="7">
                  <c:v>50.5</c:v>
                </c:pt>
                <c:pt idx="8">
                  <c:v>28.2</c:v>
                </c:pt>
                <c:pt idx="9">
                  <c:v>-3.4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12.8</c:v>
                </c:pt>
                <c:pt idx="1">
                  <c:v>15.9</c:v>
                </c:pt>
                <c:pt idx="2">
                  <c:v>17</c:v>
                </c:pt>
                <c:pt idx="3">
                  <c:v>12.8</c:v>
                </c:pt>
                <c:pt idx="4">
                  <c:v>15.5</c:v>
                </c:pt>
                <c:pt idx="5">
                  <c:v>18.6</c:v>
                </c:pt>
                <c:pt idx="6">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15.9</c:v>
                </c:pt>
                <c:pt idx="1">
                  <c:v>15.9</c:v>
                </c:pt>
                <c:pt idx="2">
                  <c:v>15.9</c:v>
                </c:pt>
                <c:pt idx="3">
                  <c:v>15.9</c:v>
                </c:pt>
                <c:pt idx="4">
                  <c:v>15.9</c:v>
                </c:pt>
                <c:pt idx="5">
                  <c:v>15.9</c:v>
                </c:pt>
                <c:pt idx="6">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Foundation Building Materials (distribución de materiales de interior)</c:v>
                </c:pt>
                <c:pt idx="1">
                  <c:v>GMS (distribución de placas de yeso y techos)</c:v>
                </c:pt>
                <c:pt idx="2">
                  <c:v>Beacon Roofing Supply (distribución de tejados)</c:v>
                </c:pt>
                <c:pt idx="3">
                  <c:v>SRS Distribution (distribución especializada para profesionales)</c:v>
                </c:pt>
              </c:strCache>
            </c:strRef>
          </c:cat>
          <c:val>
            <c:numRef>
              <c:f>Hoja1!$B$2:$B$5</c:f>
              <c:numCache>
                <c:formatCode>0.0"x"</c:formatCode>
                <c:ptCount val="4"/>
                <c:pt idx="0">
                  <c:v>13.9</c:v>
                </c:pt>
                <c:pt idx="1">
                  <c:v>13</c:v>
                </c:pt>
                <c:pt idx="2">
                  <c:v>12.7</c:v>
                </c:pt>
                <c:pt idx="3">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2026e</c:v>
                </c:pt>
                <c:pt idx="1">
                  <c:v>2027e</c:v>
                </c:pt>
                <c:pt idx="2">
                  <c:v>2028e</c:v>
                </c:pt>
                <c:pt idx="3">
                  <c:v>2029e</c:v>
                </c:pt>
                <c:pt idx="4">
                  <c:v>2030e</c:v>
                </c:pt>
                <c:pt idx="5">
                  <c:v>2031e</c:v>
                </c:pt>
                <c:pt idx="6">
                  <c:v>2032e</c:v>
                </c:pt>
                <c:pt idx="7">
                  <c:v>2033e</c:v>
                </c:pt>
                <c:pt idx="8">
                  <c:v>2034e</c:v>
                </c:pt>
              </c:strCache>
            </c:strRef>
          </c:cat>
          <c:val>
            <c:numRef>
              <c:f>Hoja1!$B$2:$B$10</c:f>
              <c:numCache>
                <c:formatCode>#,##0</c:formatCode>
                <c:ptCount val="9"/>
                <c:pt idx="0">
                  <c:v>1648</c:v>
                </c:pt>
                <c:pt idx="1">
                  <c:v>1861</c:v>
                </c:pt>
                <c:pt idx="2">
                  <c:v>2035</c:v>
                </c:pt>
                <c:pt idx="3">
                  <c:v>2212</c:v>
                </c:pt>
                <c:pt idx="4">
                  <c:v>2374</c:v>
                </c:pt>
                <c:pt idx="5">
                  <c:v>2534</c:v>
                </c:pt>
                <c:pt idx="6">
                  <c:v>2688</c:v>
                </c:pt>
                <c:pt idx="7">
                  <c:v>2837</c:v>
                </c:pt>
                <c:pt idx="8">
                  <c:v>2950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13345</c:v>
                </c:pt>
                <c:pt idx="1">
                  <c:v>19147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1.335,96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358.04</c:v>
                </c:pt>
                <c:pt idx="1">
                  <c:v>571.68</c:v>
                </c:pt>
                <c:pt idx="2">
                  <c:v>650.39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1.335,96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(906,52 – 1.419,91)</c:v>
                </c:pt>
                <c:pt idx="1">
                  <c:v>Precio objetivo de los analistas (1.100,00 – 1.500,00)</c:v>
                </c:pt>
                <c:pt idx="2">
                  <c:v>Comparables: PER NTM (889,22 – 1.311,89)</c:v>
                </c:pt>
                <c:pt idx="3">
                  <c:v>Transacciones precedentes (EV/EBITDA) (759,43 – 862,97)</c:v>
                </c:pt>
                <c:pt idx="4">
                  <c:v>DCF (WACC y g ± 0,5) (503,08 – 661,44)</c:v>
                </c:pt>
                <c:pt idx="5">
                  <c:v>Escenarios (bajista – alcista) (358,04 – 650,39)</c:v>
                </c:pt>
                <c:pt idx="6">
                  <c:v>DCF con la prima implícita del mercado (4,2 %)</c:v>
                </c:pt>
                <c:pt idx="7">
                  <c:v>Precio actual (1.335,96)</c:v>
                </c:pt>
              </c:strCache>
            </c:strRef>
          </c:cat>
          <c:val>
            <c:numRef>
              <c:f>Hoja1!$B$2:$B$9</c:f>
              <c:numCache>
                <c:formatCode>#,##0</c:formatCode>
                <c:ptCount val="8"/>
                <c:pt idx="0">
                  <c:v>906.52</c:v>
                </c:pt>
                <c:pt idx="1">
                  <c:v>1100</c:v>
                </c:pt>
                <c:pt idx="2">
                  <c:v>889.22</c:v>
                </c:pt>
                <c:pt idx="3">
                  <c:v>759.43</c:v>
                </c:pt>
                <c:pt idx="4">
                  <c:v>503.08</c:v>
                </c:pt>
                <c:pt idx="5">
                  <c:v>358.04</c:v>
                </c:pt>
                <c:pt idx="6">
                  <c:v>637.17</c:v>
                </c:pt>
                <c:pt idx="7">
                  <c:v>1329.28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(906,52 – 1.419,91)</c:v>
                </c:pt>
                <c:pt idx="1">
                  <c:v>Precio objetivo de los analistas (1.100,00 – 1.500,00)</c:v>
                </c:pt>
                <c:pt idx="2">
                  <c:v>Comparables: PER NTM (889,22 – 1.311,89)</c:v>
                </c:pt>
                <c:pt idx="3">
                  <c:v>Transacciones precedentes (EV/EBITDA) (759,43 – 862,97)</c:v>
                </c:pt>
                <c:pt idx="4">
                  <c:v>DCF (WACC y g ± 0,5) (503,08 – 661,44)</c:v>
                </c:pt>
                <c:pt idx="5">
                  <c:v>Escenarios (bajista – alcista) (358,04 – 650,39)</c:v>
                </c:pt>
                <c:pt idx="6">
                  <c:v>DCF con la prima implícita del mercado (4,2 %)</c:v>
                </c:pt>
                <c:pt idx="7">
                  <c:v>Precio actual (1.335,96)</c:v>
                </c:pt>
              </c:strCache>
            </c:strRef>
          </c:cat>
          <c:val>
            <c:numRef>
              <c:f>Hoja1!$C$2:$C$9</c:f>
              <c:numCache>
                <c:formatCode>#,##0</c:formatCode>
                <c:ptCount val="8"/>
                <c:pt idx="0">
                  <c:v>513.3900000000001</c:v>
                </c:pt>
                <c:pt idx="1">
                  <c:v>400</c:v>
                </c:pt>
                <c:pt idx="2">
                  <c:v>422.6700000000001</c:v>
                </c:pt>
                <c:pt idx="3">
                  <c:v>103.54000000000008</c:v>
                </c:pt>
                <c:pt idx="4">
                  <c:v>158.36000000000007</c:v>
                </c:pt>
                <c:pt idx="5">
                  <c:v>292.34999999999997</c:v>
                </c:pt>
                <c:pt idx="6">
                  <c:v>135.36</c:v>
                </c:pt>
                <c:pt idx="7">
                  <c:v>13.360000000000127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