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31,05 EUR · mercado 34,28</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+1,0 % · mercado +11,2 %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31,05 EUR</w:t>
      </w:r>
      <w:r>
        <w:t xml:space="preserve"> frente a 31,40 · con la prima implícita del mercado: 34,28 (+9,2 %) · Rentabilidad total esperada a 12 meses </w:t>
      </w:r>
      <w:r>
        <w:rPr>
          <w:b/>
          <w:bCs/>
        </w:rPr>
        <w:t xml:space="preserve">+1,0 %</w:t>
      </w:r>
      <w:r>
        <w:t xml:space="preserve">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31,05 EUR</w:t>
      </w:r>
      <w:r>
        <w:t xml:space="preserve"> (-1,1 % sobre 31,40; rentabilidad total esperada +1,0 %)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 un Comprar solo relativo exige ≥ 5 % con nuestro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(Mantener con las dos reglas de acuerdo y lejos de los umbrales)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Media</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30,18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30,18 y 37,10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37,10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Empeora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Foro de inversores 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inversores particulares celebran la cartera de redes y piden más dividendo [27].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Comentarios de lectores (prensa económica)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Neutro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Dudas sobre el margen de automoción; pocos comentarios con datos [28].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 de inversores B</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Inquietud por los precios de los fabricantes asiáticos en transformadores [29].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redes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la cartera crece y cubre 1,4 años de ventas [5].</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el riesgo principal del informe; el margen aún no lo refleja [26].</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payout ya está en la parte alta de la política [1].</w:t>
            </w:r>
          </w:p>
        </w:tc>
      </w:tr>
    </w:tbl>
    <w:p>
      <w:pPr>
        <w:spacing w:after="160" w:before="0"/>
      </w:pPr>
    </w:p>
    <w:p>
      <w:pPr>
        <w:spacing w:after="100"/>
      </w:pPr>
      <w:r>
        <w:t xml:space="preserve">El tono se ha enfriado desde los resultados del 1S: el optimismo por las redes sigue, pero el hilo más activo de septiembre gira en torno a la competencia asiática [27, 29]. No aporta cifras nuevas; confirma que el mercado ya mira el riesgo de margen que el informe sitúa en primer lugar, de modo que no es un catalizador oculto.</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14 de 16 controles correctos y 1 explicados. Fuentes: 29 (15 primarias); citas distintas en el texto: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«Compañía Ejemplo tras el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Comentarios de lectores a la noticia de resultados del 1S (ficticios)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sobre transformadores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97,3 %</w:t>
      </w:r>
      <w:r>
        <w:t xml:space="preserve"> · Secciones con menos del 60 % de campos cubiertos: </w:t>
      </w:r>
      <w:r>
        <w:rPr>
          <w:b/>
          <w:bCs/>
        </w:rPr>
        <w:t xml:space="preserve">ninguna</w:t>
      </w:r>
      <w:r>
        <w:t xml:space="preserve"> · Generado el 10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2026-10-10T11:08:36.090Z</dcterms:created>
  <dcterms:modified xsi:type="dcterms:W3CDTF">2026-10-10T11:08:36.091Z</dcterms:modified>
</cp:coreProperties>
</file>

<file path=docProps/custom.xml><?xml version="1.0" encoding="utf-8"?>
<Properties xmlns="http://schemas.openxmlformats.org/officeDocument/2006/custom-properties" xmlns:vt="http://schemas.openxmlformats.org/officeDocument/2006/docPropsVTypes"/>
</file>