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Gaztransport &amp; Technigaz SA</w:t>
      </w:r>
    </w:p>
    <w:p>
      <w:pPr>
        <w:spacing w:after="60"/>
        <w:rPr>
          <w:color w:val="52514E"/>
          <w:sz w:val="22"/>
          <w:szCs w:val="22"/>
        </w:rPr>
      </w:pPr>
      <w:r>
        <w:rPr>
          <w:color w:val="52514E"/>
          <w:sz w:val="22"/>
          <w:szCs w:val="22"/>
        </w:rPr>
        <w:t xml:space="preserve">GTT · Euronext París (compartimento A) · ISIN FR0011726835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205,00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193,86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-1,1 % (base +3,9 %)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186,02 EUR · mercado 215,95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7.601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Gaztransport &amp; Technigaz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GTT / FR0011726835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 (compartimento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STOXX Europe 600 (SBF 120, CAC Next 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Equipos y servicios de petróleo y 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Saint-Rémy-lès-Chevreuse (Francia) · 1994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https://www.gtt.fr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205,00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153,80 – 227,00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7.601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7.315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19,2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193,86 EUR</w:t>
      </w:r>
      <w:r>
        <w:t xml:space="preserve"> frente a 205,00 · Rentabilidad a 12 meses </w:t>
      </w:r>
      <w:r>
        <w:rPr>
          <w:b/>
          <w:bCs/>
        </w:rPr>
        <w:t xml:space="preserve">-1,1 % (base +3,9 %)</w:t>
      </w:r>
      <w:r>
        <w:t xml:space="preserve"> · Valor intrínseco 186,02 EUR · con la prima implícita del mercado: 215,95 (+5,3 %) · Alcista / bajista +7,6 % / -25,0 %</w:t>
      </w:r>
    </w:p>
    <w:p>
      <w:pPr>
        <w:spacing w:after="100"/>
      </w:pPr>
      <w:r>
        <w:rPr>
          <w:b/>
        </w:rPr>
        <w:t xml:space="preserve">La recomendación y por qué.</w:t>
      </w:r>
      <w:r>
        <w:t xml:space="preserve"> Mantener, con convicción baja, al cierre del 23-oct (205,00 EUR). El objetivo a 12 meses es de 193,86 EUR (15,8 veces nuestro BPA de 2028 de 12,92 EUR en el base): la rentabilidad ponderada es del −1,1 % y la del base del +3,9 %, con dividendo. El valor intrínseco es de 186,02 EUR (−9,3 %) y el objetivo medio de los 12 analistas, de 234,25, un 12,9 % por encima de nuestro base y aún sin revisar tras el 3T. La razón es el precio: GTT es una de las empresas de más calidad de Europa, pero a 205 el mercado pagaba 17,4 veces un beneficio cercano al pico del ciclo. La convicción es baja porque las reglas discrepan (absoluta Vender, relativa Mantener: con la prima del mercado el valor sería de 215,95); subiría con un precio por debajo de 176,35, donde la regla da Comprar, y el 26-oct la acción cotiza cerca de 178 tras caer un 13 %.</w:t>
      </w:r>
    </w:p>
    <w:p>
      <w:pPr>
        <w:spacing w:after="100"/>
      </w:pPr>
      <w:r>
        <w:rPr>
          <w:b/>
        </w:rPr>
        <w:t xml:space="preserve">Qué ha cambiado desde el 16-oct.</w:t>
      </w:r>
      <w:r>
        <w:t xml:space="preserve"> El 3T vendió 182,8 M (−13,3 %), por debajo de lo esperado, por menos metaneros en construcción, entregas que vuelven a sus fechas y más gasto en servicios; la guía se confirmó y los pedidos de 9M26 suben a 80 [13]. Bajamos 2026 a 757 M y el margen al 67,0 %, y el BPA de 2028 de 13,10 a 12,92. El DCF sube de 181,76 a 193,13 por el WACC (8,21 % frente a 8,55 %: Bund del 3,39 % y beta calculada con la deuda de la empresa), no por las cifras. El objetivo a 12 meses apenas cambia (195,98 → 193,86) y la señal sigue en Mantener al cierre; lo que cambia es el precio.</w:t>
      </w:r>
    </w:p>
    <w:p>
      <w:pPr>
        <w:spacing w:after="100"/>
      </w:pPr>
      <w:r>
        <w:rPr>
          <w:b/>
        </w:rPr>
        <w:t xml:space="preserve">El negocio.</w:t>
      </w:r>
      <w:r>
        <w:t xml:space="preserve"> GTT licencia las membranas de todos los metaneros grandes encargados desde 2015, no necesita capital y gana un margen EBITDA del 67,5 % [1, 2]. ROIC del 177,5 % frente a un WACC del 8,21 %. La sostenibilidad del crecimiento es </w:t>
      </w:r>
      <w:r>
        <w:rPr>
          <w:b/>
        </w:rPr>
        <w:t xml:space="preserve">Sí</w:t>
      </w:r>
      <w:r>
        <w:t xml:space="preserve">: proyectamos un 1,8 % anual, muy por debajo del histórico (15,2 %), sin inversión neta ni ganancia de cuota.</w:t>
      </w:r>
    </w:p>
    <w:p>
      <w:pPr>
        <w:spacing w:after="100"/>
      </w:pPr>
      <w:r>
        <w:rPr>
          <w:b/>
        </w:rPr>
        <w:t xml:space="preserve">Sector y ciclo.</w:t>
      </w:r>
      <w:r>
        <w:t xml:space="preserve"> Los pedidos son cíclicos: 162 metaneros en 2022, 37 en 2025 y 71 en 9M26, empujados por 135 Mtpa de FID en 2025-2026; solo 21 de esos 71 van ligados a ellas, así que quedan buques por encargar [14, 15]. Ormuz sigue incierto, con efecto limitado según la empresa [13].</w:t>
      </w:r>
    </w:p>
    <w:p>
      <w:pPr>
        <w:spacing w:after="100"/>
      </w:pPr>
      <w:r>
        <w:rPr>
          <w:b/>
        </w:rPr>
        <w:t xml:space="preserve">Equipo y gobierno.</w:t>
      </w:r>
      <w:r>
        <w:t xml:space="preserve"> La dirección cumple la guía desde 2022, pero la cúpula cambia por tercera vez en 24 meses: Philippe Berterottière deja la presidencia el 16-nov a Catherine Ronge, independiente desde 2021 [25]. Sin accionista de control; consejo con siete independientes de ocho tras el cambio.</w:t>
      </w:r>
    </w:p>
    <w:p>
      <w:pPr>
        <w:spacing w:after="100"/>
      </w:pPr>
      <w:r>
        <w:rPr>
          <w:b/>
        </w:rPr>
        <w:t xml:space="preserve">Valoración.</w:t>
      </w:r>
      <w:r>
        <w:t xml:space="preserve"> El DCF da 193,13 EUR; el inverso decía a 205 que el precio descontaba un 4,3 % de crecimiento anual hasta 2032 (nuestro base: 3,1 %, con valle en 2030-2031). Los comparables por PER valen 152,66 y las transacciones 206,13. Discrepamos de los analistas en el múltiplo, no en el beneficio de 2028 (un 3,6 % por debajo del suyo).</w:t>
      </w:r>
    </w:p>
    <w:p>
      <w:pPr>
        <w:spacing w:after="100"/>
      </w:pPr>
      <w:r>
        <w:rPr>
          <w:b/>
        </w:rPr>
        <w:t xml:space="preserve">Riesgos y catalizadores.</w:t>
      </w:r>
      <w:r>
        <w:t xml:space="preserve"> El mayor es el fin del ciclo de pedidos: el bajista a 12 meses vale 133,75 EUR con 11,6 veces. Después, sistemas propios de astilleros asiáticos y el régimen fiscal de patentes (−12 % del beneficio). La IA es un riesgo bajo y mixto (±3 %). El foro pasa de confiado a dividido, sin capitulación. Catalizadores: dividendo a cuenta de 4,30 EUR (10-dic) y resultados con guía de 2027 el 24-feb-2027.</w:t>
      </w:r>
    </w:p>
    <w:p>
      <w:pPr>
        <w:spacing w:after="100"/>
      </w:pPr>
      <w:r>
        <w:rPr>
          <w:b/>
        </w:rPr>
        <w:t xml:space="preserve">Qué cambiaría la decisión.</w:t>
      </w:r>
      <w:r>
        <w:t xml:space="preserve"> Compraríamos por debajo de 176,35 EUR y venderíamos por encima de 225,33. Bajaríamos el BPA si 2026 cierra por debajo de 740 M o el margen del 65 %; lo subiríamos si los pedidos de 2026 superan los 90 metaneros.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193,86 EUR</w:t>
      </w:r>
      <w:r>
        <w:t xml:space="preserve"> (rentabilidad -1,1 % (base +3,9 %)) · Valor intrínseco: 186,02 EUR (-9,3 % sobre 205,00) · con la prima implícita del mercado: 215,95 (+5,3 %)</w:t>
      </w:r>
    </w:p>
    <w:p>
      <w:pPr>
        <w:spacing w:after="100"/>
      </w:pPr>
      <w:r>
        <w:t xml:space="preserve">GTT es el licenciador casi único de los sistemas de contención por membrana del GNL: desde 2015 todos los metaneros grandes encargados en el mundo llevan su tecnología. Cobra un canon por buque, no necesita capital y tiene un margen EBITDA del 67,5 % y un ROIC del 177,5 % frente a un WACC del 8,21 % [1, 2]. La cartera vale 1.800 M y los pedidos de metaneros llegan a 71 en 9M26, casi el doble que en todo 2025 [13].</w:t>
      </w:r>
    </w:p>
    <w:p>
      <w:pPr>
        <w:spacing w:after="100"/>
      </w:pPr>
      <w:r>
        <w:t xml:space="preserve">A 205,00 EUR (cierre del 23-oct) el precio descontaba un crecimiento del 4,3 % anual en 2027-2032, por encima del 3,1 % que proyectamos con un valle del ciclo en 2030-2031, y 17,4 veces nuestro BPA de 2027, por encima de su mediana adelantada (14,3 veces). El 3T flojo (−13,3 %) recordó que 2026 es todavía el año del valle de pedidos de 2025, y la acción cae un 13 % el 26-oct.</w:t>
      </w:r>
    </w:p>
    <w:p>
      <w:pPr>
        <w:spacing w:after="100"/>
      </w:pPr>
      <w:r>
        <w:t xml:space="preserve">Es una empresa excelente cuyo precio ya suponía que este ciclo será más largo que los anteriores. A 205 la rentabilidad a 12 meses era nula; tras la caída a unos 178 EUR se acerca a nuestro precio de compra (176,35), que es donde la tesis empieza a pagar el riesgo del ciclo.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 × 11,53 = 133,75 · 15,8x × 12,92 = 204,14 · 17,0x × 13,73 = 233,41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234,25 (nuestro base -12,9 %)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186,02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 -25,0 %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8,2 %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215,95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176,35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176,35 y 225,33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225,33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Un precio por debajo de 176,35 EUR: la regla daría Comprar (ponderada a 12 meses ≥ 15 %, base ≥ 12 % y precio por debajo del valor intrínseco); el 26-oct cotizaba cerca de 178.</w:t>
      </w:r>
    </w:p>
    <w:p>
      <w:pPr>
        <w:pStyle w:val="ListParagraph"/>
        <w:numPr>
          <w:ilvl w:val="0"/>
          <w:numId w:val="2"/>
        </w:numPr>
        <w:spacing w:after="60"/>
      </w:pPr>
      <w:r>
        <w:t xml:space="preserve">Por encima de 225,33 EUR pasaríamos a Vender.</w:t>
      </w:r>
    </w:p>
    <w:p>
      <w:pPr>
        <w:pStyle w:val="ListParagraph"/>
        <w:numPr>
          <w:ilvl w:val="0"/>
          <w:numId w:val="2"/>
        </w:numPr>
        <w:spacing w:after="60"/>
      </w:pPr>
      <w:r>
        <w:t xml:space="preserve">Si los ingresos de 2026 (24-feb-2027) quedan por debajo de 740 M o el margen EBITDA por debajo del 65 %, bajaríamos el BPA de 2028.</w:t>
      </w:r>
    </w:p>
    <w:p>
      <w:pPr>
        <w:pStyle w:val="ListParagraph"/>
        <w:numPr>
          <w:ilvl w:val="0"/>
          <w:numId w:val="2"/>
        </w:numPr>
        <w:spacing w:after="60"/>
      </w:pPr>
      <w:r>
        <w:t xml:space="preserve">Si los pedidos de 2026 superan los 90 metaneros, revisaríamos al alza los ingresos de 2029-2030 y el DCF.</w:t>
      </w:r>
    </w:p>
    <w:p>
      <w:pPr>
        <w:pStyle w:val="ListParagraph"/>
        <w:numPr>
          <w:ilvl w:val="0"/>
          <w:numId w:val="2"/>
        </w:numPr>
        <w:spacing w:after="60"/>
      </w:pPr>
      <w:r>
        <w:t xml:space="preserve">Si un fletador encarga un metanero grande con tecnología no GTT, revisaríamos a la baja el valor terminal.</w:t>
      </w:r>
    </w:p>
    <w:p>
      <w:pPr>
        <w:pStyle w:val="Heading2"/>
      </w:pPr>
      <w:r>
        <w:t xml:space="preserve">Dónde discrepamos del mercado</w:t>
      </w:r>
    </w:p>
    <w:p>
      <w:pPr>
        <w:keepNext/>
        <w:spacing w:after="100"/>
      </w:pPr>
      <w:r>
        <w:rPr>
          <w:b/>
          <w:bCs/>
        </w:rPr>
        <w:t xml:space="preserve">Lo que descuenta el precio.</w:t>
      </w:r>
    </w:p>
    <w:p>
      <w:pPr>
        <w:spacing w:after="100"/>
      </w:pPr>
      <w:r>
        <w:t xml:space="preserve">Hasta el 23-oct, un crecimiento del 4,3 % anual hasta 2032 sin valle de pedidos, por la ola de licuefacción en EE. UU. y Qatar. Los analistas son más optimistas: objetivo medio de 234,25 EUR, unas 17,5 veces el BPA de 2028, aún sin revisar tras el 3T.</w:t>
      </w:r>
    </w:p>
    <w:p>
      <w:pPr>
        <w:keepNext/>
        <w:spacing w:after="100"/>
      </w:pPr>
      <w:r>
        <w:rPr>
          <w:b/>
          <w:bCs/>
        </w:rPr>
        <w:t xml:space="preserve">Lo que creemos nosotros.</w:t>
      </w:r>
    </w:p>
    <w:p>
      <w:pPr>
        <w:spacing w:after="100"/>
      </w:pPr>
      <w:r>
        <w:t xml:space="preserve">Coincidimos en el beneficio hasta 2028 (BPA de 12,92 frente a 13,40 del consenso), pero creemos que el mercado no paga el pico del ciclo al múltiplo de hoy: el PER adelantado tenderá hacia 14-16 veces. Objetivo a 12 meses de 193,86 EUR.</w:t>
      </w:r>
    </w:p>
    <w:p>
      <w:pPr>
        <w:keepNext/>
        <w:spacing w:after="100"/>
      </w:pPr>
      <w:r>
        <w:rPr>
          <w:b/>
          <w:bCs/>
        </w:rPr>
        <w:t xml:space="preserve">Por qué podemos tener razón.</w:t>
      </w:r>
    </w:p>
    <w:p>
      <w:pPr>
        <w:spacing w:after="100"/>
      </w:pPr>
      <w:r>
        <w:t xml:space="preserve">La historia del PER de GTT es cíclica e inversa al beneficio (23,8 veces en el valle de 2021, 11,6 en el pico de 2024) y la cartera asegurada aún cae a 295 M para 2029. No tenemos una visión distinta del negocio: la diferencia es de múltiplo y de duración del ciclo, y la caída del 26-oct ya cierra buena parte de ella.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0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de hecho</w:t>
      </w:r>
      <w:r>
        <w:t xml:space="preserve">: el 100 % de los metaneros grandes encargados desde 2015 llevan tecnología de GTT [1].</w:t>
      </w:r>
    </w:p>
    <w:p>
      <w:pPr>
        <w:pStyle w:val="ListParagraph"/>
        <w:numPr>
          <w:ilvl w:val="0"/>
          <w:numId w:val="2"/>
        </w:numPr>
        <w:spacing w:after="60"/>
      </w:pPr>
      <w:r>
        <w:rPr>
          <w:b/>
        </w:rPr>
        <w:t xml:space="preserve">Calidad excepcional</w:t>
      </w:r>
      <w:r>
        <w:t xml:space="preserve">: ROIC del 177,5 % frente a un WACC del 8,21 % y margen EBITDA del 67,5 % [2].</w:t>
      </w:r>
    </w:p>
    <w:p>
      <w:pPr>
        <w:pStyle w:val="ListParagraph"/>
        <w:numPr>
          <w:ilvl w:val="0"/>
          <w:numId w:val="2"/>
        </w:numPr>
        <w:spacing w:after="60"/>
      </w:pPr>
      <w:r>
        <w:rPr>
          <w:b/>
        </w:rPr>
        <w:t xml:space="preserve">Pedidos en máximos de ciclo</w:t>
      </w:r>
      <w:r>
        <w:t xml:space="preserve">: 80 pedidos en 9M26 (71 metaneros) y cartera de 1.800 M [13].</w:t>
      </w:r>
    </w:p>
    <w:p>
      <w:pPr>
        <w:pStyle w:val="ListParagraph"/>
        <w:numPr>
          <w:ilvl w:val="0"/>
          <w:numId w:val="2"/>
        </w:numPr>
        <w:spacing w:after="60"/>
      </w:pPr>
      <w:r>
        <w:rPr>
          <w:b/>
        </w:rPr>
        <w:t xml:space="preserve">Dividendo</w:t>
      </w:r>
      <w:r>
        <w:t xml:space="preserve">: reparto del 80 % del beneficio, rentabilidad del 4,4 % al cierre del 23-oct, y caja neta de 277 M [2, 3].</w:t>
      </w:r>
    </w:p>
    <w:p>
      <w:pPr>
        <w:pStyle w:val="ListParagraph"/>
        <w:numPr>
          <w:ilvl w:val="0"/>
          <w:numId w:val="2"/>
        </w:numPr>
        <w:spacing w:after="60"/>
      </w:pPr>
      <w:r>
        <w:rPr>
          <w:b/>
        </w:rPr>
        <w:t xml:space="preserve">Guía cumplida</w:t>
      </w:r>
      <w:r>
        <w:t xml:space="preserve">: cumplida o superada en 2022-2025 y confirmada para 2026 el 23-oct [4, 13].</w:t>
      </w:r>
    </w:p>
    <w:p>
      <w:pPr>
        <w:pStyle w:val="Heading2"/>
      </w:pPr>
      <w:r>
        <w:t xml:space="preserve">En contra</w:t>
      </w:r>
    </w:p>
    <w:p>
      <w:pPr>
        <w:pStyle w:val="ListParagraph"/>
        <w:numPr>
          <w:ilvl w:val="0"/>
          <w:numId w:val="2"/>
        </w:numPr>
        <w:spacing w:after="60"/>
      </w:pPr>
      <w:r>
        <w:rPr>
          <w:b/>
        </w:rPr>
        <w:t xml:space="preserve">Ciclo</w:t>
      </w:r>
      <w:r>
        <w:t xml:space="preserve">: el 3T26 cayó un 13,3 % y la cartera asegurada baja a 295 M para 2029; el negocio depende de que sigan los pedidos [3, 13].</w:t>
      </w:r>
    </w:p>
    <w:p>
      <w:pPr>
        <w:pStyle w:val="ListParagraph"/>
        <w:numPr>
          <w:ilvl w:val="0"/>
          <w:numId w:val="2"/>
        </w:numPr>
        <w:spacing w:after="60"/>
      </w:pPr>
      <w:r>
        <w:rPr>
          <w:b/>
        </w:rPr>
        <w:t xml:space="preserve">Precio exigente al cierre del 23-oct</w:t>
      </w:r>
      <w:r>
        <w:t xml:space="preserve">: el DCF inverso pedía un 4,3 % anual frente al 3,1 % que proyectamos; valor intrínseco de 186,02 EUR (−9,3 %).</w:t>
      </w:r>
    </w:p>
    <w:p>
      <w:pPr>
        <w:pStyle w:val="ListParagraph"/>
        <w:numPr>
          <w:ilvl w:val="0"/>
          <w:numId w:val="2"/>
        </w:numPr>
        <w:spacing w:after="60"/>
      </w:pPr>
      <w:r>
        <w:rPr>
          <w:b/>
        </w:rPr>
        <w:t xml:space="preserve">Múltiplo en lo alto</w:t>
      </w:r>
      <w:r>
        <w:t xml:space="preserve">: 17,4 veces el BPA de 2027 con el beneficio cerca de máximos, frente a 11,6-14,3 veces en 2024-2025.</w:t>
      </w:r>
    </w:p>
    <w:p>
      <w:pPr>
        <w:pStyle w:val="ListParagraph"/>
        <w:numPr>
          <w:ilvl w:val="0"/>
          <w:numId w:val="2"/>
        </w:numPr>
        <w:spacing w:after="60"/>
      </w:pPr>
      <w:r>
        <w:rPr>
          <w:b/>
        </w:rPr>
        <w:t xml:space="preserve">Concentración</w:t>
      </w:r>
      <w:r>
        <w:t xml:space="preserve">: tres astilleros coreanos y un solo producto; China, el 25 % de los ingresos, con riesgo de copia [1].</w:t>
      </w:r>
    </w:p>
    <w:p>
      <w:pPr>
        <w:pStyle w:val="ListParagraph"/>
        <w:numPr>
          <w:ilvl w:val="0"/>
          <w:numId w:val="2"/>
        </w:numPr>
        <w:spacing w:after="60"/>
      </w:pPr>
      <w:r>
        <w:rPr>
          <w:b/>
        </w:rPr>
        <w:t xml:space="preserve">Cúpula en rotación</w:t>
      </w:r>
      <w:r>
        <w:t xml:space="preserve">: tres cambios de presidente o consejero delegado en 24 meses y un plan estratégico sin cifras [1, 20, 25].</w:t>
      </w:r>
    </w:p>
    <w:p>
      <w:pPr>
        <w:pStyle w:val="Heading2"/>
      </w:pPr>
      <w:r>
        <w:t xml:space="preserve">Qué tiene que pasar para que la tesis funcione</w:t>
      </w:r>
    </w:p>
    <w:p>
      <w:pPr>
        <w:spacing w:after="100"/>
      </w:pPr>
      <w:r>
        <w:t xml:space="preserve">La tesis depende de que los pedidos de metaneros se mantengan por encima de 50-60 al año en 2027-2028 para que no haya valle en 2030, de que el gasto en servicios no baje el margen por debajo del 65 % y de que ningún fletador acepte un sistema de contención no GTT. La señal de que no se cumple sería unos ingresos de 2026 por debajo de 740 M, un año con menos de 40 pedidos, una cartera por debajo de 1.500 M o una compra grande fuera del núcleo.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metaneros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(9M26); 37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 en un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2029-2031.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la cartera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M (sep-2026)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570,1 M en 9M26; guía 740-780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740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Credibilidad de la guía y de la base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los servicios; base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Pedidos con tecnología no GTT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Ninguno en metaneros grandes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Uno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monopolio.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13,5x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 / 17,2x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GTT nace en 1994 de la fusión de Gaztransport (tecnología NO96) y Technigaz (tecnología Mark III), dos ingenierías francesas de los años sesenta, con Gaz de France (40 %), Total (30 %) y Bouygues Offshore (30 %) como accionistas [1]. Desde entonces vive de licenciar sus membranas criogénicas a los astilleros. Salió a bolsa en febrero de 2014; Engie, heredera de Gaz de France, bajó del 10 % en diciembre de 2022 y vendió el resto en mayo de 2025, y hoy el capital flota casi entero [1]. Desde 2015 todos los metaneros de más de 100.000 m3 encargados en el mundo usan su tecnología [1]. La diversificación ha ido por dos vías: soluciones digitales para la flota (Ascenz, Marorka, VPS y Danelec, hoy GTT Marine) e hidrógeno (Elogen, comprada en 2020 y reducida a I+D en 2025)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Gaztransport y Technigaz en GTT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Mark III Flex, la tecnología más vendida hoy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Euronext París (compartimento 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ese año, el 100 % de los metaneros grandes encargados usan tecnología de GTT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Areva H2Gen (Elogen), Marorka y OSE Engineering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pedidos: 162 metaneros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KFTC coreana gana en el Supremo: los astilleros coreanos pueden pedir separar licencia y asistencia técnica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Danelec (194 M EUR), reestructuración de Elogen y salida definitiva de Engie del capital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François Michel, consejero delegado desde el 5-ene; 71 metaneros encargados en 9M y primeros de tres tanques; Philippe Berterottière deja la presidencia (16-nov) a Catherine Ronge [3, 13]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GTT es una ingeniería francesa que diseña los sistemas de contención por membrana criogénica (Mark III y NO96) en los que se transporta y almacena el gas natural licuado a −163 °C. No fabrica: licencia su tecnología a los astilleros que construyen metaneros, etaneros, unidades flotantes de regasificación (FSRU) y licuefacción (FLNG), tanques en tierra y buques que usan GNL como combustible, y les presta asistencia técnica durante la construcción [1]. Los cánones de nuevas construcciones fueron el 92 % de los ingresos de 2025 (739 M de 803 M) y el 89 % de los de 9M26; los servicios a la flota y GTT Marine (soluciones digitales, con Danelec desde agosto de 2025), el 11 % de 9M26 (63,8 M); y el hidrógeno (Elogen), reducido a I+D, casi nada [1, 2, 13]. Desde 2026 se organiza en dos divisiones, Energy y Marine [14]. Tiene 862 empleados, casi todos ingenieros, en Saint-Rémy-lès-Chevreuse [30].</w:t>
      </w:r>
    </w:p>
    <w:p>
      <w:pPr>
        <w:pStyle w:val="Heading2"/>
      </w:pPr>
      <w:r>
        <w:t xml:space="preserve">Cómo gana dinero</w:t>
      </w:r>
    </w:p>
    <w:p>
      <w:pPr>
        <w:spacing w:after="100"/>
      </w:pPr>
      <w:r>
        <w:t xml:space="preserve">Cobra un canon por buque (la empresa no publica el importe unitario) y lo factura por hitos de la construcción (10 % al pedido, 20 % al corte del acero, 20 % en la quilla, 20 % en la botadura y 30 % en la entrega); el ingreso se reconoce según avanza la obra, en unos 18 meses [14]. Por eso la cartera da visibilidad: 299 unidades y unos 1.800 M de ingresos asegurados a 30-sep-2026; a junio, 300 M para el 2S26, 655 M para 2027, 603 M para 2028 y 295 M después [3, 13, 14]. Si un astillero retrasa una entrega, el ingreso se desplaza en el tiempo, como en el 3T26 [13]. Los costes son casi fijos (ingenieros e I+D), y el margen EBITDA sube con el volumen: del 52 % en 2022 al 67,5 % en 2025 [2, 6]. No necesita capital: el capex fue de 40 M en 2025 y los astilleros pagan por adelantado.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de contención (cánones de nuevas construcciones)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y soluciones marinas y digitales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Electrolizadores (Elogen)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de contención (cánones de nuevas construcciones)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y soluciones marinas y digitales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Electrolizadores (Elogen)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directos son una docena de astilleros: los coreanos (Samsung Heavy, Hanwha Ocean y HD Hyundai) suponen el 68 % de los ingresos y los chinos (Hudong-Zhonghua, Jiangnan, Dalian y los nuevos licenciatarios) el 25 % [1]. Pero quien elige la tecnología es el armador o el fletador (Qatar Energy, Shell, TotalEnergies, Venture Global), que exige un sistema probado: desde 2015 todos los metaneros grandes encargados en el mundo llevan membranas de GTT [1, 16, 19]. El poder de precios es alto, aunque la empresa no publica el canon por buque, y la autoridad de competencia coreana (KFTC) obligó en 2020 a ofrecer la asistencia técnica por separado [1]. La concentración es el riesgo: tres astilleros coreanos dominan la facturación.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metaneros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(2025); 71 en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en 2025; 9M26 ya ×1,9 todo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pedidos en total en 9M26 frente a 27 en 9M25 [13,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del negocio principal (unidades, sin GNL como combustible)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(dic-2025)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266 metaneros, 21 etaneros, 3 FSRU, 4 FLNG y 5 tanques en tierra; 306 en junio [3,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la cartera del negocio principal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M EUR (dic-2025)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M EUR (sep-2026)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a junio: 300 M en el 2S26, 655 M en 2027, 603 M en 2028 y 295 M en 2029 y después [3,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 (2025); 68,1 %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sobre una base de costes casi fija; la guía de 2026 implica un 64-70 % [2, 3,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GTT Marine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M EUR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M EUR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Danelec desde el 1-ago-2025; el 8 % de los ingresos del grupo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buques propulsados por GNL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(dic-2025)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pedido nuevo en 9M26: competencia de tanques tipo C chinos [2, 13]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sistemas de contención de gas licuado para nuevas construcciones: sobre todo metaneros de gran tamaño, y además etaneros, unidades flotantes (FSRU y FLNG), tanques en tierra y buques que usan GNL como combustible [1]. Se mide en pedidos de unidades al año, porque GTT cobra un canon por cada buque (en torno al 5 % de su precio, estimación propia a partir de los ingresos por buque) y su cuota en metaneros grandes es del 100 % desde 2015 [1]. La demanda final es el comercio de GNL: 431 Mtpa de producción en 2025 y un crecimiento del 5 % anual previsto para 2026-2035 en los escenarios centrales de Shell y Wood Mackenzie [12]. La serie usa los pedidos de metaneros a GTT, que coinciden con los del mercado (Clarksons y GTT)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metaneros encargados en 2025 (575 entre 2016 y 2025) y 71 en los nueve primeros meses de 2026 [1, 13]; producción mundial de GNL de 431 Mtpa en 2025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etaneros encargados al año (unidad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Decisiones de inversión en licuefacción (FID)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84 Mtpa decididas en 2025 (récord) y 51 Mtpa en 9M26 (tercer mejor año), 21 de ellas en EE. UU.; de los 71 metaneros de 2026 solo 21 van ligados a esas FID, así que la mayoría de los buques de esos proyectos está por encargar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demanda de GNL en Asia y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del 5 % anual en 2026-2035; el 80 % del aumento, en Asia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 la flota (metaneros de vapor antiguos)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GTT estima unos 550 metaneros encargados en 2026-2035 (antes, 450 o más) [2,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construcción y fletes spot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Fletes spot por debajo de 40.000 USD/día en 2025 y precios de construcción altos frenaron los pedidos del 1S25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(Oriente Medio, China-EE.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cerró temporalmente plantas en Qatar y Emiratos (dos trenes de 13 Mtpa dañados) y el paso por Ormuz sigue incierto; los fletes spot bajaron y algunas entregas vuelven a sus fechas contractuales, con efecto limitado según la empresa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de los astilleros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Huecos de metaneros de unos 55 al año en 2020 a más de 100 previstos en 2028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100 % en metaneros grandes desde 2015; las alternativas (Moss, SPB, KC-1) no se han vuelto a encargar para metaneros estándar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astilleros suman el 80 % de las ventas y el mayor, el 21 %; los coreanos ganaron a GTT ante la KFTC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de licencia: GTT no fabrica; las compras son el 2,5 % de las ventas (20,2 M en 2025)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Astilleros coreanos y chinos (Samsung, Hyundai, Hanwha, Jiangnan) desarrollan sistemas propios; sin pedidos de metaneros grandes hasta hoy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Gasoductos, renovables y, a largo plazo, un pico de la demanda de gas; en GNL como combustible ya ganan los tanques tipo C [1, 2]</w:t>
            </w:r>
          </w:p>
        </w:tc>
      </w:tr>
    </w:tbl>
    <w:p>
      <w:pPr>
        <w:spacing w:after="160" w:before="0"/>
      </w:pPr>
    </w:p>
    <w:p>
      <w:pPr>
        <w:pStyle w:val="Heading2"/>
      </w:pPr>
      <w:r>
        <w:t xml:space="preserve">Ciclo</w:t>
      </w:r>
    </w:p>
    <w:p>
      <w:pPr>
        <w:spacing w:after="100"/>
      </w:pPr>
      <w:r>
        <w:t xml:space="preserve">Los pedidos de metaneros son muy cíclicos: 5 en 2016, 162 en 2022 y 37 en 2025 [1]. Tras el bache del 1S25 (aranceles, precio de construcción y fletes bajos), los pedidos repuntaron desde el 4T25 (18) y 9M26 suma 71, empujados por las 84 Mtpa de FID de 2025 y las 51 de 2026 [2, 13, 14]. En 2008-09 los pedidos cayeron por la crisis y el gas de esquisto; en 2020 bajaron a 41 sin dañar los ingresos, que reflejan pedidos de 2-3 años antes; en 2022 hubo récord por la crisis energética europea [1]. Los ingresos de 9M26 bajan un 4,9 % (el 3T, un 13,3 %) por el valle de pedidos de 2025 y vuelven a crecer con la cartera en 2027-2028 [3, 13].</w:t>
      </w:r>
    </w:p>
    <w:p>
      <w:pPr>
        <w:pStyle w:val="Heading2"/>
      </w:pPr>
      <w:r>
        <w:t xml:space="preserve">Regulación</w:t>
      </w:r>
    </w:p>
    <w:p>
      <w:pPr>
        <w:spacing w:after="100"/>
      </w:pPr>
      <w:r>
        <w:t xml:space="preserve">Las normas de la OMI sobre emisiones (EEXI, CII) y el sistema europeo de comercio de emisiones (EU ETS, con el transporte marítimo desde 2024, y FuelEU Maritime desde 2025) favorecen buques más eficientes y la venta de soluciones digitales de GTT Marine [1]. Las normas de conexión eléctrica en puerto (cold ironing) impulsan el diseño de tanques de 1 barg [2]. En competencia, la KFTC coreana obliga a separar licencia y asistencia si un astillero lo pide (firme desde abril de 2023) [1]. En Francia, GTT tributa a un tipo reducido sobre los cánones de patentes (régimen de propiedad industrial), que podría cambiar [1].</w:t>
      </w:r>
    </w:p>
    <w:p>
      <w:pPr>
        <w:pStyle w:val="Heading2"/>
      </w:pPr>
      <w:r>
        <w:t xml:space="preserve">Tendencias y disrupción</w:t>
      </w:r>
    </w:p>
    <w:p>
      <w:pPr>
        <w:spacing w:after="100"/>
      </w:pPr>
      <w:r>
        <w:t xml:space="preserve">Metaneros más grandes y eficientes (tres tanques, 177.000 m3, un 6 % menos de evaporación; 200.000 m3 con Mark III Flex+) y unidades flotantes de licuefacción, donde GTT ganó el primer FLNG de EE. UU. (Delfin) [3, 13]. En tierra, cinco tanques encargados en 2026, los mayores del mundo con GST (240.000 m3 de GNL en China) [13]. GTT lanza servicios a la flota (LNG Performance Centre, ingresos relevantes desde finales de 2027 o 2028) [13, 14]. Los astilleros chinos ganan peso: el 25 % de los ingresos de GTT en 2025 frente al 21 % en 2024 [1]. Riesgo tecnológico: Samsung, Hyundai, Hanwha y Jiangnan tienen sistemas propios aprobados, y en GNL como combustible los tanques tipo C chinos han restado cuota (ingresos −36 % en 2025) [1, 2]. A largo plazo, el amoniaco y el etano abren mercados donde las membranas aún no dominan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sistemas de contención de metaneros grandes (100 % de los encargados desde 2015 y el 86 % de la flota mundial) [1]; en GNL como combustible compite con tanques tipo C y pierde cuota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Moss Maritime (grupo Saipem)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Tanques esféricos; el 14 % de la flota, sin pedidos de metaneros desde 2015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KC LNG Tech (Kogas y astilleros coreanos), KC-1 y KC-2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metaneros KC-1 de 2018 tuvieron que repararse y no operan; KC-2 solo en buques de bunkering pequeños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IHI (SPB, tipo B prismático)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7013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Usado en un FLNG de ENI en el astillero chino Wison (2025)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Heavy Industries, Hyundai Heavy Industries, Hanwha Ocean y Jiangnan (sistemas propios)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 y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a la vez clientes y competidores potenciales con tecnologías aprobadas y sin pedidos de metaneros estándar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Wärtsilä</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WRT1V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 con GTT Marine en soluciones digitales y de eficiencia para buques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Navieras, fletadores, sociedades de clasificación y terminales están acostumbrados a sus membranas: el 86 % de la flota las usa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metanero cuesta más de 200 M USD y su contenedor no admite fallos: los KC-1 coreanos no han vuelto a operar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 patentes en 2025, 1.º entre las medianas empresas francesas del INPI; 60 años de historial operativo [3,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metanero Moss cuesta un 10-15 % más que uno con membrana GTT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unos 50-60 buques al año: no caben dos licenciadores con su base de I+D (47,6 M en 2025) [1]</w:t>
            </w:r>
          </w:p>
        </w:tc>
      </w:tr>
    </w:tbl>
    <w:p>
      <w:pPr>
        <w:spacing w:after="160" w:before="0"/>
      </w:pPr>
    </w:p>
    <w:p>
      <w:pPr>
        <w:pStyle w:val="Heading2"/>
      </w:pPr>
      <w:r>
        <w:t xml:space="preserve">Amenazas</w:t>
      </w:r>
    </w:p>
    <w:p>
      <w:pPr>
        <w:spacing w:after="100"/>
      </w:pPr>
      <w:r>
        <w:t xml:space="preserve">La amenaza principal es que un astillero coreano o chino imponga su propio sistema con el apoyo de su gobierno: Samsung, Hyundai, Hanwha y Jiangnan tienen sistemas aprobados, y China (25 % de los ingresos) añade riesgo de copia y de tensiones con EE. UU. [1]. Probabilidad baja a cinco años, porque las navieras y los fletadores eligen la tecnología y el fiasco del KC-1 pesa; mayor a diez [1]. Segunda amenaza: el precedente de la KFTC, que podría repetirse en otras jurisdicciones y presionar el canon [1]. En GNL como combustible la erosión ya ocurre: −36 % de ingresos en 2025 por los tanques tipo C chinos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2020-2025: ingresos </w:t>
      </w:r>
      <w:r>
        <w:rPr>
          <w:b/>
          <w:bCs/>
        </w:rPr>
        <w:t xml:space="preserve">15,2 %</w:t>
      </w:r>
      <w:r>
        <w:t xml:space="preserve">, EBITDA </w:t>
      </w:r>
      <w:r>
        <w:rPr>
          <w:b/>
          <w:bCs/>
        </w:rPr>
        <w:t xml:space="preserve">17,4 %</w:t>
      </w:r>
      <w:r>
        <w:t xml:space="preserve">, BPA </w:t>
      </w:r>
      <w:r>
        <w:rPr>
          <w:b/>
          <w:bCs/>
        </w:rPr>
        <w:t xml:space="preserve">15,8 %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307 M en 2022 a 803 M en 2025 (+38 % anual en tres años) por los pedidos récord de metaneros de 2022 (162 buques) y 2023-2024 (73 y 72), que se facturan con dos o tres años de retraso [1, 2, 4, 5]. En 2026 caen (guía de 740-780 M) porque 2025 solo trajo 37 pedidos: 9M26 sumó 570,1 M (−4,9 %) y el 3T solo, 182,8 M (−13,3 %) [13]. El repunte de pedidos (71 metaneros en 9M26) se verá en 2027-2028 [13]. El margen EBITDA recurrente subió del 52,4 % en 2022 al 67,5 % en 2025 y al 68,1 % en el 1S26, con una base de costes casi fija; la dirección avisa de más gasto en servicios y en la oferta digital [3, 13]. El beneficio publicado de 2025 (413,6 M) lleva 48,7 M de gastos no corrientes por Elogen; 2023 y 2024 incluyen 8,9 y 21,0 M de ingresos no corrientes (reversión de un deterioro de una indemnización por uso no autorizado de patentes) [1, 4]. El motor los devuelve al EBITDA. El tipo impositivo efectivo es bajo (13,9 % en 2025, 15,2 % en el 1S26) por el régimen francés de rentas de patentes [1, 3].</w:t>
      </w:r>
    </w:p>
    <w:p>
      <w:pPr>
        <w:pStyle w:val="Heading2"/>
      </w:pPr>
      <w:r>
        <w:t xml:space="preserve">Ajustes y partidas no recurrentes</w:t>
      </w:r>
    </w:p>
    <w:p>
      <w:pPr>
        <w:spacing w:after="100"/>
      </w:pPr>
      <w:r>
        <w:t xml:space="preserve">GTT publica EBITDA y beneficio neto sin un BPA «ajustado»; usamos el BPA publicado para el objetivo a 12 meses y para su historia, en la misma base, con la salvedad de 2025 (11,12 EUR), que sin Elogen habría sido de unos 12,4 EUR. El EBITDA recurrente de la empresa excluye el resultado no corriente: 541,8 M en 2025 frente a 493,1 M publicados con Elogen [2]. La compra de Danelec (194 M, agosto de 2025) añade unos 25 M de ingresos anuales (GTT Marine: 47,4 M en 9M26, +138 %) y amortización de los activos de la compra [3, 13]. El LTM sigue siendo el de junio de 2026: la actividad del 3T no da beneficio. El régimen de patentes explica casi toda la diferencia entre el tipo efectivo y el general del 25,8 %; un cambio de ese régimen es un riesgo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actividad de 9M26 (23-oct-2026) la dirección destacó lo comercial: 80 pedidos (71 metaneros) frente a 27 en 9M25, la segunda mejor cifra de su historia, y una cartera de 1.800 M frente a 1.600 M a final de 2025 [13, 14]. Los ingresos del 3T, 182,8 M (−13,3 %), quedaron por debajo de los unos 190 M esperados [13, 15]. Dio tres causas: menos metaneros en construcción por el valle de pedidos de 2025, el fin de las entregas adelantadas (los astilleros vuelven a las fechas del contrato, menos del 2 % de los ingresos de 9M) y más gasto en los nuevos servicios (LNG Performance Centre) y en lo digital [13]. Confirmó la guía de 2026 (740-780 M y EBITDA de 490-530 M) «pese a un contexto geopolítico incierto», sin estrecharla, y no quiso adelantar el 4T ante la pregunta de Oddo BHF [13, 15]. Frente al 1S (28-jul), el discurso pasó de «nuevo ciclo» a defender la demanda: Bank of America y Morgan Stanley preguntaron por la desaceleración y los retrasos, y el consejero delegado respondió que no ve ninguna y que el efecto es temporal [15]. Berenberg supo que solo 21 de los 71 metaneros van ligados a las FID de 2025-2026, así que la mayoría está por encargar [15]. Ese día se anunció además que Philippe Berterottière deja la presidencia el 16-nov a Catherine Ronge [25]. Próxima cita: resultados de 2026 el 24-feb-2027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Danelec, consolidada desde el 1-ago-2025 (194,1 M EUR en caja): entra entera en el balance y cinco meses en la cuenta (16,1 M de ingresos)).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GTT trabaja con circulante negativo o casi nulo: factura los cánones por hitos de construcción (corte del acero, quilla, botadura, entrega), y cuando entran muchos pedidos la facturación va por delante del ingreso reconocido (pasivos por contrato de 219,2 M en 2024) [1]. Al acercarse las entregas de los pedidos récord de 2022-2023 esos pasivos bajan (180,1 M en 2025) y la cuenta de clientes con activos por contrato sube: es el mismo ciclo, no un deterioro del cobro [1]. La deuda apareció en 2025 por primera vez desde la salida a bolsa: un préstamo de 120 M para comprar Danelec, del que quedan 90 M a 30-jun-2026 [2, 3]. Los años 2020-2023 se presentan sin el desglose de activos y pasivos por contrato, que el XBRL no publica por separado [9].</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1.313</w:t>
      </w:r>
      <w:r>
        <w:t xml:space="preserve">, conversión </w:t>
      </w:r>
      <w:r>
        <w:rPr>
          <w:b/>
          <w:bCs/>
        </w:rPr>
        <w:t xml:space="preserve">92 %</w:t>
      </w:r>
      <w:r>
        <w:t xml:space="preserve"> del beneficio neto; adquisiciones 220, dividendos 1.040, recompras 3.</w:t>
      </w:r>
    </w:p>
    <w:p>
      <w:pPr>
        <w:spacing w:after="100"/>
      </w:pPr>
      <w:r>
        <w:t xml:space="preserve">La conversión de beneficio en caja es alta y depende del calendario de facturación: el flujo operativo superó al beneficio neto en 2021 (212,9 frente a 134,1 M) por el cobro anticipado de los pedidos de 2021 y quedó por debajo en 2022 (138,9 frente a 128,3 M, con el circulante absorbiendo caja) [6, 7]. En 2025, 423,2 M de flujo operativo con 413,6 M de beneficio [2]. El capex es pequeño (40,3 M en 2025, 5 % de las ventas) y en 2023-2024 subió por la reforma de la sede y la gigafactoría de Elogen, ya parada; en 2024 se presenta neto de 17,3 M de subvenciones [2, 4]. Estimación propia: el capex de mantenimiento ronda las amortizaciones (unos 20-30 M). Los intereses cobrados por la caja (11,3 M en 2025) se clasifican en financiación y no entran en el FCF del informe [2].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Audit y Cailliau Dedouit et Associés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auditadas por EY y Cailliau Dedouit con opinión favorable [1]. Lo que más conviene vigilar es el reconocimiento de ingresos por grado de avance: depende del calendario de construcción que comunican los astilleros, y un retraso en las entregas desplaza ingresos de un trimestre a otro sin cambiar el total, como pasó en el 3T26 [13]. Los activos por contrato (59,1 M) y los pasivos por contrato (180,1 M) recogen ese desfase [1]. Los indicadores: Altman Z de 13,58 (zona segura, sin deuda neta); Piotroski de 5 sobre 9 en 2025, con fallos en ROA, endeudamiento, liquidez y rotación por la compra de Danelec con deuda y el cargo de Elogen, no por deterioro del negocio; Beneish de −1,73, no interpretable en 2025 por el cambio de perímetro (el índice de calidad del activo, 2,99, es el fondo de comercio de Danelec). Los no recurrentes se explican uno a uno y la conversión del beneficio en caja es alta (flujo operativo de 423 M frente a 414 M de beneficio en 2025)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de 5 sobre 9</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la compra de Danelec con un préstamo de 120 M y del cargo de Elogen; el margen recurrente sube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por encima de −1,78</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índice de calidad del activo salta por el fondo de comercio de Danelec (de 19 a 105 M); no es un indicio de manipulación.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por grado de avance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Dependen del calendario de los astilleros: en el 3T26 la vuelta a las fechas contractuales restó menos del 2 % de los ingresos de 9M [1, 13].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105 M en 2025 (el 24 % del capital invertido medio); ha subido más de un 5 % en 2 de 5 años: compra única grande. ROIC publicado 177,5 %; sin fondo de comercio, 235,0 %.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173,6 % · </w:t>
      </w:r>
      <w:r>
        <w:rPr>
          <w:b/>
          <w:bCs/>
        </w:rPr>
        <w:t xml:space="preserve">WACC</w:t>
      </w:r>
      <w:r>
        <w:t xml:space="preserve">: 8,2 %.</w:t>
      </w:r>
    </w:p>
    <w:p>
      <w:pPr>
        <w:spacing w:after="100"/>
      </w:pPr>
      <w:r>
        <w:t xml:space="preserve">GTT crea muchísimo valor: el ROIC fue del 177,5 % en 2025 frente a un WACC del 8,21 %, y del 170-303 % en 2020-2024. El capital invertido es minúsculo (unos 230 M en 2025, de los que 105 M son fondo de comercio de Danelec) porque el negocio es de licencias, sin fábricas ni existencias relevantes, y los astilleros prefinancian la obra. El ROIC incremental de 2020-2025 es del 173,6 %: el crecimiento de los ingresos no ha necesitado capital. La bajada de 2024 a 2025 (del 303 % al 178 %) es la compra de Danelec, que dobla el capital invertido con un negocio de margen mucho menor; la diversificación es la que diluye el rendimiento. El motor del ROIC es el margen (67,5 % de EBITDA), no la rotación. Ningún comparable se acerca: Alfa Laval rinde un 14,2 % y los astilleros coreanos un 14-21 % [36, 37, 38]. El dato es tan alto que la diferencia ROIC − WACC no discrimina; lo que importa es si el canon se mantiene.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381,6 M EUR a 30-jun-2026 frente a 104,7 M de pasivos financieros (90 M del préstamo de Danelec y el resto arrendamientos y anticipos reembolsables): caja neta de 294,7 M según la empresa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relevantes publicados. Pensiones casi nulas: compromisos de 4,6 M EUR con 1,6 M de activos (3,0 M netos) [1]. Los pasivos por contrato (facturación de cánones por delante del avance de la obra) eran 180,1 M a cierre de 2025 frente a 219,2 M en 2024 y bajan cuando se acercan las entregas; los activos por contrato, 59,1 M [1]. Garantía matriz a Bpifrance por la financiación IPCEI de Elogen [1]. Ningún litigio significativo a 31-dic-2025 [1]. La decisión de la KFTC coreana (2020, firme en abril de 2023) permite a los astilleros coreanos pedir separar la licencia de la asistencia técnica; la empresa dice que no ha recibido ninguna petición [1].</w:t>
      </w:r>
    </w:p>
    <w:p>
      <w:pPr>
        <w:pStyle w:val="Heading1"/>
      </w:pPr>
      <w:r>
        <w:t xml:space="preserve">12. Asignación de capital</w:t>
      </w:r>
    </w:p>
    <w:p>
      <w:pPr>
        <w:pStyle w:val="Confianza"/>
        <w:spacing w:after="100"/>
      </w:pPr>
      <w:r>
        <w:t xml:space="preserve">Confianza: Media</w:t>
      </w:r>
    </w:p>
    <w:p>
      <w:pPr>
        <w:spacing w:after="100"/>
      </w:pPr>
      <w:r>
        <w:t xml:space="preserve">La política es repartir al menos el 80 % del beneficio neto consolidado, con un dividendo a cuenta en diciembre y el resto en junio, siempre que el resultado distribuible de la matriz lo permita [1, 2]. Dividendo de 2025: 8,94 EUR por acción (4,00 a cuenta pagados el 11-dic-2025 y 4,94 el 19-jun-2026), un 80 % del beneficio [2]. Para 2026, 4,30 EUR a cuenta el 10-dic-2026 [3]. No hay programa de recompra más allá del contrato de liquidez y de la cobertura de acciones gratuitas [1]. La caja restante se dedica a I+D (47,6 M EUR en 2025), a compras pequeñas en soluciones digitales y al fondo GTT Strategic Ventures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Danelec (Dinamarca, registradores de datos de viaje y datos de buque)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bancario de 120 M EUR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según el plan; 16,1 M de ingresos en cinco meses de 2025 y contratos con Petrobras y Petronas en 2026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VPS (Vessel Performance Solutions, Dinamarca)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GTT Marine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Areva H2Gen (hoy Elogen), electrolizadores PEM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EBITDA de −33,3 M en 2024, gigafactoría de Vendôme abandonada y 48,7 M de gastos no corrientes en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Marorka (Islandia) y OSE Engineering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Ascenz Marorka, integrada en GTT Marine [1]</w:t>
            </w:r>
          </w:p>
        </w:tc>
      </w:tr>
    </w:tbl>
    <w:p>
      <w:pPr>
        <w:spacing w:after="160" w:before="0"/>
      </w:pPr>
    </w:p>
    <w:p>
      <w:pPr>
        <w:spacing w:after="100"/>
      </w:pPr>
      <w:r>
        <w:t xml:space="preserve">La asignación del capital es buena en el negocio principal y mala en la diversificación. GTT reparte el 80 % del beneficio (290 M de dividendos en 2025; 4,30 EUR a cuenta de 2026 en diciembre) y no necesita invertir en el núcleo, así que la caja se acumula (382 M a junio de 2026) [2, 3]. Las compras fuera del núcleo han restado: Elogen (2020) acumuló pérdidas operativas (EBITDA de −33 M en 2024) y una gigafactoría abandonada, con 48,7 M de gastos no corrientes en 2025 [1, 2]; Danelec (194 M, 2025) es más coherente (datos de buques, junto a Ascenz Marorka y VPS) y apunta a 25-30 M de sinergias de ingresos en 2030, pero rinde mucho menos que el canon [14]. Sin recompras ni dilución: 37,1-37,2 M de acciones desde 2020. El nuevo consejero delegado prioriza los servicios (LNG Performance Centre, ingresos relevantes desde finales de 2027) y aún no ha presentado plan con cifras; el riesgo es que use la caja en más diversificación [15].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Michel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Politécnico e ingeniero de Minas; Alstom (marina y energía), Ministerio de Economía, FMI, Elíseo y Saint-Gobain [20]. Consejero delegado de John Cockerill desde 2022 (energía, defensa, hidrógeno) [20]. Lleva nueve meses en el cargo: sin historial medible en GTT.</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Berterottière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hasta el 16-nov-2026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GTT como presidente y consejero delegado de 2009 a 2024 (salida a bolsa en 2014 y ciclo récord de pedidos) y otra vez de forma interina en 2025, con la guía cumplida o superada [1, 4]. Dimite del consejo con efecto el 16-nov-2026, tras acompañar diez meses al nuevo consejero delegado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Ronge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desde el 16-nov-2026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Doctora en física cuántica; Air Liquide (1988-1999), Suez-Degrémont y Ondeo Industrial Solutions (presidenta y consejera delegada), fundadora de Weave Air; consejera independiente de GTT desde 2021 y presidenta de nombramientos y retribuciones desde 2023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Thierry Hochoa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GTT desde septiembre de 2023; antes, cargos financieros y de dirección en el grupo industrial Fives (vidrio, innovación)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Colson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relación con astilleros y navieras; vendió 2.000 acciones el 2-ene-2026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Karim Chapot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técnico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Ingeniero de GTT desde hace casi 30 años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290-320 M EUR; EBITDA 140-170 M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307,3 M; EBITDA 161,1 M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385-430 M; EBITDA 190-235 M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427,7 M; EBITDA 234,5 M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600-640 M; EBITDA 345-385 M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641,4 M; EBITDA 388,1 M (por encima)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750-800 M; EBITDA 490-540 M (subida en octubre a 790-820 M y 530-550 M) [4,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803,0 M; EBITDA 541,8 M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740-780 M; EBITDA 490-530 M (confirmada el 28-jul y el 23-oct) [2, 3,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ingresos 387,3 M y EBITDA 263,6 M; 9M26: ingresos 570,1 M [3,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cumplido o superado la guía de 2022, 2023, 2024 y 2025 (en 2025 la subió en octubre) y confirmó la de 2026 el 23-oct [4, 10, 13]. La cúpula ha cambiado tres veces en 24 meses: Jean-Baptiste Choimet salió en febrero de 2025 tras menos de un año, Philippe Berterottière volvió de forma interina, François Michel es consejero delegado desde enero de 2026, y ahora Berterottière deja la presidencia y el consejo el 16-nov a Catherine Ronge, consejera independiente desde 2021 [1, 20, 25]. Es una sucesión prevista y ordenada, pero la empresa pierde a la persona que la dirigió diecisiete años y que daba continuidad a un consejero delegado sin historial en GTT y sin plan con cifras. El director financiero, Thierry Hochoa, lleva desde 2023 [1]. Los directivos tienen pocas acciones y la única operación declarada en 12 meses es una venta pequeña del director comercial (2.000 acciones a 155,15 EUR el 2-ene-2026) [21, 26].</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Berterottière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(dimite con efecto el 16-nov-2026)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Michel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(no consejero según el URD)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Domitille Doat-Le Bigot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Carolle Foissaud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 Gillet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RSC; nombramientos y retribuciones (desde el 16-nov)</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Guiollot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 nombramientos y retribuciones el 16-nov</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Macioce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Ronge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presidenta del consejo desde el 16-nov-2026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RSC; presidió nombramientos y retribuciones hasta el 16-nov</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Antoine Rostand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estrategia y RSC;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Sandra Lagumina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(cooptada el 10-jun-2026)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 nombramientos y retribuciones desde el 16-nov (deja 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Philippe Berterottière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0,31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Cruzó al alza el 5 % el 7-may-2026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al 5,01 % el 2-oct-2026 y volvió al 4,95 % el 6-oct (acciones en garantía) [22,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 y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31-mar-2026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liquidez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Engie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el resto de su participación en mayo de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Colson (director comercial)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dirigió la empresa Philippe Berterottière como presidente y consejero delegado interino (9-feb a 31-dic): 0,42 M EUR de fijo, 0,31 M de variable (objetivos cumplidos al 103,9 %) y acciones de rendimiento valoradas en 0,85 M [1]. La política de 2026 para François Michel: 0,70 M de fijo, variable de hasta el 100 % (76 % cuantitativo: EBITDA, cuota de mercado en el negocio principal, ingresos y EBITDA digitales, pedidos de actividades nuevas; 21 % ligado a RSC) y un plan a largo plazo de hasta el 100 % del fijo con tres criterios a tres años: beneficio neto (40 %), RSC (30 %) y rentabilidad total frente a un índice de comparables (30 %) [1]. Premia beneficio y cuota, no crecimiento a cualquier precio. El código AFEP-MEDEF se aplica sin excepciones [1].</w:t>
      </w:r>
    </w:p>
    <w:p>
      <w:pPr>
        <w:pStyle w:val="Heading2"/>
      </w:pPr>
      <w:r>
        <w:t xml:space="preserve">Operaciones vinculadas, estructura de control y defensas</w:t>
      </w:r>
    </w:p>
    <w:p>
      <w:pPr>
        <w:spacing w:after="100"/>
      </w:pPr>
      <w:r>
        <w:t xml:space="preserve">No hay accionista de control: el 98,9 % del capital está en bolsa y los mayores tenedores son gestoras (FMR 5,12 %, BlackRock 4,95 %) [1, 22, 23, 24]. Una acción, un voto, sin derechos dobles en la práctica y sin pactos [1]. Engie, que llegó a tener el 40 %, salió del todo en mayo de 2025; su antiguo dominical, Pierre Guiollot, sigue como consejero no independiente hasta 2027 [1]. No se han identificado operaciones vinculadas relevantes ni blindajes. El tamaño (unos 7.700 M EUR) y la falta de un núcleo duro la hacen opable en teoría, pero el Estado francés vigila las tecnologías estratégicas y el ministro de Exteriores visitó la sede en septiembre de 2026.</w:t>
      </w:r>
    </w:p>
    <w:p>
      <w:pPr>
        <w:pStyle w:val="Heading2"/>
      </w:pPr>
      <w:r>
        <w:t xml:space="preserve">Señales de alerta</w:t>
      </w:r>
    </w:p>
    <w:p>
      <w:pPr>
        <w:pStyle w:val="ListParagraph"/>
        <w:numPr>
          <w:ilvl w:val="0"/>
          <w:numId w:val="2"/>
        </w:numPr>
        <w:spacing w:after="60"/>
      </w:pPr>
      <w:r>
        <w:t xml:space="preserve">Rotación en la cúpula: dimisión del consejero delegado Jean-Baptiste Choimet en febrero de 2025 tras ocho meses, interinidad del presidente y llegada de François Michel en enero de 2026 [1, 20].</w:t>
      </w:r>
    </w:p>
    <w:p>
      <w:pPr>
        <w:pStyle w:val="ListParagraph"/>
        <w:numPr>
          <w:ilvl w:val="0"/>
          <w:numId w:val="2"/>
        </w:numPr>
        <w:spacing w:after="60"/>
      </w:pPr>
      <w:r>
        <w:t xml:space="preserve">Sin consejero coordinador durante la interinidad de 2025, por decisión del consejo [1].</w:t>
      </w:r>
    </w:p>
    <w:p>
      <w:pPr>
        <w:pStyle w:val="ListParagraph"/>
        <w:numPr>
          <w:ilvl w:val="0"/>
          <w:numId w:val="2"/>
        </w:numPr>
        <w:spacing w:after="60"/>
      </w:pPr>
      <w:r>
        <w:t xml:space="preserve">Dimisión de la consejera independiente Virginie Banet en febrero de 2026, diez meses después de entrar [1, 3].</w:t>
      </w:r>
    </w:p>
    <w:p>
      <w:pPr>
        <w:pStyle w:val="ListParagraph"/>
        <w:numPr>
          <w:ilvl w:val="0"/>
          <w:numId w:val="2"/>
        </w:numPr>
        <w:spacing w:after="60"/>
      </w:pPr>
      <w:r>
        <w:t xml:space="preserve">Tercer cambio en la cúpula en 24 meses: Philippe Berterottière deja la presidencia y el consejo el 16-nov-2026 y le sustituye Catherine Ronge, según el plan de sucesión; el consejo queda con ocho miembros, siete independientes, y busca otro independiente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publicada el 19-feb-2026 y confirmada el 28-jul y el 23-oct-2026 «pese a un contexto geopolítico incierto»: ingresos consolidados de 740-780 M EUR (803,0 M en 2025) y EBITDA de 490-530 M (541,8 M), con la política de dividendo (al menos el 80 % del beneficio) mantenida [2, 3, 13]. Con 570,1 M en 9M26, el rango pide 170-210 M en el 4T (182,8 M en el 3T); la dirección no quiso adelantar el 4T ni estrechar el rango [13, 15]. La cartera vale 1.800 M a 30-sep; a junio aseguraba 300 M en el 2S26, 655 M en 2027, 603 M en 2028 y 295 M en 2029 y después [3, 13]. No hay plan a medio plazo con cifras; la empresa estima unos 550 metaneros encargados en 2026-2035 y lo llama prudente [3,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(sin actualizar tras el 3T)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184,00 – 275,00</w:t>
            </w:r>
          </w:p>
        </w:tc>
      </w:tr>
    </w:tbl>
    <w:p>
      <w:pPr>
        <w:spacing w:after="160" w:before="0"/>
      </w:pPr>
    </w:p>
    <w:p>
      <w:pPr>
        <w:pStyle w:val="Heading2"/>
      </w:pPr>
      <w:r>
        <w:t xml:space="preserve">Revisiones de estimaciones</w:t>
      </w:r>
    </w:p>
    <w:p>
      <w:pPr>
        <w:spacing w:after="100"/>
      </w:pPr>
      <w:r>
        <w:t xml:space="preserve">El consenso no se ha actualizado aún tras la actividad del 3T: MarketScreener mantiene ingresos de 767 M en 2026 y 814 M en 2027 y BPA de 11,23 y 12,08 EUR, y Stock Analysis (S&amp;P Global, 12 analistas, puesto al día el 4-sep) da 768 M y 11,30 EUR en 2026 [28, 31]. El reparto de Investing era de 10 comprar, 1 mantener y 1 vender con objetivo medio de 232,08 EUR; el 26-oct Bernstein bajó a «performance de marché» y recortó su objetivo de 245 a 210 EUR, así que hoy quedan 9 comprar, 2 mantener y 1 vender, y el objetivo medio de MarketScreener (234,25) baja a unos 231 con el nuevo de Bernstein (estimación propia) [29, 44, 45]. En los tres meses anteriores los objetivos habían subido (UBS 230, Berenberg 245, Barclays 275); Morgan Stanley sigue en vender (183-184) [29, 31]. Las ventas del 3T (182,8 M) quedaron por debajo de los unos 190 M que esperaba el mercado según Investing [15, 46].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bl>
    <w:p>
      <w:pPr>
        <w:spacing w:after="160" w:before="0"/>
      </w:pPr>
    </w:p>
    <w:p>
      <w:pPr>
        <w:spacing w:after="100"/>
      </w:pPr>
      <w:r>
        <w:t xml:space="preserve">Hasta el viernes la acción subía un 29,2 % en un año con dividendos, frente al 13,5 % del STOXX Europe 600 y el 54,4 % del índice europeo de petróleo y gas, y un 28,9 % anual en cinco años [27]. Lo explicaban el repunte de pedidos de metaneros (71 en 9M26), las FID de licuefacción en EE. UU. y Qatar y las subidas de recomendación de UBS, Berenberg y Barclays en agosto y septiembre [13, 31]. Desde el máximo de 227 EUR (17-sep) cedió un 10 % hasta el 23-oct y el 26-oct cae otro 13 % tras el 3T y la rebaja de Bernstein [44, 46]. Beta de 0,70 a cinco años, volatilidad del 25,1 % y posiciones cortas declaradas de en torno al 2,7 % del capital (Citadel, BlackRock y AHL) [27, 43].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-18,7 % / -7,7 % / -14,1 % / +4,4 %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-21,6 % / +14,8 %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 de 182,8 M (−13,3 %), por debajo de los unos 190 M esperados, guía confirmada sin estrechar y rebaja de Bernstein a «performance de marché» con objetivo de 210 EUR (desde 245); el mismo día se conoció la salida del presidente [13, 25, 44,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26-sep a 26-oct-2026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máximo de 227 EUR (17-sep) a 205 el 23-oct sin noticia propia (recogida de beneficios tras subir un 45 % desde enero, posiciones cortas de Citadel, AHL y BlackRock) y la caída del 26-oct [27,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Bernstein baja a «performance de marché» desde «surperformance» y recorta el objetivo de 245 a 210 EUR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Actividad de 9M26: ingresos de 570,1 M (−4,9 %), 3T de 182,8 M (−13,3 %), 80 pedidos y guía de 2026 confirmada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Berterottière dimite como presidente y consejero con efecto el 16-nov; le sustituye Catherine Ronge, consejera independiente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declaradas a la AMF: Citadel 0,80 %, BlackRock Financial Management 0,72 %, AHL 0,70 % y BlackRock Institutional Trust 0,50 %, en torno al 2,7 % del capital; no hay un informe bajista publicado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 cruzó al alza el 5 % del capital el 2-oct (5,01 %) y bajó de nuevo al 4,95 % el 6-oct; movimientos de gestión pasiva [22,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AlphaValue/Baader bajó a vender; antes Barclays empezó con sobreponderar (275 EUR, 4-sep), Berenberg pasó a comprar (245 EUR) y UBS a comprar (230 EUR) [29,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FMR (Fidelity) declaró el 5,12 % del capital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tras el cierre y guía de 2027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pierde un 18,7 % en un mes y un 21,6 % desde el máximo de 52 semanas; la tendencia es lateral (un 10,6 % bajo la media de 200 sesiones, aún sin aviso P5). La caída fuerte del 26-oct tiene causa conocida y ya está en el informe: un 3T flojo y la rebaja de Bernstein, con la guía intacta. No queda ningún hecho pendiente que pueda mover el precio más de un 5 % (no hay colocación, ampliación ni operación anunciada) y los próximos resultados son el 24-feb-2027, a cuatro meses: el veredicto es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beneficio de los últimos 12 meses, GTT cotiza a 17,2 veces y a 13,5 veces el EBITDA, algo por debajo de sus medias de seis años (18,5 y 14,1). El PER adelantado (cierre de cada año ÷ BPA del año siguiente) estuvo entre 11,6 y 23,8 veces: 21,9x en 2020 y 23,8x en 2021, con el beneficio en el valle del ciclo; 18,4x en 2022; 12,8x en 2023 y 11,6x en 2024, con el beneficio en máximos; y 14,3x en 2025. El mercado paga menos múltiplo cuando el beneficio está en lo alto del ciclo, porque descuenta la bajada. A 205 EUR paga 17,4 veces nuestro BPA de 2027 con el beneficio cerca de máximos: descuenta un ciclo de pedidos más largo que los anteriores, algo que los 71 metaneros de 9M26 apoyan pero aún no prueban.</w:t>
      </w:r>
    </w:p>
    <w:p>
      <w:pPr>
        <w:pStyle w:val="Heading1"/>
      </w:pPr>
      <w:r>
        <w:t xml:space="preserve">18. Comparables cotizados</w:t>
      </w:r>
    </w:p>
    <w:p>
      <w:pPr>
        <w:pStyle w:val="Confianza"/>
        <w:spacing w:after="100"/>
      </w:pPr>
      <w:r>
        <w:t xml:space="preserve">Confianza: Baja</w:t>
      </w:r>
    </w:p>
    <w:p>
      <w:pPr>
        <w:spacing w:after="100"/>
      </w:pPr>
      <w:r>
        <w:t xml:space="preserve">No hay otro licenciador cotizado de sistemas de contención: GTT es única. Se usan dos grupos con exposición al ciclo del GNL y del transporte marítimo, todos con consenso en Stock Analysis a 15-oct-2026 y precio llevado al cierre del 23-oct (la variación de cada acción en Yahoo; aproximación en los múltiplos de valor empresa) [27]: equipos y tecnología para energía y buques (Technip Energies, Wärtsilä, Alfa Laval, SBM Offshore) y los astilleros coreanos que construyen los metaneros (Samsung Heavy Industries y Hanwha Ocean) [17, 35, 36, 37, 38, 39]. Se excluyen HD Korea Shipbuilding (holding con un PER de 4,8x distorsionado por plusvalías) y Kongsberg (su perímetro cambia con la escisión de la división marítima). Ninguno tiene ni el margen ni el capital invertido de GTT: son referencia de múltiplo, no de calidad.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GTT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Technip Energies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Wärtsilä</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Heavy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Hanwha Ocean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SBM Offshore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10,6x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12,8x / 20,5x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1,8x / 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GTT cotiza a 17,2 veces el beneficio de los próximos 12 meses, por encima de la mediana de 12,8 de los seis comparables, con prima frente a los astilleros (Samsung Heavy 12,7x, Hanwha Ocean 8,5x), Technip Energies (12,9x) y SBM (7,8x), y descuento frente a Wärtsilä (23,0x) y Alfa Laval (24,2x) [17, 27, 35, 36, 37, 38, 39]. Ninguno tiene su margen (67,5 % frente a 6-31 %) ni su ROIC, así que el múltiplo mediano infravalora el negocio: con él la acción valdría 152,66 EUR por PER y 161,63 por EV/EBITDA. Lo justo es un múltiplo entre el de los astilleros (mismo ciclo) y el de los fabricantes de equipos de calidad (Alfa Laval, Wärtsilä): 15-18 veces. Peso del 15 % por esta falta de comparables puros.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tecnología y equipos de licuefacción de GNL de Air Products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Honeywell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de proceso de GNL con equipos propios (intercambiadores) [40]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Sundyne (bombas y compresores criogénicos y de proceso)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Honeywell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críticos con mucho posventa; múltiplo ajustado por impuestos [41]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 Industries (equipos criogénicos y de GNL)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Baker Hughes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sobre el EBITDA ajustado de 2024 (cálculo propio: 13.600 / 1.000 M USD); unas 9 veces el EBITDA de 2025 con sinergias según el comprador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Danelec (registradores de datos de viaje)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neto en caja de 194,1 M EUR; GTT no publicó múltiplo [2]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13,6x (13,3x – 14,1x)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201,75 – 212,69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recientes de tecnología y equipos de GNL se pagaron a 13-14,5 veces el EBITDA: Honeywell compró el negocio de licuefacción de Air Products a unas 13 veces y Sundyne a 14,5 veces, y Baker Hughes pagó 13,6 veces por Chart Industries [40, 41, 42]. Aplicadas al EBITDA de GTT dan 206,13 EUR por acción, casi el cierre del 23-oct. Son negocios con fábricas y márgenes del 20-25 %, no licenciadores; un comprador pagaría más por el margen de GTT y menos por su ciclo. No hay accionista de control y la empresa es opable en teoría, pero el Estado francés vigila las tecnologías estratégicas (control de inversiones extranjeras). No ponderamos este método.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757 M en 2026 (−5,7 %), en la mitad baja de la guía de 740-780 M: 570,1 M en 9M26 y un 4T de unos 187 M, parecido al 3T (182,8 M) [13]. 818 M en 2027 (+8,0 %) y 898 M en 2028 (+9,8 %), en línea con el consenso (814 y 899 M) [28] y apoyadas en la cartera asegurada (655 M en 2027 y 603 M en 2028, más servicios, GTT Marine y los pedidos que entren) [3, 14]. Después, +3 % en 2029 por los 71 metaneros de 9M26, que se entregan en 2028-2030 [13], y valle en 2030-2031 (−2 % y −3 %), con vuelta al +2,5 % en 2032. La historia: los ingresos cayeron un 21 % en 2021 y un 2 % en 2022 tras el valle de pedidos de 2018-2020 [7]. El crecimiento medio de 2027-2032 es del 3,1 %.</w:t>
      </w:r>
    </w:p>
    <w:p>
      <w:pPr>
        <w:keepNext/>
        <w:spacing w:after="100"/>
      </w:pPr>
      <w:r>
        <w:rPr>
          <w:b/>
          <w:bCs/>
        </w:rPr>
        <w:t xml:space="preserve">Márgenes.</w:t>
      </w:r>
    </w:p>
    <w:p>
      <w:pPr>
        <w:spacing w:after="100"/>
      </w:pPr>
      <w:r>
        <w:t xml:space="preserve">Margen EBITDA del 67,0 % en 2026, en la parte central de la guía (490-530 M sobre 740-780 M) y por debajo del 68,1 % del 1S por el gasto anunciado en servicios y en lo digital [3, 13]; 66,5 % en 2027-2028 y bajada gradual al 65 % en 2031 por la mayor parte de servicios y GTT Marine (margen menor) y la inflación de costes de ingeniería. Precedente: el margen fue del 52-55 % en el valle de 2021-2022 con ingresos de 300 M; con 820-900 M de ventas no hay razón para que vuelva ahí.</w:t>
      </w:r>
    </w:p>
    <w:p>
      <w:pPr>
        <w:keepNext/>
        <w:spacing w:after="100"/>
      </w:pPr>
      <w:r>
        <w:rPr>
          <w:b/>
          <w:bCs/>
        </w:rPr>
        <w:t xml:space="preserve">Inversión y circulante.</w:t>
      </w:r>
    </w:p>
    <w:p>
      <w:pPr>
        <w:spacing w:after="100"/>
      </w:pPr>
      <w:r>
        <w:t xml:space="preserve">Capex del 3,5-4,0 % de las ventas (5,0 % en 2025 con la reforma de la sede y la gigafactoría de Elogen, ya abandonada) [2]; amortización del 3,3-3,8 % con la de los activos de la compra de Danelec. Circulante casi nulo (0,5-1 % de las ventas, 0,5 % en 2025) a su nivel real: los astilleros pagan por hitos y no se supone que libere caja. Impuesto del 15-17 % por el régimen de patentes (13,9 % en 2025 y 15,2 % en el 1S26) [1, 3].</w:t>
      </w:r>
    </w:p>
    <w:p>
      <w:pPr>
        <w:keepNext/>
        <w:spacing w:after="100"/>
      </w:pPr>
      <w:r>
        <w:rPr>
          <w:b/>
          <w:bCs/>
        </w:rPr>
        <w:t xml:space="preserve">Coste del capital.</w:t>
      </w:r>
    </w:p>
    <w:p>
      <w:pPr>
        <w:spacing w:after="100"/>
      </w:pPr>
      <w:r>
        <w:t xml:space="preserve">Tasa libre del 3,39 % (Bund a 10 años del 23-oct) [32]. Beta de 0,80: la ajustada mensual a cinco años frente al STOXX Europe 600 (0,70 sin ajustar) [27], desapalancada con la deuda de GTT (104,7 M con arrendamientos, un 1,4 % del capital a precio de mercado) a 0,79 y reapalancada con esa misma estructura; el informe anterior usaba 0,85 por juicio. Prima del 5,5 % más 0,5 puntos por la concentración en un solo producto y en tres astilleros coreanos; coste de la deuda del 3,5 %. WACC del 8,21 %. Con la prima implícita de Damodaran (4,2 %) sería del 7,19 % [33].</w:t>
      </w:r>
    </w:p>
    <w:p>
      <w:pPr>
        <w:keepNext/>
        <w:spacing w:after="100"/>
      </w:pPr>
      <w:r>
        <w:rPr>
          <w:b/>
          <w:bCs/>
        </w:rPr>
        <w:t xml:space="preserve">Valor terminal.</w:t>
      </w:r>
    </w:p>
    <w:p>
      <w:pPr>
        <w:spacing w:after="100"/>
      </w:pPr>
      <w:r>
        <w:t xml:space="preserve">Gordon con un crecimiento del 2,0 %, la inflación del euro, sin crecimiento real: el GNL es un mercado maduro a largo plazo y el riesgo de transición energética pesa. El valor terminal es el 67 % del valor. Implica 12,9 veces el EBITDA terminal, por debajo de las 13,5 veces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218,73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(reinvierte el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(histórico: 173,6 %)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 frente al 1,8 %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16 M, el 1 % del NOPAT, con un capex bruto medio del 3,6 % de las ventas). En un negocio de activos ligeros, el crecimiento medio del 1,8 %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−9 %: menos metaneros en construcción tras los 37 pedidos de 2025 y entregas que vuelven a sus fechas; otros +2,3 % por Danelec todo el año; precio +1 %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la cartera (655 M asegurados a junio) y los 71 metaneros de 9M26; precio +1,5 %; consenso +6 % [3, 13, 28].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 facturación de los pedidos de 2026; consenso +10 % [28].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asegurada para 2029 y después era de 295 M en junio; los pedidos de 2026 con entrega en 2029-2030 y los de 2027 la completan [3,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Valle moderado del ciclo: menos pedidos tras dos años altos, como en 2020-2022.</w:t>
            </w:r>
          </w:p>
        </w:tc>
      </w:tr>
    </w:tbl>
    <w:p>
      <w:pPr>
        <w:spacing w:after="160" w:before="0"/>
      </w:pPr>
    </w:p>
    <w:p>
      <w:pPr>
        <w:spacing w:after="100"/>
      </w:pPr>
      <w:r>
        <w:t xml:space="preserve">La calidad sostiene de sobra el crecimiento proyectado, que es pequeño. Las tres pruebas: (1) el crecimiento medio proyectado (1,8 % anual con 2026) está muy por debajo del histórico (TCAC del 15,2 %) y no necesita inversión neta; el motor coincide en «Sí»; (2) la proyección no supone ningún rendimiento sobre nueva inversión: el negocio crece sin capital (ROIC incremental histórico del 173,6 %); (3) la cuota se prueba a mano: GTT ya tiene el 100 % de los metaneros grandes y nuestros ingresos de 2028 (898 M) son la cartera ya asegurada para ese año (603 M a junio) más servicios, GTT Marine y la parte de los pedidos de 2026-2027 que se facture en 2028, frente a una previsión de la empresa de unos 550 metaneros encargados en 2026-2035 [3, 12, 13]: no hace falta ganar cuota, sino que se mantenga. El riesgo no es la sostenibilidad del crecimiento sino el ciclo y la competencia, que van en los escenarios.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3,1 %)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69,0 % (base: 65,0 %)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8,2 %)</w:t>
            </w:r>
          </w:p>
        </w:tc>
      </w:tr>
    </w:tbl>
    <w:p>
      <w:pPr>
        <w:spacing w:after="160" w:before="0"/>
      </w:pPr>
    </w:p>
    <w:p>
      <w:pPr>
        <w:spacing w:after="100"/>
      </w:pPr>
      <w:r>
        <w:t xml:space="preserve">El DCF da 193,13 EUR por acción, un 5,8 % por debajo del cierre de 205,00 del 23-oct, con el valor terminal en el 67 %. El DCF inverso dice que a ese precio el mercado descontaba un crecimiento del 4,3 % anual en 2027-2032 (nuestro base: 3,1 %) y una rentabilidad implícita del 7,8 % frente a nuestro WACC del 8,21 %. Es decir, el mercado no esperaba el valle de 2030-2031 que proyectamos: suponía un ciclo de pedidos más largo, sostenido por la ola de licuefacción en EE. UU. y Qatar. Con la prima del mercado (4,2 %) el DCF valdría 228,60 EUR. La conclusión: a 205 el precio era exigente pero no absurdo; a los 178 EUR del 26-oct quedaría por debajo de nuestro DCF y descontaría menos crecimiento que nuestro base. El valor sube frente al 16-oct (181,76) sobre todo por el WACC (8,21 % frente a 8,55 %: Bund más bajo y beta calculada con la deuda de la empresa), no por las cifras, que bajan algo en 2026.</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repunte de pedidos de 2026 no se sostiene: los pedidos bajan a 30-40 metaneros al año desde 2027, los ingresos caen desde 2029 y GTT Marine y los servicios no compensan su coste. Crecimiento 4 puntos menor cada año y margen 2,5 puntos más bajo.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cumplida en su mitad baja (757 M), pico de facturación en 2028 (898 M) con la cartera actual y valle moderado en 2030-2031; margen EBITDA del 65-67 %.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ola de licuefacción en EE. UU., Qatar y África mantiene más de 70 pedidos de metaneros al año hasta 2030 y llegan los primeros de amoniaco y los ingresos de servicios: crecimiento 2,5 puntos mayor y margen 1 punto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20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190,15 EUR (-7,2 %).</w:t>
      </w:r>
    </w:p>
    <w:p>
      <w:pPr>
        <w:spacing w:after="100"/>
      </w:pPr>
      <w:r>
        <w:t xml:space="preserve">La asimetría del valor intrínseco es desfavorable al cierre del 23-oct: el bajista vale 153,78 EUR (−25,0 %) y el alcista 220,55 (+7,6 %), una asimetría de 0,30. A 12 meses la regla de múltiplos da 133,75 EUR en el bajista (11,6 veces, el mínimo adelantado de cinco años, de 2024) y 233,41 en el alcista (17,0 veces); la ponderada es del −1,1 %. El bajista a 12 meses es verosímil: en 2024 el mercado pagaba 11,6 veces el beneficio del año siguiente con los pedidos en máximos. A 205 se arriesgaba más de lo que se ganaba; a 178 la cuenta se equilibra.</w:t>
      </w:r>
    </w:p>
    <w:p>
      <w:pPr>
        <w:pStyle w:val="Heading1"/>
      </w:pPr>
      <w:r>
        <w:t xml:space="preserve">22. Suma de partes</w:t>
      </w:r>
    </w:p>
    <w:p>
      <w:pPr>
        <w:pStyle w:val="Confianza"/>
        <w:spacing w:after="100"/>
      </w:pPr>
      <w:r>
        <w:t xml:space="preserve">Confianza: Media</w:t>
      </w:r>
    </w:p>
    <w:p>
      <w:pPr>
        <w:spacing w:after="100"/>
      </w:pPr>
      <w:r>
        <w:t xml:space="preserve">No aplica: los servicios y GTT Marine (11 % de los ingresos de 9M26) y Elogen (casi nada) no cambian el valor, que es el canon de los sistemas de contención.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20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186,02 EUR (-9,3 % sobre 205,00).</w:t>
      </w:r>
    </w:p>
    <w:p>
      <w:pPr>
        <w:spacing w:after="100"/>
      </w:pPr>
      <w:r>
        <w:t xml:space="preserve">Pesos: DCF 50 %, escenarios 35 % y comparables 15 %; transacciones 0 % porque son negocios con fábricas y márgenes del 20-25 %, no licenciadores. El DCF es el método más fiable para un negocio con cartera de tres años y sin necesidad de capital; los comparables pesan poco porque ninguno tiene el margen de GTT y su mediana (12,8 veces) infravalora el canon. La dispersión es alta: de 153,78 (bajista) a 220,55 (alcista), con el DCF en 193,13, los comparables por PER en 152,66 y las transacciones en 206,13. El valor intrínseco ponderado es de 186,02 EUR, un 9,3 % por debajo del cierre del 23-oct y por encima de los 178 EUR del 26-oct.</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(17.4x) ÷ 1.1 (tope: la mediana de 5 años, 14.3x,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233,41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r>
    </w:tbl>
    <w:p>
      <w:pPr>
        <w:spacing w:after="160" w:before="0"/>
      </w:pPr>
    </w:p>
    <w:p>
      <w:pPr>
        <w:spacing w:after="100"/>
      </w:pPr>
      <w:r>
        <w:rPr>
          <w:b/>
          <w:bCs/>
        </w:rPr>
        <w:t xml:space="preserve">Objetivo a 12 meses (ponderado):</w:t>
      </w:r>
      <w:r>
        <w:t xml:space="preserve"> 193,86 EUR · rentabilidad -1,1 % (base +3,9 %) · señal Mantener.</w:t>
      </w:r>
    </w:p>
    <w:p>
      <w:pPr>
        <w:spacing w:after="100"/>
      </w:pPr>
      <w:r>
        <w:t xml:space="preserve">Para comparar, con el tope anterior del base (×1,3, 14-oct mediodía): -1,4 % Mantener. Decide la regla vigente (v3 con tope ×1,1; METODO-VIGENTE.md).</w:t>
      </w:r>
    </w:p>
    <w:p>
      <w:pPr>
        <w:keepNext/>
        <w:spacing w:after="100"/>
      </w:pPr>
      <w:r>
        <w:rPr>
          <w:b/>
          <w:bCs/>
        </w:rPr>
        <w:t xml:space="preserve">Frente al consenso (solo contraste).</w:t>
      </w:r>
    </w:p>
    <w:p>
      <w:pPr>
        <w:spacing w:after="100"/>
      </w:pPr>
      <w:r>
        <w:t xml:space="preserve">Nuestro BPA de 2028 (12,92 EUR) está un 3,6 % por debajo del consenso (13,40), que aún no recoge el 3T [28]: mismas ventas y algo menos de margen por el gasto en servicios. La diferencia grande es de múltiplo: nuestro base (204,14 EUR) aplica 15,8 veces y queda un 12,9 % por debajo del objetivo medio de los 12 analistas (234,25), que equivale a unas 17,5 veces el BPA de 2028; con el nuevo objetivo de Bernstein (210) la media bajaría a unos 231 [44]. Los analistas suponen que el mercado mantiene el múltiplo de hoy; la regla común supone que se acerca a la mediana adelantada (14,3x), que es lo que el mercado ha pagado cuando el beneficio estaba en máximos.</w:t>
      </w:r>
    </w:p>
    <w:p>
      <w:pPr>
        <w:keepNext/>
        <w:spacing w:after="100"/>
      </w:pPr>
      <w:r>
        <w:rPr>
          <w:b/>
          <w:bCs/>
        </w:rPr>
        <w:t xml:space="preserve">Del valor intrínseco al objetivo a 12 meses.</w:t>
      </w:r>
    </w:p>
    <w:p>
      <w:pPr>
        <w:spacing w:after="100"/>
      </w:pPr>
      <w:r>
        <w:t xml:space="preserve">El objetivo a 12 meses (193,86 EUR) está un 4,2 % por encima del valor intrínseco (186,02). La distancia sale del ciclo: la regla a 12 meses mira el BPA de 2028, el pico de facturación de la cartera actual, mientras el DCF descuenta también el valle de 2030-2031 que proyectamos. Para cerrarla hacia arriba haría falta que los pedidos de 2027-2028 se mantengan por encima de 60 metaneros al año, lo que eliminaría el valle; la guía de 2027 (24-feb-2027) y los pedidos de 2027 son la prueba.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Catherine Ronge asume la presidencia del consejo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prevista; el consejo busca otro independiente [25].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4,30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Apoyo pequeño; confirma el reparto del 80 %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posible plan estratégico del nuevo consejero delegado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la cartera de 655 M para 2027; dirá si el 4T cumplió la guía y qué hará con la caja [3,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finales de inversión de licuefacción (EE. UU., Canadá, Mozambique, Papúa)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Mtpa en aviso limitado de inicio y unas 40 Mtpa más probables en 2026-2027; cada planta grande genera pedidos de metaneros uno o dos años después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trimestre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plataforma integrada de software de GTT Marine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estrategia de servicios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Ley de finanzas francesa y régimen de patentes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endurecimiento del tipo reducido de las rentas de patentes subiría el impuesto del 15 % al 25 % y restaría un 12 % al beneficio.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pedidos de metaneros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−35 % (bajista a 12 meses de 133,75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1.800 M que cubre 2027-2028, 71 metaneros en 9M26 y previsión de 550 metaneros en 2026-2035 [13,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de 40 pedidos de metaneros en un año o caída de la cartera por debajo de 1.500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Retrasos de los astilleros y desplazamiento de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(un 2-4 % de los ingresos de un año pasa al siguiente)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ingreso no se pierde: se reconoce al avanzar la obra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2026 por debajo de 740 M o guía de 2027 inferior a la cartera asegurada (655 M más servicios).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propios de astilleros coreanos o chinos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o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fletadores exigen tecnología probada; el fiasco del KC-1 coreano pesa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primer pedido de metanero grande con tecnología no GTT.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en Oriente Medio y paso por Ormuz</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rutas largas exigen más metaneros; la demanda de GNL sigue revisándose al alza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Cancelaciones de pedidos o de FID ligadas a Qatar o Emiratos.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del régimen fiscal de patentes en Francia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Régimen alineado con el enfoque nexo de la OCDE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de ley de finanzas que toque el artículo 238 del código fiscal.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competencia (KFTC y otras)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astillero ha pedido aún separar licencia y asistencia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investigación en China o una petición formal de un astillero coreano.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GNL a largo plazo (transición energética)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en el valor terminal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Previsiones de Shell y Wood Mackenzie de un 5 % anual de crecimiento de la demanda en 2026-2035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 la baja de la demanda de GNL de la AIE o cancelaciones de plantas.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Diversificación y gasto en servicios que diluyen el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Elogen ya reducida a I+D; reparto del 80 % del beneficio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de 2026 por debajo del 65 % o una compra grande fuera del núcleo.</w:t>
            </w:r>
          </w:p>
        </w:tc>
      </w:tr>
    </w:tbl>
    <w:p>
      <w:pPr>
        <w:spacing w:after="160" w:before="0"/>
      </w:pPr>
    </w:p>
    <w:p>
      <w:pPr>
        <w:pStyle w:val="Heading2"/>
      </w:pPr>
      <w:r>
        <w:t xml:space="preserve">Pre-mortem</w:t>
      </w:r>
    </w:p>
    <w:p>
      <w:pPr>
        <w:spacing w:after="100"/>
      </w:pPr>
      <w:r>
        <w:t xml:space="preserve">Octubre de 2029: la acción ha perdido un 45 %. El repunte de pedidos de 2026 resultó ser el último coletazo del ciclo: con la flota creciendo más deprisa que la demanda y Ormuz otra vez abierto, los fletes cayeron en 2027 y los pedidos bajaron a 25 al año en 2028-2029. Los ingresos, que dependían de la cartera, empezaron a caer en 2029 y el mercado, como en 2020-2021, adelantó la bajada vendiendo con dos años de antelación; el 3T26 fue el primer aviso de lo sensible que es el precio a un trimestre flojo. A la vez, un astillero chino entregó el primer metanero grande con tecnología propia para un fletador chino, y la autoridad china de competencia abrió una investigación sobre el canon. La nueva dirección, ya sin el presidente histórico, gastó en servicios y en una compra digital de 400 M que rinde un 8 %. El BPA de 2028 se quedó en 11 EUR y el múltiplo en 10 veces. Los indicadores que lo habrían anticipado: pedidos de metaneros por debajo de 40 en 2027, un pedido de metanero grande con tecnología no GTT, un margen por debajo del 63 % y una compra fuera del núcleo de más de 200 M.</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a 3-5 años</w:t>
      </w:r>
    </w:p>
    <w:p>
      <w:pPr>
        <w:spacing w:after="100"/>
      </w:pPr>
      <w:r>
        <w:t xml:space="preserve">El negocio de GTT es propiedad intelectual de ingeniería probada en el mar: patentes, 60 años de datos de comportamiento de las membranas, aprobaciones de las sociedades de clasificación y la confianza de los fletadores. La IA no reemplaza nada de eso; puede abaratar el diseño y acelerar la ingeniería de los competidores (astilleros con sistemas propios), pero la barrera es la validación en servicio, no el cálculo. Es una oportunidad en GTT Marine (8 % de los ingresos de 9M26) y en el nuevo LNG Performance Centre: la vigilancia de la carga, la optimización de rutas y la evaporación con datos de la flota son usos directos de la IA, y Danelec aporta los datos de los registradores de viaje [13, 14]. En costes, 862 empleados casi todos ingenieros pueden ganar productividad. Neto, efecto pequeño. Señal: aprobación por las sociedades de clasificación de un sistema de contención diseñado por un competidor en mucho menos tiempo del habitual.</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17,5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Lo material es la exposición al gas fósil: casi todo el negocio depende de que se construyan metaneros, y una transición más rápida hacia renovables bajaría la demanda de GNL a partir de 2035 [1]. Las taxonomías penalizan: solo el 2,4 % de los ingresos de 2025 eran elegibles y alineados con la taxonomía europea [1]. Como contrapeso, la tecnología reduce la evaporación del GNL y las emisiones de los buques (metaneros de tres tanques con un 6 % menos de evaporación; tanques preparados para amoniaco) [2, 3]. El hidrógeno (Elogen) se ha reducido a I+D tras perder 33 M de EBITDA en 2024 [2].</w:t>
      </w:r>
    </w:p>
    <w:p>
      <w:pPr>
        <w:pStyle w:val="Heading2"/>
      </w:pPr>
      <w:r>
        <w:t xml:space="preserve">Controversias</w:t>
      </w:r>
    </w:p>
    <w:p>
      <w:pPr>
        <w:spacing w:after="100"/>
      </w:pPr>
      <w:r>
        <w:t xml:space="preserve">Sin sanciones ni litigios significativos en 2023-2025 según el URD [1]. La única decisión adversa es la de la KFTC coreana sobre la venta conjunta de licencia y asistencia técnica, firme desde abril de 2023 y sin efecto financiero según la empresa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de los metaneros ligados a las FID de 2025-2026 quedan por encargar y en qué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21 de los 71 pedidos de 2026 van ligados a esas FID; el resto sostendría los ingresos de 2029-2030, donde nuestro base supone un valle.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Cuarto trimestre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del 4T depende de entregas que pueden volver a desplazarse?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exige 170-210 M en el 4T y la dirección no quiso adelantarlo.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cuestan los nuevos servicios y lo digital en 2026-2027 y cuándo dan ingresos?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EBITDA del 66,5 % que suponemos en 2027-2028 depende de ese gasto.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Estrategia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tiene François Michel para la caja (382 M) y cambia algo con la nueva presidenta?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Elogen destruyó valor; una compra grande cambiaría el ROIC y el dividendo.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algún fletador que haya aceptado un sistema de contención no GTT para un metanero grande?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Sería la primera grieta del 100 % de cuota.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protección tienen las patentes en China y qué peso tendrán los astilleros chinos en la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25 % de los ingresos y crece; los mayores tanques en tierra con GST se construyen allí.</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Fiscalidad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beneficio se acoge al régimen de patentes y qué pasaría si cambia?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tipo efectivo del 15 % frente al 25,8 % general vale un 12 % del beneficio.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GTT): la caída del 26-oct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cuentan que compran o refuerzan entre 176 y 181 EUR y recuerdan el dividendo a cuenta de diciembre; otros preguntan si bajará de 170 y culpan a las posiciones cortas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por qué baja si confirma la guía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entre quienes ven el valor caro (PER de 17, tipos al alza, expectativas altas tras los pedidos) y quienes ven una ocasión por el monopolio; algunos añaden la salida del presidente como motivo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 de resultados del 23-oct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la apertura, la mayoría leía los datos como esperados por la cartera y veía alcanzable la guía; una minoría anticipaba una caída fuerte por las posiciones cortas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Boursorama: caída de la semana anterior y previsiones de ventas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antiguos compraban por debajo de 210 EUR y discutían ventas cercanas a 1.000 M en 2-3 años con más de 90 metaneros encargados en 2026 [50, 51].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Monopolio y cartera de pedidos frente a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respalda los ingresos de 2027-2028 (655 y 603 M a junio, 1.800 M en total a septiembre), pero el 3T (−13,3 %) muestra que el valle de 2025 todavía pesa en 2026 [53].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razón en parte: antes de la caída cotizaba a unas 17 veces el beneficio esperado, por encima de su mediana adelantada de 5 años [53].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Posiciones cortas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cortas declaradas en la AMF suman en torno al 2,7 % del capital; no hay un informe bajista publicado y explican poco una caída del 13 % en un día [47, 49].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presidente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una sucesión prevista (la nueva presidenta es consejera desde 2021), pero suma tres cambios en la cúpula en 24 meses [48].</w:t>
            </w:r>
          </w:p>
        </w:tc>
      </w:tr>
    </w:tbl>
    <w:p>
      <w:pPr>
        <w:spacing w:after="160" w:before="0"/>
      </w:pPr>
    </w:p>
    <w:p>
      <w:pPr>
        <w:spacing w:after="100"/>
      </w:pPr>
      <w:r>
        <w:t xml:space="preserve">El foro de Boursorama pasó en una semana de la confianza a la división: antes del 3T los accionistas antiguos compraban por debajo de 210 EUR y hablaban de ventas cercanas a 1.000 M en dos o tres años; tras la caída del 26-oct unos refuerzan entre 176 y 181 EUR y otros culpan a las posiciones cortas o a una valoración que ven cara [47, 48, 50, 51]. No es una capitulación: muchos compran. Coincide con nuestra lectura en que el 3T era previsible por la cartera, y aporta un matiz que el informe recoge: el cambio de presidente se leyó como mala señal aunque sea una sucesión prevista [48]. Contradice al consenso de analistas (objetivo medio de 234,25 EUR, aún sin actualizar) en que una parte ya discute el múltiplo [29].</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53 (25 primarias); citas distintas en el texto: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0,5 % frente a 0,5 %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11, 18, 34, 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semestre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GTT (no publican consenso); 2) MarketScreener (solo estimaciones actuales); 3) prensa (Investir, Les Echos: sin cifra de consenso previa citada)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nota de segmentos (solo EBITDA de Elogen); 2) presentaciones de resultados (sin margen por línea); 3) notas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en euros y segunda fuente independiente de pedidos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(pedidos según Clarksons y GTT, en unidades); 2) presentación del 1S26 (demanda en Mtpa de Shell y Wood Mackenzie); 3) Clarksons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los competidores en sistemas de contención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publica cifras de competidores); 2) Saipem e IHI (no desglosan Moss ni SPB); 3) Kogas (KC LNG Tech no publica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sobre remuneración (2024-2026)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recoge los votos de la remuneración del consejo, 98,1 %); 2) web de la junta de GTT (sin acta de votaciones descargable); 3) BALO y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remuneración del primer ejecutivo sobre el salario 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cap. 4 (no localizado en el texto extraído); 2) búsqueda de «ratio» en el URD; 3) informe de remuneraciones de la junta (no publicado aparte)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del consenso posteriores a la actividad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(estimaciones sin cambio frente al 16-oct); 2) Stock Analysis (actualizado el 4-sep); 3) Investing (reparto y objetivo del 4-sep) y prensa del 26-oct (solo el cambio de Bernstein)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consenso previo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EBITDA de los últimos 12 meses); 2) MarketScreener (403 sin navegador); 3) informes de cada comparable (sin consenso de EBITDA en la misma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y EV/EBITDA adelantados publicados por un proveedor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2026-2027); 2) Stock Analysis (PER adelantado de cada cierre, sin fuente del BPA); 3) informes anuales (no publican múltiplos)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en inglés (Reddit, Seeking Alpha,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(RSS de GTTOF sin entradas, comprobado el 16-oct); 2) Reddit (403 en este entorno); 3) Stocktwits (sin flujo de GTT.PA)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Universal Registration Document 2025 (cuentas consolidadas NIIF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https://www.gtt.fr/sites/default/files/GTT%20-%202025%20Universal%20Registration%20Document%202_0.pdf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 2025 results – Press release (cuenta, balance y flujos 2024-2025,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https://www.gtt.fr/sites/default/files/GTT%20-%20FY%202025%20results%20-%20Press%20Release.pdf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half 2026 results – Press release (estados financieros a 30-jun-2026, cartera,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https://www.gtt.fr/sites/default/files/GTT%20-%20First%20Half%202026%20results%20-%20Press%20Release_0.pdf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2024 Results – Presentation (cuentas 2023-2024, BPA 2018-2024, guía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https://www.gtt.fr/sites/default/files/GTT%20-%20FY%202024%20Results%20-%20Presentation.pdf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2023 Investor Presentation (cuentas 2022-2023, guía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https://www.gtt.fr/sites/default/files/IR%20-%20Investor%20Presentation%20-%20FY2023_26022024-3_4.pdf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Investor Presentation (cuentas 2021-2022, desglose de ingresos, guía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https://www.gtt.fr/sites/default/files/IR%20-%20Investor%20Presentation%20-%20FY%202022_1.pdf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Investor Presentation (cuentas 2020-2021, guía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https://www.gtt.fr/sites/default/files/20220218%20-%20FY%202021%20-%20Investor%20Presentation.pdf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half 2025 results – Press release (1S25 y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https://www.gtt.fr/sites/default/files/GTT%20-%20First%20Half%202025%20results%20-%20press%20release.pdf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XBRL (ESEF) 2020-2025 de GTT (LEI 969500BVOHVZUUFWDT54)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https://filings.xbrl.org/969500BVOHVZUUFWDT54/2025-12-31/ESEF/FR/0/969500BVOHVZUUFWDT54-2025-12-31-1-FR/reports/969500BVOHVZUUFWDT54-2025-12-31-1-FR.xhtml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Revenue of 600 million euros for the first nine months of 2025; annual objectives revised upwards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https://www.gtt.fr/news/revenue-600-million-euros-first-nine-months-2025-strong-growth-29-annual-objectives-revised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Strong commercial momentum in the first quarter of 2026: revenues of 193 million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https://www.gtt.fr/news/strong-commercial-momentum-first-quarter-2026-revenues-193-million-euros-line-expectations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 Presentation (pedidos, FID de licuefacción, previsiones de pedidos a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https://www.gtt.fr/sites/default/files/GTT%20-%20H1%202026%20Results%20-%20Presentation.pdf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Revenues for the first nine months of 2026; Excellent commercial performance; Objectives confirmed for 2026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https://www.gtt.fr/sites/default/files/GTT%20-%20Q3%202026%20Activity%20Update%20-%20Press%20Release.pdf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2026 Activity Update – Presentation (ingresos de 9M por línea, cartera, FID, situación en Oriente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https://www.gtt.fr/sites/default/files/GTT%20-%20Q3%202026%20Activity%20Update%20-%20Presentation.pdf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GTT Q3 2026 (resumen de la conferencia con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https://www.investing.com/news/transcripts/earnings-call-transcript-gtt-q3-2026-order-surge-lifts-shares-33-93CH-4970160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FY 2025 &amp; Q1 2026 (mayo-junio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https://www.gtt.fr/sites/default/files/GTT%20-%20IR%20-%20FY%202025%20%26%20Q1%202026%20-%20May%20%26%20June%202026.pdf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Wärtsilä: estadísticas y previsiones (ingresos, márgenes)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https://stockanalysis.com/quote/hel/WRT1V/statistics/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 signe une commande de cuves pour deux nouveaux méthaniers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Investir – Les Echos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https://investir.lesechos.fr/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 le champion qui règne sur les cuves de méthaniers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 Point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https://www.lepoint.fr/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François Michel as Chief Executive Officer of the GTT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https://www.gtt.fr/news/appointment-francois-michel-chief-executive-officer-gtt-group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 declaración de operación de directivo 2026DD1101511 (venta de 2.000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https://bdif.amf-france.org/back/api/v1/documents/2026/2026DD1101511/FDD30501F39BB7B6A96115758529E1A3E7529C13388C9DA0C1B927B94420ED8A.pdf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declaración de cruce de umbral 226C1709 (BlackRock, 5,01 %)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https://bdif.amf-france.org/back/api/v1/documents/2026/226C1709/D9F56E014BD33A86D4093714E25206C3072C94D673EB9AE5EE71FC6728D9580B.pdf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declaración de cruce de umbral 226C1726 (BlackRock, 4,95 %)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https://bdif.amf-france.org/back/api/v1/documents/2026/226C1726/415F634D654206C2811C32411BBBBAF9F3EC3A28DC80C77848DA39012DB017F6.pdf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declaración de cruce de umbral 226C0677 (FMR, 5,12 %)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https://bdif.amf-france.org/back/api/v1/documents/2026/226C0677/CA06A5F0E46035639516009170EE4CD631E2992608F091F1FACB5B3CF18B972B.pdf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 announces the appointment of Ms. Catherine Ronge as Chairwoman of its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https://www.gtt.fr/news/gtt-announces-appointment-ms-catherine-ronge-chairwoman-its-board-directors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 búsqueda de declaraciones de directivos (DD) y de umbrales de GTT (última DD: 2026DD1101511)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https://bdif.amf-france.org/back/api/v1/informations?RechercheTexte=GAZTRANSPORT&amp;TypesInformation=DD&amp;From=0&amp;Size=10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GTT.PA, EXSA.DE y EXH1.DE (precio, rentabilidades, beta, volatilidad) y de los comparables (TE.PA, WRT1V.HE, ALFA.ST, 010140.KS, 042660.KS, SBMO.AS)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https://finance.yahoo.com/quote/GTT.PA/history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 Financial Data Forecasts Estimates and Expectations (consenso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https://www.marketscreener.com/quote/stock/GTT-GAZTRANSPORT-15821825/finances/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 Target Price Consensus and Analysts Recommendations (12 analistas, objetivo medio 234,25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https://www.marketscreener.com/quote/stock/GTT-GAZTRANSPORT-15821825/consensus/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Gaztransport &amp; Technigaz (EPA:GTT): estadísticas, cierre del 23-oct-2026 y acciones en circulación (37,08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https://stockanalysis.com/quote/epa/GTT/statistics/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Gaztransport &amp; Technigaz: previsiones (S&amp;P Global, 12 analistas, actualizado el 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https://stockanalysis.com/quote/epa/GTT/forecast/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(3,39 %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(23-oct-2026: SEK 11,1310; KRW 1.482,46)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estadísticas y previsiones (consenso a 15-oct; precio llevado al cierre del 23-oct con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estadísticas y previsiones (consenso a 15-oct; precio llevado al cierre del 23-oct con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https://stockanalysis.com/quote/sto/ALFA/statistics/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Heavy Industries: estadísticas y previsiones (consenso a 15-oct; precio llevado al cierre del 23-oct con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https://stockanalysis.com/quote/krx/010140/statistics/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Hanwha Ocean: estadísticas y previsiones (consenso a 15-oct; precio llevado al cierre del 23-oct con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https://stockanalysis.com/quote/krx/042660/statistics/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SBM Offshore: estadísticas y previsiones (consenso a 15-oct; precio llevado al cierre del 23-oct con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https://stockanalysis.com/quote/ams/SBMO/statistics/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to acquire Air Products’ LNG process technology and equipment business (1.810 M USD, unas 13 veces el EBITDA estimado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https://www.honeywell.com/us/en/press/2024/07/honeywell-to-acquire-air-products-liquefied-natural-gas-process-technology-and-equipment-business-to-expand-energy-transition-solutions-and-services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to acquire Sundyne (2.160 M USD, unas 14,5 veces el EBITDA de 2024 ajustado por impuestos)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https://www.honeywell.com/us/en/press/2025/03/honeywell-to-acquire-sundyne-to-expand-critical-equipment-portfolio-and-aftermarket-services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 to acquire Chart Industries (valor empresa de 13.600 M USD; Chart: 4.200 M de ingresos y 1.000 M de EBITDA ajustado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LNG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https://www.lngindustry.com/liquid-natural-gas/30072025/baker-hughes-to-acquire-chart-industries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posiciones cortas netas declaradas sobre GTT (Citadel 0,80 % a 20-oct; BlackRock Financial Management 0,72 % a 15-oct; AHL 0,70 % a 9-oct; BlackRock Institutional Trust 0,50 % a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https://bdif.amf-france.org/back/api/v1/documents/2026/2026E1145976/DD0C43EF03EEA0BBA84DE726969D1ECC2DD1A9182A9F8DF334C304D860BDF3FE.pdf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Les changements de recommandations: Veolia, GTT, Safran… (Bernstein baja GTT a «performance du marché», objetivo 245 → 210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https://www.boursorama.com/bourse/actualites/les-changements-de-recommandations-veolia-gtt-safran-eutelsat-interparfums-fdj-united-869bab014a34e5f269d2bdc6fa044384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Gaztransport et Technigaz: consenso de analistas (10 comprar, 1 mantener, 1 vender; objetivo medio 232,08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https://www.investing.com/equities/gtt-consensus-estimates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Genmab porté par des avancées prometteuses, GTT pénalisé par des résultats décevants (GTT −12,6 %)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https://www.optionfinance.fr/info-financiere-en-continu/d/2026-10-26-genmab-porte-par-des-avancees-prometteuses-gtt-penalise-par-des-resultats-decevants.html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GTT en Boursorama: hilo «C’est vraiment la chute libre avec + de 13% de baisse à 178»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https://www.boursorama.com/bourse/forum/1rPGTT/detail/468600777/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GTT en Boursorama: hilo «GTT confirme ses objectifs alors pourquoi l’action baisse ce matin?»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https://www.boursorama.com/bourse/forum/1rPGTT/detail/468600754/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GTT en Boursorama: hilo «RESULTATS» (comunicado del 3T y debate de la noche del 23-oct)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https://www.boursorama.com/bourse/forum/1rPGTT/detail/468597625/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GTT en Boursorama: hilo «Pourquoi une telle baisse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https://www.boursorama.com/bourse/forum/1rPGTT/detail/468578029/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GTT en Boursorama: hilo «Estimation CA de GTT sur les 5 prochaines années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https://www.boursorama.com/bourse/forum/1rPGTT/detail/468571228/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GTT en Boursorama: hilos «Update positions short» y «Hengli Dalian», leídos para el informe del 16-oct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https://www.boursorama.com/bourse/forum/1rPGTT/detail/468568438/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GTT : le creux des commandes de 2025 pèse sur les comptes, mais les perspectives restent intactes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https://www.abcbourse.com/analyses/gtt_le_creux_des_commandes_de_2025_pese_sur_les_comptes_mais_les_perspectives_restent_intactes-7162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91,6 %</w:t>
      </w:r>
      <w:r>
        <w:t xml:space="preserve"> · Secciones con menos del 60 % de campos cubiertos: </w:t>
      </w:r>
      <w:r>
        <w:rPr>
          <w:b/>
          <w:bCs/>
        </w:rPr>
        <w:t xml:space="preserve">ninguna</w:t>
      </w:r>
      <w:r>
        <w:t xml:space="preserve"> · Generado el 26 oct 2026.</w:t>
      </w:r>
    </w:p>
    <w:p>
      <w:pPr>
        <w:pStyle w:val="Nota"/>
        <w:spacing w:after="100"/>
      </w:pPr>
      <w:r>
        <w:t xml:space="preserve">Línea cotizada: Gaztransport &amp; Technigaz SA en Euronext París (GTT), en EUR, la divisa de las cuentas. Precio: 205,00 EUR, cierre del viernes 23-oct-2026, último cierre disponible a la fecha de corte; la actividad del 3T se publicó ese día tras el cierre y la sesión del 26-oct estaba abierta al cerrar el informe, con la acción cerca de 178 EUR (−13 % intradía) [27, 46]. El bloque de movimiento usa esa cotización intradía. Las cuentas 2020-2025 salen del XBRL ESEF [9] y se comprueban con el URD 2025 y las notas de resultados [1, 2]; el último balance es el de 30-jun-2026 (la actividad del 3T solo da ingresos y pedidos) [3, 13]. La empresa presenta la cuenta por naturaleza: el EBIT publicado incluye el resultado no corriente, que se devuelve al EBITDA (2025: 48,7 M de la reestructuración de Elogen). No hay resultado por segmento publicado: solo ingresos. El BPA del objetivo a 12 meses y su historia son el BPA publicado (la empresa no publica uno ajustado). El consenso de los proveedores aún no recoge el 3T. Los comparables no son licenciadores: son referencias de múltiplo del ciclo del GNL, con consenso de Stock Analysis del 15-oct llevado al cierre del 23-oct con la variación de cada acción [17, 27, 35, 36, 37, 38, 39].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Gaztransport &amp; Technigaz SA (GTT)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205,00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(153,80 – 227,00)</c:v>
                </c:pt>
                <c:pt idx="1">
                  <c:v>Precio objetivo de los analistas (184,00 – 275,00)</c:v>
                </c:pt>
                <c:pt idx="2">
                  <c:v>Comparables: PER NTM (113,90 – 244,19)</c:v>
                </c:pt>
                <c:pt idx="3">
                  <c:v>Transacciones precedentes (EV/EBITDA) (201,75 – 212,69)</c:v>
                </c:pt>
                <c:pt idx="4">
                  <c:v>DCF (WACC y g ± 0,5) (171,47 – 223,00)</c:v>
                </c:pt>
                <c:pt idx="5">
                  <c:v>Escenarios (bajista – alcista) (153,78 – 220,55)</c:v>
                </c:pt>
                <c:pt idx="6">
                  <c:v>DCF con la prima implícita del mercado (4,2 %)</c:v>
                </c:pt>
                <c:pt idx="7">
                  <c:v>Precio actual (205,00)</c:v>
                </c:pt>
              </c:strCache>
            </c:strRef>
          </c:cat>
          <c:val>
            <c:numRef>
              <c:f>Hoja1!$B$2:$B$9</c:f>
              <c:numCache>
                <c:formatCode>#,##0</c:formatCode>
                <c:ptCount val="8"/>
                <c:pt idx="0">
                  <c:v>153.8</c:v>
                </c:pt>
                <c:pt idx="1">
                  <c:v>184</c:v>
                </c:pt>
                <c:pt idx="2">
                  <c:v>113.9</c:v>
                </c:pt>
                <c:pt idx="3">
                  <c:v>201.75</c:v>
                </c:pt>
                <c:pt idx="4">
                  <c:v>171.47</c:v>
                </c:pt>
                <c:pt idx="5">
                  <c:v>153.78</c:v>
                </c:pt>
                <c:pt idx="6">
                  <c:v>209.7</c:v>
                </c:pt>
                <c:pt idx="7">
                  <c:v>203.98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(153,80 – 227,00)</c:v>
                </c:pt>
                <c:pt idx="1">
                  <c:v>Precio objetivo de los analistas (184,00 – 275,00)</c:v>
                </c:pt>
                <c:pt idx="2">
                  <c:v>Comparables: PER NTM (113,90 – 244,19)</c:v>
                </c:pt>
                <c:pt idx="3">
                  <c:v>Transacciones precedentes (EV/EBITDA) (201,75 – 212,69)</c:v>
                </c:pt>
                <c:pt idx="4">
                  <c:v>DCF (WACC y g ± 0,5) (171,47 – 223,00)</c:v>
                </c:pt>
                <c:pt idx="5">
                  <c:v>Escenarios (bajista – alcista) (153,78 – 220,55)</c:v>
                </c:pt>
                <c:pt idx="6">
                  <c:v>DCF con la prima implícita del mercado (4,2 %)</c:v>
                </c:pt>
                <c:pt idx="7">
                  <c:v>Precio actual (205,00)</c:v>
                </c:pt>
              </c:strCache>
            </c:strRef>
          </c:cat>
          <c:val>
            <c:numRef>
              <c:f>Hoja1!$C$2:$C$9</c:f>
              <c:numCache>
                <c:formatCode>#,##0</c:formatCode>
                <c:ptCount val="8"/>
                <c:pt idx="0">
                  <c:v>73.19999999999999</c:v>
                </c:pt>
                <c:pt idx="1">
                  <c:v>91</c:v>
                </c:pt>
                <c:pt idx="2">
                  <c:v>130.29</c:v>
                </c:pt>
                <c:pt idx="3">
                  <c:v>10.939999999999998</c:v>
                </c:pt>
                <c:pt idx="4">
                  <c:v>51.53</c:v>
                </c:pt>
                <c:pt idx="5">
                  <c:v>66.77000000000001</c:v>
                </c:pt>
                <c:pt idx="6">
                  <c:v>41.85000000000002</c:v>
                </c:pt>
                <c:pt idx="7">
                  <c:v>2.0400000000000205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Sistemas de contención (cánones de nuevas construcciones)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292.4</c:v>
                </c:pt>
                <c:pt idx="1">
                  <c:v>279.5</c:v>
                </c:pt>
                <c:pt idx="2">
                  <c:v>389.5</c:v>
                </c:pt>
                <c:pt idx="3">
                  <c:v>591.1</c:v>
                </c:pt>
                <c:pt idx="4">
                  <c:v>739.3</c:v>
                </c:pt>
              </c:numCache>
            </c:numRef>
          </c:val>
        </c:ser>
        <c:ser>
          <c:idx val="1"/>
          <c:order val="1"/>
          <c:tx>
            <c:strRef>
              <c:f>Hoja1!$C$1</c:f>
              <c:strCache>
                <c:ptCount val="1"/>
                <c:pt idx="0">
                  <c:v>Servicios y soluciones marinas y digitales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17.4</c:v>
                </c:pt>
                <c:pt idx="1">
                  <c:v>23.1</c:v>
                </c:pt>
                <c:pt idx="2">
                  <c:v>28.1</c:v>
                </c:pt>
                <c:pt idx="3">
                  <c:v>38.9</c:v>
                </c:pt>
                <c:pt idx="4">
                  <c:v>59.1</c:v>
                </c:pt>
              </c:numCache>
            </c:numRef>
          </c:val>
        </c:ser>
        <c:ser>
          <c:idx val="2"/>
          <c:order val="2"/>
          <c:tx>
            <c:strRef>
              <c:f>Hoja1!$D$1</c:f>
              <c:strCache>
                <c:ptCount val="1"/>
                <c:pt idx="0">
                  <c:v>Electrolizadores (Elogen)</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c:v>
                </c:pt>
                <c:pt idx="1">
                  <c:v>4.7</c:v>
                </c:pt>
                <c:pt idx="2">
                  <c:v>10.1</c:v>
                </c:pt>
                <c:pt idx="3">
                  <c:v>11.4</c:v>
                </c:pt>
                <c:pt idx="4">
                  <c:v>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Sistemas de contención (cánones de nuevas construcciones)</c:v>
                </c:pt>
                <c:pt idx="1">
                  <c:v>Servicios y soluciones marinas y digitales</c:v>
                </c:pt>
                <c:pt idx="2">
                  <c:v>Electrolizadores (Elogen)</c:v>
                </c:pt>
              </c:strCache>
            </c:strRef>
          </c:cat>
          <c:val>
            <c:numRef>
              <c:f>Hoja1!$B$2:$B$4</c:f>
              <c:numCache>
                <c:formatCode>General</c:formatCode>
                <c:ptCount val="3"/>
                <c:pt idx="0">
                  <c:v>92.1</c:v>
                </c:pt>
                <c:pt idx="1">
                  <c:v>7.4</c:v>
                </c:pt>
                <c:pt idx="2">
                  <c:v>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Corea del Sur</c:v>
                </c:pt>
                <c:pt idx="1">
                  <c:v>China</c:v>
                </c:pt>
                <c:pt idx="2">
                  <c:v>Otros</c:v>
                </c:pt>
              </c:strCache>
            </c:strRef>
          </c:cat>
          <c:val>
            <c:numRef>
              <c:f>Hoja1!$B$2:$B$4</c:f>
              <c:numCache>
                <c:formatCode>0"%"</c:formatCode>
                <c:ptCount val="3"/>
                <c:pt idx="0">
                  <c:v>68</c:v>
                </c:pt>
                <c:pt idx="1">
                  <c:v>25</c:v>
                </c:pt>
                <c:pt idx="2">
                  <c:v>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(metaneros encargados al año (unidades))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48</c:v>
                </c:pt>
                <c:pt idx="1">
                  <c:v>57</c:v>
                </c:pt>
                <c:pt idx="2">
                  <c:v>41</c:v>
                </c:pt>
                <c:pt idx="3">
                  <c:v>68</c:v>
                </c:pt>
                <c:pt idx="4">
                  <c:v>162</c:v>
                </c:pt>
                <c:pt idx="5">
                  <c:v>73</c:v>
                </c:pt>
                <c:pt idx="6">
                  <c:v>72</c:v>
                </c:pt>
                <c:pt idx="7">
                  <c:v>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3</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GTT</c:v>
                </c:pt>
                <c:pt idx="1">
                  <c:v>Moss Maritime (grupo Saipem)</c:v>
                </c:pt>
                <c:pt idx="2">
                  <c:v>KC LNG Tech (Kogas y astilleros coreanos), KC-1 y KC-2</c:v>
                </c:pt>
                <c:pt idx="3">
                  <c:v>IHI (SPB, tipo B prismático)</c:v>
                </c:pt>
                <c:pt idx="4">
                  <c:v>Samsung Heavy Industries, Hyundai Heavy Industries, Hanwha Ocean y Jiangnan (sistemas propios)</c:v>
                </c:pt>
                <c:pt idx="5">
                  <c:v>Wärtsilä</c:v>
                </c:pt>
              </c:strCache>
            </c:strRef>
          </c:cat>
          <c:val>
            <c:numRef>
              <c:f>Hoja1!$B$2:$B$7</c:f>
              <c:numCache>
                <c:formatCode>0.0"%"</c:formatCode>
                <c:ptCount val="6"/>
                <c:pt idx="0">
                  <c:v>64.9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5</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396.4</c:v>
                </c:pt>
                <c:pt idx="1">
                  <c:v>314.7</c:v>
                </c:pt>
                <c:pt idx="2">
                  <c:v>307.3</c:v>
                </c:pt>
                <c:pt idx="3">
                  <c:v>427.7</c:v>
                </c:pt>
                <c:pt idx="4">
                  <c:v>641.4</c:v>
                </c:pt>
                <c:pt idx="5">
                  <c:v>803</c:v>
                </c:pt>
                <c:pt idx="6">
                  <c:v>757</c:v>
                </c:pt>
                <c:pt idx="7">
                  <c:v>818</c:v>
                </c:pt>
                <c:pt idx="8">
                  <c:v>898</c:v>
                </c:pt>
                <c:pt idx="9">
                  <c:v>925</c:v>
                </c:pt>
                <c:pt idx="10">
                  <c:v>906</c:v>
                </c:pt>
                <c:pt idx="11">
                  <c:v>879</c:v>
                </c:pt>
                <c:pt idx="12">
                  <c:v>901</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242.7</c:v>
                </c:pt>
                <c:pt idx="1">
                  <c:v>172.2</c:v>
                </c:pt>
                <c:pt idx="2">
                  <c:v>161.1</c:v>
                </c:pt>
                <c:pt idx="3">
                  <c:v>234.5</c:v>
                </c:pt>
                <c:pt idx="4">
                  <c:v>388.1</c:v>
                </c:pt>
                <c:pt idx="5">
                  <c:v>541.8000000000001</c:v>
                </c:pt>
                <c:pt idx="6">
                  <c:v>507</c:v>
                </c:pt>
                <c:pt idx="7">
                  <c:v>544</c:v>
                </c:pt>
                <c:pt idx="8">
                  <c:v>597</c:v>
                </c:pt>
                <c:pt idx="9">
                  <c:v>610</c:v>
                </c:pt>
                <c:pt idx="10">
                  <c:v>594</c:v>
                </c:pt>
                <c:pt idx="11">
                  <c:v>571</c:v>
                </c:pt>
                <c:pt idx="12">
                  <c:v>586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97.8</c:v>
                </c:pt>
                <c:pt idx="1">
                  <c:v>96</c:v>
                </c:pt>
                <c:pt idx="2">
                  <c:v>95.6</c:v>
                </c:pt>
                <c:pt idx="3">
                  <c:v>95.8</c:v>
                </c:pt>
                <c:pt idx="4">
                  <c:v>95.6</c:v>
                </c:pt>
                <c:pt idx="5">
                  <c:v>97.5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61.2</c:v>
                </c:pt>
                <c:pt idx="1">
                  <c:v>54.7</c:v>
                </c:pt>
                <c:pt idx="2">
                  <c:v>52.4</c:v>
                </c:pt>
                <c:pt idx="3">
                  <c:v>54.8</c:v>
                </c:pt>
                <c:pt idx="4">
                  <c:v>60.5</c:v>
                </c:pt>
                <c:pt idx="5">
                  <c:v>67.5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59.6</c:v>
                </c:pt>
                <c:pt idx="1">
                  <c:v>52.3</c:v>
                </c:pt>
                <c:pt idx="2">
                  <c:v>49.5</c:v>
                </c:pt>
                <c:pt idx="3">
                  <c:v>52.3</c:v>
                </c:pt>
                <c:pt idx="4">
                  <c:v>58.4</c:v>
                </c:pt>
                <c:pt idx="5">
                  <c:v>64.9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50.2</c:v>
                </c:pt>
                <c:pt idx="1">
                  <c:v>42.6</c:v>
                </c:pt>
                <c:pt idx="2">
                  <c:v>41.8</c:v>
                </c:pt>
                <c:pt idx="3">
                  <c:v>47.1</c:v>
                </c:pt>
                <c:pt idx="4">
                  <c:v>54.2</c:v>
                </c:pt>
                <c:pt idx="5">
                  <c:v>51.5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65.8</c:v>
                </c:pt>
                <c:pt idx="1">
                  <c:v>38.7</c:v>
                </c:pt>
                <c:pt idx="2">
                  <c:v>31.9</c:v>
                </c:pt>
                <c:pt idx="3">
                  <c:v>19.5</c:v>
                </c:pt>
                <c:pt idx="4">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95</c:v>
                </c:pt>
                <c:pt idx="1">
                  <c:v>82</c:v>
                </c:pt>
                <c:pt idx="2">
                  <c:v>140</c:v>
                </c:pt>
                <c:pt idx="3">
                  <c:v>135</c:v>
                </c:pt>
                <c:pt idx="4">
                  <c:v>78</c:v>
                </c:pt>
                <c:pt idx="5">
                  <c:v>59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4">
                  <c:v>43</c:v>
                </c:pt>
                <c:pt idx="5">
                  <c:v>35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43</c:v>
                </c:pt>
                <c:pt idx="1">
                  <c:v>55</c:v>
                </c:pt>
                <c:pt idx="2">
                  <c:v>59</c:v>
                </c:pt>
                <c:pt idx="3">
                  <c:v>61</c:v>
                </c:pt>
                <c:pt idx="4">
                  <c:v>64</c:v>
                </c:pt>
                <c:pt idx="5">
                  <c:v>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137.50000000000003</c:v>
                </c:pt>
                <c:pt idx="1">
                  <c:v>194.4</c:v>
                </c:pt>
                <c:pt idx="2">
                  <c:v>117.60000000000001</c:v>
                </c:pt>
                <c:pt idx="3">
                  <c:v>171.6</c:v>
                </c:pt>
                <c:pt idx="4">
                  <c:v>314.3</c:v>
                </c:pt>
                <c:pt idx="5">
                  <c:v>377.59999999999997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198.9</c:v>
                </c:pt>
                <c:pt idx="1">
                  <c:v>134.1</c:v>
                </c:pt>
                <c:pt idx="2">
                  <c:v>128.3</c:v>
                </c:pt>
                <c:pt idx="3">
                  <c:v>201.4</c:v>
                </c:pt>
                <c:pt idx="4">
                  <c:v>347.8</c:v>
                </c:pt>
                <c:pt idx="5">
                  <c:v>413.6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183.5</c:v>
                </c:pt>
                <c:pt idx="1">
                  <c:v>170.7</c:v>
                </c:pt>
                <c:pt idx="2">
                  <c:v>258.1</c:v>
                </c:pt>
                <c:pt idx="3">
                  <c:v>298.1</c:v>
                </c:pt>
                <c:pt idx="4">
                  <c:v>303</c:v>
                </c:pt>
                <c:pt idx="5">
                  <c:v>177.5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8.2</c:v>
                </c:pt>
                <c:pt idx="1">
                  <c:v>8.2</c:v>
                </c:pt>
                <c:pt idx="2">
                  <c:v>8.2</c:v>
                </c:pt>
                <c:pt idx="3">
                  <c:v>8.2</c:v>
                </c:pt>
                <c:pt idx="4">
                  <c:v>8.2</c:v>
                </c:pt>
                <c:pt idx="5">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81.5</c:v>
                </c:pt>
                <c:pt idx="1">
                  <c:v>54.5</c:v>
                </c:pt>
                <c:pt idx="2">
                  <c:v>50.6</c:v>
                </c:pt>
                <c:pt idx="3">
                  <c:v>67.6</c:v>
                </c:pt>
                <c:pt idx="4">
                  <c:v>87.2</c:v>
                </c:pt>
                <c:pt idx="5">
                  <c:v>78.8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-0.56</c:v>
                </c:pt>
                <c:pt idx="1">
                  <c:v>-1.16</c:v>
                </c:pt>
                <c:pt idx="2">
                  <c:v>-1.3</c:v>
                </c:pt>
                <c:pt idx="3">
                  <c:v>-1.11</c:v>
                </c:pt>
                <c:pt idx="4">
                  <c:v>-0.84</c:v>
                </c:pt>
                <c:pt idx="5">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40.3</c:v>
                </c:pt>
                <c:pt idx="1">
                  <c:v>40</c:v>
                </c:pt>
                <c:pt idx="2">
                  <c:v>30</c:v>
                </c:pt>
                <c:pt idx="3">
                  <c:v>18.3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8</c:v>
                </c:pt>
                <c:pt idx="1">
                  <c:v>0</c:v>
                </c:pt>
                <c:pt idx="2">
                  <c:v>2.3</c:v>
                </c:pt>
                <c:pt idx="3">
                  <c:v>4.1</c:v>
                </c:pt>
                <c:pt idx="4">
                  <c:v>11.6</c:v>
                </c:pt>
                <c:pt idx="5">
                  <c:v>194.1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157.6</c:v>
                </c:pt>
                <c:pt idx="1">
                  <c:v>115.7</c:v>
                </c:pt>
                <c:pt idx="2">
                  <c:v>121.8</c:v>
                </c:pt>
                <c:pt idx="3">
                  <c:v>125.6</c:v>
                </c:pt>
                <c:pt idx="4">
                  <c:v>228.9</c:v>
                </c:pt>
                <c:pt idx="5">
                  <c:v>290.2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0.1</c:v>
                </c:pt>
                <c:pt idx="2">
                  <c:v>0</c:v>
                </c:pt>
                <c:pt idx="3">
                  <c:v>0</c:v>
                </c:pt>
                <c:pt idx="4">
                  <c:v>2.5</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FMR (Fidelity)</c:v>
                </c:pt>
                <c:pt idx="1">
                  <c:v>BlackRock</c:v>
                </c:pt>
                <c:pt idx="2">
                  <c:v>Directivos y empleados</c:v>
                </c:pt>
                <c:pt idx="3">
                  <c:v>Autocartera</c:v>
                </c:pt>
                <c:pt idx="4">
                  <c:v>Engie</c:v>
                </c:pt>
              </c:strCache>
            </c:strRef>
          </c:cat>
          <c:val>
            <c:numRef>
              <c:f>Hoja1!$B$2:$B$6</c:f>
              <c:numCache>
                <c:formatCode>0.0"%"</c:formatCode>
                <c:ptCount val="5"/>
                <c:pt idx="0">
                  <c:v>5.12</c:v>
                </c:pt>
                <c:pt idx="1">
                  <c:v>4.95</c:v>
                </c:pt>
                <c:pt idx="2">
                  <c:v>1</c:v>
                </c:pt>
                <c:pt idx="3">
                  <c:v>0.1</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16.3</c:v>
                </c:pt>
                <c:pt idx="1">
                  <c:v>30.2</c:v>
                </c:pt>
                <c:pt idx="2">
                  <c:v>40.5</c:v>
                </c:pt>
                <c:pt idx="3">
                  <c:v>32.4</c:v>
                </c:pt>
                <c:pt idx="4">
                  <c:v>-2.2</c:v>
                </c:pt>
                <c:pt idx="5">
                  <c:v>8.8</c:v>
                </c:pt>
                <c:pt idx="6">
                  <c:v>24.9</c:v>
                </c:pt>
                <c:pt idx="7">
                  <c:v>24</c:v>
                </c:pt>
                <c:pt idx="8">
                  <c:v>12.7</c:v>
                </c:pt>
                <c:pt idx="9">
                  <c:v>27.6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11.6</c:v>
                </c:pt>
                <c:pt idx="1">
                  <c:v>16.6</c:v>
                </c:pt>
                <c:pt idx="2">
                  <c:v>21.6</c:v>
                </c:pt>
                <c:pt idx="3">
                  <c:v>17.9</c:v>
                </c:pt>
                <c:pt idx="4">
                  <c:v>11.5</c:v>
                </c:pt>
                <c:pt idx="5">
                  <c:v>10.3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14.1</c:v>
                </c:pt>
                <c:pt idx="1">
                  <c:v>14.1</c:v>
                </c:pt>
                <c:pt idx="2">
                  <c:v>14.1</c:v>
                </c:pt>
                <c:pt idx="3">
                  <c:v>14.1</c:v>
                </c:pt>
                <c:pt idx="4">
                  <c:v>14.1</c:v>
                </c:pt>
                <c:pt idx="5">
                  <c:v>14.1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GTT</c:v>
                </c:pt>
                <c:pt idx="1">
                  <c:v>Technip Energies</c:v>
                </c:pt>
                <c:pt idx="2">
                  <c:v>Wärtsilä</c:v>
                </c:pt>
                <c:pt idx="3">
                  <c:v>Alfa Laval</c:v>
                </c:pt>
                <c:pt idx="4">
                  <c:v>Samsung Heavy Industries</c:v>
                </c:pt>
                <c:pt idx="5">
                  <c:v>Hanwha Ocean</c:v>
                </c:pt>
                <c:pt idx="6">
                  <c:v>SBM Offshore</c:v>
                </c:pt>
              </c:strCache>
            </c:strRef>
          </c:cat>
          <c:val>
            <c:numRef>
              <c:f>Hoja1!$B$2:$B$8</c:f>
              <c:numCache>
                <c:formatCode>0.0"x"</c:formatCode>
                <c:ptCount val="7"/>
                <c:pt idx="0">
                  <c:v>13.5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Negocio de tecnología y equipos de licuefacción de GNL de Air Products</c:v>
                </c:pt>
                <c:pt idx="1">
                  <c:v>Sundyne (bombas y compresores criogénicos y de proceso)</c:v>
                </c:pt>
                <c:pt idx="2">
                  <c:v>Chart Industries (equipos criogénicos y de GNL)</c:v>
                </c:pt>
                <c:pt idx="3">
                  <c:v>Danelec (registradores de datos de viaje)</c:v>
                </c:pt>
              </c:strCache>
            </c:strRef>
          </c:cat>
          <c:val>
            <c:numRef>
              <c:f>Hoja1!$B$2:$B$5</c:f>
              <c:numCache>
                <c:formatCode>0.0"x"</c:formatCode>
                <c:ptCount val="4"/>
                <c:pt idx="0">
                  <c:v>13</c:v>
                </c:pt>
                <c:pt idx="1">
                  <c:v>14.5</c:v>
                </c:pt>
                <c:pt idx="2">
                  <c:v>13.6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405</c:v>
                </c:pt>
                <c:pt idx="1">
                  <c:v>429</c:v>
                </c:pt>
                <c:pt idx="2">
                  <c:v>473</c:v>
                </c:pt>
                <c:pt idx="3">
                  <c:v>485</c:v>
                </c:pt>
                <c:pt idx="4">
                  <c:v>469</c:v>
                </c:pt>
                <c:pt idx="5">
                  <c:v>451</c:v>
                </c:pt>
                <c:pt idx="6">
                  <c:v>459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2241</c:v>
                </c:pt>
                <c:pt idx="1">
                  <c:v>4633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205,00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153.78</c:v>
                </c:pt>
                <c:pt idx="1">
                  <c:v>193.13</c:v>
                </c:pt>
                <c:pt idx="2">
                  <c:v>220.55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205,00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(153,80 – 227,00)</c:v>
                </c:pt>
                <c:pt idx="1">
                  <c:v>Precio objetivo de los analistas (184,00 – 275,00)</c:v>
                </c:pt>
                <c:pt idx="2">
                  <c:v>Comparables: PER NTM (113,90 – 244,19)</c:v>
                </c:pt>
                <c:pt idx="3">
                  <c:v>Transacciones precedentes (EV/EBITDA) (201,75 – 212,69)</c:v>
                </c:pt>
                <c:pt idx="4">
                  <c:v>DCF (WACC y g ± 0,5) (171,47 – 223,00)</c:v>
                </c:pt>
                <c:pt idx="5">
                  <c:v>Escenarios (bajista – alcista) (153,78 – 220,55)</c:v>
                </c:pt>
                <c:pt idx="6">
                  <c:v>DCF con la prima implícita del mercado (4,2 %)</c:v>
                </c:pt>
                <c:pt idx="7">
                  <c:v>Precio actual (205,00)</c:v>
                </c:pt>
              </c:strCache>
            </c:strRef>
          </c:cat>
          <c:val>
            <c:numRef>
              <c:f>Hoja1!$B$2:$B$9</c:f>
              <c:numCache>
                <c:formatCode>#,##0</c:formatCode>
                <c:ptCount val="8"/>
                <c:pt idx="0">
                  <c:v>153.8</c:v>
                </c:pt>
                <c:pt idx="1">
                  <c:v>184</c:v>
                </c:pt>
                <c:pt idx="2">
                  <c:v>113.9</c:v>
                </c:pt>
                <c:pt idx="3">
                  <c:v>201.75</c:v>
                </c:pt>
                <c:pt idx="4">
                  <c:v>171.47</c:v>
                </c:pt>
                <c:pt idx="5">
                  <c:v>153.78</c:v>
                </c:pt>
                <c:pt idx="6">
                  <c:v>209.7</c:v>
                </c:pt>
                <c:pt idx="7">
                  <c:v>203.98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(153,80 – 227,00)</c:v>
                </c:pt>
                <c:pt idx="1">
                  <c:v>Precio objetivo de los analistas (184,00 – 275,00)</c:v>
                </c:pt>
                <c:pt idx="2">
                  <c:v>Comparables: PER NTM (113,90 – 244,19)</c:v>
                </c:pt>
                <c:pt idx="3">
                  <c:v>Transacciones precedentes (EV/EBITDA) (201,75 – 212,69)</c:v>
                </c:pt>
                <c:pt idx="4">
                  <c:v>DCF (WACC y g ± 0,5) (171,47 – 223,00)</c:v>
                </c:pt>
                <c:pt idx="5">
                  <c:v>Escenarios (bajista – alcista) (153,78 – 220,55)</c:v>
                </c:pt>
                <c:pt idx="6">
                  <c:v>DCF con la prima implícita del mercado (4,2 %)</c:v>
                </c:pt>
                <c:pt idx="7">
                  <c:v>Precio actual (205,00)</c:v>
                </c:pt>
              </c:strCache>
            </c:strRef>
          </c:cat>
          <c:val>
            <c:numRef>
              <c:f>Hoja1!$C$2:$C$9</c:f>
              <c:numCache>
                <c:formatCode>#,##0</c:formatCode>
                <c:ptCount val="8"/>
                <c:pt idx="0">
                  <c:v>73.19999999999999</c:v>
                </c:pt>
                <c:pt idx="1">
                  <c:v>91</c:v>
                </c:pt>
                <c:pt idx="2">
                  <c:v>130.29</c:v>
                </c:pt>
                <c:pt idx="3">
                  <c:v>10.939999999999998</c:v>
                </c:pt>
                <c:pt idx="4">
                  <c:v>51.53</c:v>
                </c:pt>
                <c:pt idx="5">
                  <c:v>66.77000000000001</c:v>
                </c:pt>
                <c:pt idx="6">
                  <c:v>41.85000000000002</c:v>
                </c:pt>
                <c:pt idx="7">
                  <c:v>2.0400000000000205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