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Sweco AB (publ)</w:t>
      </w:r>
    </w:p>
    <w:p>
      <w:pPr>
        <w:spacing w:after="60"/>
        <w:rPr>
          <w:color w:val="52514E"/>
          <w:sz w:val="22"/>
          <w:szCs w:val="22"/>
        </w:rPr>
      </w:pPr>
      <w:r>
        <w:rPr>
          <w:color w:val="52514E"/>
          <w:sz w:val="22"/>
          <w:szCs w:val="22"/>
        </w:rPr>
        <w:t xml:space="preserve">SWEC B · Nasdaq Stockholm (Large Cap) · ISIN SE0000489098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132,20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150,51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+16,6 % (base +19,1 %)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110,81 SEK · mercado 139,79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47.909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Sweco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SWEC B / SE0000489098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All-Share (OMXSPI)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(ingeniería y arquitectura)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Estocolmo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www.swecogroup.com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132,20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122,00 – 179,80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47.909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54.588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38,4 M SEK/día (3 meses,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150,51 SEK</w:t>
      </w:r>
      <w:r>
        <w:t xml:space="preserve"> frente a 132,20 · Rentabilidad a 12 meses </w:t>
      </w:r>
      <w:r>
        <w:rPr>
          <w:b/>
          <w:bCs/>
        </w:rPr>
        <w:t xml:space="preserve">+16,6 % (base +19,1 %)</w:t>
      </w:r>
      <w:r>
        <w:t xml:space="preserve"> · Valor intrínseco 110,81 SEK · con la prima implícita del mercado: 139,79 (+5,7 %) · Alcista / bajista -2,0 % / -39,8 %</w:t>
      </w:r>
    </w:p>
    <w:p>
      <w:pPr>
        <w:spacing w:after="100"/>
      </w:pPr>
      <w:r>
        <w:rPr>
          <w:b/>
        </w:rPr>
        <w:t xml:space="preserve">Recomendación: Mantener, convicción baja.</w:t>
      </w:r>
      <w:r>
        <w:t xml:space="preserve"> Sweco cotiza a 132,20 SEK (cierre del 14-oct-2026; una acción ≈ 11,85 EUR, el 0,04 % de una cartera de 30.000 EUR). Nuestro objetivo a 12 meses es de 150,51 SEK (PER 2028e × BPA 2028e, ponderado 25/50/25), una rentabilidad del 16,6 % con dividendo y del 19,1 % en el caso base, con la regla v3; con la v2 (PER de cierre) baja al 11,4 % y al 8,7 %. No es compra porque el valor intrínseco (110,81 SEK, −16,2 %) queda por debajo del precio: el múltiplo sube porque el mercado ha pagado históricamente 21-26 veces, no porque el negocio orgánico valga más. Las reglas discrepan (absoluta Vender, relativa Mantener) y por eso la convicción es baja.</w:t>
      </w:r>
    </w:p>
    <w:p>
      <w:pPr>
        <w:spacing w:after="100"/>
      </w:pPr>
      <w:r>
        <w:rPr>
          <w:b/>
        </w:rPr>
        <w:t xml:space="preserve">El negocio.</w:t>
      </w:r>
      <w:r>
        <w:t xml:space="preserve"> Es el mayor consultor de arquitectura e ingeniería de Europa (≈2,6 % de un mercado muy fragmentado), con un margen EBITA del 10,5 %, el doble que AFRY o Arcadis. Suecia pesa el 29 % de las ventas; vivienda, promotores y construcción son el 17 % de los clientes y edificios el 38 % del trabajo, el lado cíclico. El 62 % ya es agua, energía, transporte, industria y defensa, que crecen y dependen de presupuesto público (39 % de los clientes) y de la transición energética.</w:t>
      </w:r>
    </w:p>
    <w:p>
      <w:pPr>
        <w:spacing w:after="100"/>
      </w:pPr>
      <w:r>
        <w:rPr>
          <w:b/>
        </w:rPr>
        <w:t xml:space="preserve">Calidad: En parte.</w:t>
      </w:r>
      <w:r>
        <w:t xml:space="preserve"> El ROIC es del 13,8 % frente a un WACC del 8,21 % (+5,6 puntos), estable desde 2020. Sin fondo de comercio llega al 38 %, pero Sweco es un comprador en serie (el fondo de comercio es el 64 % del capital invertido) y el que cuenta es el publicado; el ROIC incremental es del 13,2 %. Convierte en caja más del 100 % del beneficio. La sostenibilidad del crecimiento la juzgamos «En parte» (el motor dice «Sí»): el 7-9 % histórico se apoya en compras y en subidas de tarifa del 3-4 %, y el orgánico de volumen es casi plano (tasa de facturación del 74-76 %). Por eso proyectamos desde 2027e solo el orgánico, un 3,5 %.</w:t>
      </w:r>
    </w:p>
    <w:p>
      <w:pPr>
        <w:spacing w:after="100"/>
      </w:pPr>
      <w:r>
        <w:rPr>
          <w:b/>
        </w:rPr>
        <w:t xml:space="preserve">Riesgo de la IA (exposición alta, sentido mixto).</w:t>
      </w:r>
      <w:r>
        <w:t xml:space="preserve"> El personal es el 66 % de las ventas y Sweco cobra horas. Si la IA hace los mismos planos con menos horas y el cliente lo exige en el precio, las ventas por proyecto caen (caso adverso: −15 % de valor a 3-5 años). Si Sweco cobra por entregable y se queda la productividad, el margen sube (+5 %). La responsabilidad legal del diseño, la escasez de ingenieros y el volumen de inversión en redes, agua y defensa amortiguan el golpe, pero el mercado ya lo descuenta: el PER adelantado es de 18,4 veces, frente a una mediana de 23,1 en cinco años. Booz Allen, también de horas, muestra que el riesgo es el cliente que paga, más que la técnica.</w:t>
      </w:r>
    </w:p>
    <w:p>
      <w:pPr>
        <w:spacing w:after="100"/>
      </w:pPr>
      <w:r>
        <w:rPr>
          <w:b/>
        </w:rPr>
        <w:t xml:space="preserve">Valoración.</w:t>
      </w:r>
      <w:r>
        <w:t xml:space="preserve"> DCF de 116,57 SEK (WACC 8,21 %, crecimiento terminal 2,5 %, valor terminal 71 %). El DCF inverso pide un 7,0 % anual de crecimiento, el doble de nuestro orgánico. Los comparables (PER mediano de 11,9 veces: WSP, AFRY, Arcadis, Tetra Tech, Norconsult) dan 92 SEK, aunque Sweco merece prima por margen y ROIC. Con la prima implícita del mercado (4,2 %) el valor sube a 139,79 SEK.</w:t>
      </w:r>
    </w:p>
    <w:p>
      <w:pPr>
        <w:spacing w:after="100"/>
      </w:pPr>
      <w:r>
        <w:rPr>
          <w:b/>
        </w:rPr>
        <w:t xml:space="preserve">Gobierno.</w:t>
      </w:r>
      <w:r>
        <w:t xml:space="preserve"> La familia Nordström (33,9 % de los votos con acciones A) y Latour (21,0 %) controlan; la presidencia es de Johan Nordström. La consejera delegada Åsa Bergman dimitió el 2-oct-2026: la sucesión es el riesgo de ejecución inmediato.</w:t>
      </w:r>
    </w:p>
    <w:p>
      <w:pPr>
        <w:spacing w:after="100"/>
      </w:pPr>
      <w:r>
        <w:rPr>
          <w:b/>
        </w:rPr>
        <w:t xml:space="preserve">Sentimiento.</w:t>
      </w:r>
      <w:r>
        <w:t xml:space="preserve"> Dividido y mejorando: el debate de foros y prensa de particulares gira en la IA; Handelsbanken pasó a compra por valoración.</w:t>
      </w:r>
    </w:p>
    <w:p>
      <w:pPr>
        <w:spacing w:after="100"/>
      </w:pPr>
      <w:r>
        <w:rPr>
          <w:b/>
        </w:rPr>
        <w:t xml:space="preserve">Qué haríamos.</w:t>
      </w:r>
      <w:r>
        <w:t xml:space="preserve"> Comprar por debajo de 110,81 SEK; vender por encima de 171,34 SEK. Vigilar los resultados del 3T el 29-oct-2026 (crecimiento orgánico, tasa de facturación y precios por hora) y el nombre del nuevo primer ejecutivo.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150,51 SEK</w:t>
      </w:r>
      <w:r>
        <w:t xml:space="preserve"> (rentabilidad +16,6 % (base +19,1 %)) · Valor intrínseco: 110,81 SEK (-16,2 % sobre 132,20) · con la prima implícita del mercado: 139,79 (+5,7 %)</w:t>
      </w:r>
    </w:p>
    <w:p>
      <w:pPr>
        <w:spacing w:after="100"/>
      </w:pPr>
      <w:r>
        <w:t xml:space="preserve">Sweco es la mayor consultora de arquitectura e ingeniería de Europa: 32.587 M SEK de ventas en 12 meses, 23.000 expertos y un margen EBITA del 10,5 % que dobla al de AFRY o Arcadis [2, 21]. Convierte el 122 % del beneficio en caja, tiene una deuda neta de 0,8 veces su EBITDA y crea valor: ROIC del 13,8 % frente a un WACC del 8,21 %, con un 38 % sin el fondo de comercio de sus casi 170 compras [1].</w:t>
      </w:r>
    </w:p>
    <w:p>
      <w:pPr>
        <w:spacing w:after="100"/>
      </w:pPr>
      <w:r>
        <w:t xml:space="preserve">A 132,20 SEK cotiza a 17,1 veces el beneficio de 12 meses y 11,3 veces el EBITDA, con un descuento del 16-21 % frente a su media de 2022-2025 por el temor a que la IA reduzca las horas facturables y por la dimisión de la primera ejecutiva [16, 18]. Aun así, el DCF inverso dice que el precio pide un 7,0 % de crecimiento anual: el de un comprador en serie, no el de un negocio orgánico del 3 %.</w:t>
      </w:r>
    </w:p>
    <w:p>
      <w:pPr>
        <w:spacing w:after="100"/>
      </w:pPr>
      <w:r>
        <w:t xml:space="preserve">Para invertir hay que creer dos cosas: que Sweco seguirá comprando con un ROIC del 13 % (con o sin la actual dirección) y que la IA será margen y no deflación de horas. Lo primero tiene veinte años de historial; lo segundo no se sabe todavía.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6,45 = 104,49 · 20,2x × 7,61 = 153,72 · 23,1x × 8,23 = 190,11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170,50 (nuestro base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110,81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 -39,8 %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8,2 %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139,79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110,81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110,81 y 171,34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171,34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110,81 SEK (valor intrínseco): pasaría a Comprar si se mantiene la calidad y la v2 también da ≥ 15 %.</w:t>
      </w:r>
    </w:p>
    <w:p>
      <w:pPr>
        <w:pStyle w:val="ListParagraph"/>
        <w:numPr>
          <w:ilvl w:val="0"/>
          <w:numId w:val="2"/>
        </w:numPr>
        <w:spacing w:after="60"/>
      </w:pPr>
      <w:r>
        <w:t xml:space="preserve">Precio por encima de 171,34 SEK: Vender (ponderada a 12 meses ≤ −10 %).</w:t>
      </w:r>
    </w:p>
    <w:p>
      <w:pPr>
        <w:pStyle w:val="ListParagraph"/>
        <w:numPr>
          <w:ilvl w:val="0"/>
          <w:numId w:val="2"/>
        </w:numPr>
        <w:spacing w:after="60"/>
      </w:pPr>
      <w:r>
        <w:t xml:space="preserve">Orgánico ajustado &lt; 2 % en el 3T26 y el 4T26: rebajaríamos el crecimiento del base a 2 % y la señal sería Vender a más de ≈150 SEK.</w:t>
      </w:r>
    </w:p>
    <w:p>
      <w:pPr>
        <w:pStyle w:val="ListParagraph"/>
        <w:numPr>
          <w:ilvl w:val="0"/>
          <w:numId w:val="2"/>
        </w:numPr>
        <w:spacing w:after="60"/>
      </w:pPr>
      <w:r>
        <w:t xml:space="preserve">Un margen EBITA ≥ 11,5 % durante cuatro trimestres: subiría el base y el valor intrínseco (≈+10 %).</w:t>
      </w:r>
    </w:p>
    <w:p>
      <w:pPr>
        <w:pStyle w:val="ListParagraph"/>
        <w:numPr>
          <w:ilvl w:val="0"/>
          <w:numId w:val="2"/>
        </w:numPr>
        <w:spacing w:after="60"/>
      </w:pPr>
      <w:r>
        <w:t xml:space="preserve">Un sucesor externo sin experiencia en compras de consultoría: bajaríamos el PER del base a la v2.</w:t>
      </w:r>
    </w:p>
    <w:p>
      <w:pPr>
        <w:pStyle w:val="Heading2"/>
      </w:pPr>
      <w:r>
        <w:t xml:space="preserve">Dónde discrepamos del mercado</w:t>
      </w:r>
    </w:p>
    <w:p>
      <w:pPr>
        <w:keepNext/>
        <w:spacing w:after="100"/>
      </w:pPr>
      <w:r>
        <w:rPr>
          <w:b/>
          <w:bCs/>
        </w:rPr>
        <w:t xml:space="preserve">Lo que descuenta el precio.</w:t>
      </w:r>
    </w:p>
    <w:p>
      <w:pPr>
        <w:spacing w:after="100"/>
      </w:pPr>
      <w:r>
        <w:t xml:space="preserve">Un comprador en serie que crece al 7 % anual y mantiene el ROIC del 13-14 %, con un descuento por el riesgo de la IA frente a su historia (PER adelantado de 18,4x frente a 23,1x).</w:t>
      </w:r>
    </w:p>
    <w:p>
      <w:pPr>
        <w:keepNext/>
        <w:spacing w:after="100"/>
      </w:pPr>
      <w:r>
        <w:rPr>
          <w:b/>
          <w:bCs/>
        </w:rPr>
        <w:t xml:space="preserve">Lo que creemos nosotros.</w:t>
      </w:r>
    </w:p>
    <w:p>
      <w:pPr>
        <w:spacing w:after="100"/>
      </w:pPr>
      <w:r>
        <w:t xml:space="preserve">El negocio orgánico vale 116,57 SEK; el resto del precio es el valor de las compras futuras. La IA no se ve aún en las cifras (tasa de facturación récord del 75,9 %), pero el volumen orgánico está plano y el crecimiento sale de tarifas, justo lo que la IA puede apretar.</w:t>
      </w:r>
    </w:p>
    <w:p>
      <w:pPr>
        <w:keepNext/>
        <w:spacing w:after="100"/>
      </w:pPr>
      <w:r>
        <w:rPr>
          <w:b/>
          <w:bCs/>
        </w:rPr>
        <w:t xml:space="preserve">Por qué podemos tener razón.</w:t>
      </w:r>
    </w:p>
    <w:p>
      <w:pPr>
        <w:spacing w:after="100"/>
      </w:pPr>
      <w:r>
        <w:t xml:space="preserve">La regla a 12 meses da un 16,6 % porque supone que el múltiplo vuelve a la mitad de su historia; el valor intrínseco no lo acompaña. No tenemos una visión opuesta a la del mercado: el precio es razonable si las compras siguen creando valor y caro si 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132,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margen doble</w:t>
      </w:r>
      <w:r>
        <w:t xml:space="preserve"> que AFRY o Arcadis: EBITA del 10,5 % frente al 5-8 % [1, 21].</w:t>
      </w:r>
    </w:p>
    <w:p>
      <w:pPr>
        <w:pStyle w:val="ListParagraph"/>
        <w:numPr>
          <w:ilvl w:val="0"/>
          <w:numId w:val="2"/>
        </w:numPr>
        <w:spacing w:after="60"/>
      </w:pPr>
      <w:r>
        <w:rPr>
          <w:b/>
        </w:rPr>
        <w:t xml:space="preserve">Crea valor y convierte caja</w:t>
      </w:r>
      <w:r>
        <w:t xml:space="preserve">: ROIC del 13,8 % frente a un WACC del 8,21 % y FCF del 122 % del beneficio.</w:t>
      </w:r>
    </w:p>
    <w:p>
      <w:pPr>
        <w:pStyle w:val="ListParagraph"/>
        <w:numPr>
          <w:ilvl w:val="0"/>
          <w:numId w:val="2"/>
        </w:numPr>
        <w:spacing w:after="60"/>
      </w:pPr>
      <w:r>
        <w:rPr>
          <w:b/>
        </w:rPr>
        <w:t xml:space="preserve">Exposición a lo que crece</w:t>
      </w:r>
      <w:r>
        <w:t xml:space="preserve">: agua, energía, transporte y defensa son el 62 % de las ventas; el 39 % es cliente público [1].</w:t>
      </w:r>
    </w:p>
    <w:p>
      <w:pPr>
        <w:pStyle w:val="ListParagraph"/>
        <w:numPr>
          <w:ilvl w:val="0"/>
          <w:numId w:val="2"/>
        </w:numPr>
        <w:spacing w:after="60"/>
      </w:pPr>
      <w:r>
        <w:rPr>
          <w:b/>
        </w:rPr>
        <w:t xml:space="preserve">Barata frente a su historia</w:t>
      </w:r>
      <w:r>
        <w:t xml:space="preserve">: PER adelantado de 18,4x frente a 23,1x de mediana en 2022-2025.</w:t>
      </w:r>
    </w:p>
    <w:p>
      <w:pPr>
        <w:pStyle w:val="ListParagraph"/>
        <w:numPr>
          <w:ilvl w:val="0"/>
          <w:numId w:val="2"/>
        </w:numPr>
        <w:spacing w:after="60"/>
      </w:pPr>
      <w:r>
        <w:rPr>
          <w:b/>
        </w:rPr>
        <w:t xml:space="preserve">Balance para comprar</w:t>
      </w:r>
      <w:r>
        <w:t xml:space="preserve">: deuda neta de 0,8 veces el EBITDA y 4.371 M de líneas sin usar [2].</w:t>
      </w:r>
    </w:p>
    <w:p>
      <w:pPr>
        <w:pStyle w:val="Heading2"/>
      </w:pPr>
      <w:r>
        <w:t xml:space="preserve">En contra</w:t>
      </w:r>
    </w:p>
    <w:p>
      <w:pPr>
        <w:pStyle w:val="ListParagraph"/>
        <w:numPr>
          <w:ilvl w:val="0"/>
          <w:numId w:val="2"/>
        </w:numPr>
        <w:spacing w:after="60"/>
      </w:pPr>
      <w:r>
        <w:rPr>
          <w:b/>
        </w:rPr>
        <w:t xml:space="preserve">Modelo de horas expuesto a la IA</w:t>
      </w:r>
      <w:r>
        <w:t xml:space="preserve">: personal = 66 % de las ventas; el orgánico (3 %) sale de tarifas con horas planas [1, 2].</w:t>
      </w:r>
    </w:p>
    <w:p>
      <w:pPr>
        <w:pStyle w:val="ListParagraph"/>
        <w:numPr>
          <w:ilvl w:val="0"/>
          <w:numId w:val="2"/>
        </w:numPr>
        <w:spacing w:after="60"/>
      </w:pPr>
      <w:r>
        <w:rPr>
          <w:b/>
        </w:rPr>
        <w:t xml:space="preserve">Valor intrínseco bajo el precio</w:t>
      </w:r>
      <w:r>
        <w:t xml:space="preserve">: 110,81 SEK (−16,2 %); el DCF inverso pide un 7,0 % de crecimiento.</w:t>
      </w:r>
    </w:p>
    <w:p>
      <w:pPr>
        <w:pStyle w:val="ListParagraph"/>
        <w:numPr>
          <w:ilvl w:val="0"/>
          <w:numId w:val="2"/>
        </w:numPr>
        <w:spacing w:after="60"/>
      </w:pPr>
      <w:r>
        <w:rPr>
          <w:b/>
        </w:rPr>
        <w:t xml:space="preserve">Sucesión abierta</w:t>
      </w:r>
      <w:r>
        <w:t xml:space="preserve">: la primera ejecutiva dimite (2-oct-2026) sin sucesor [16].</w:t>
      </w:r>
    </w:p>
    <w:p>
      <w:pPr>
        <w:pStyle w:val="ListParagraph"/>
        <w:numPr>
          <w:ilvl w:val="0"/>
          <w:numId w:val="2"/>
        </w:numPr>
        <w:spacing w:after="60"/>
      </w:pPr>
      <w:r>
        <w:rPr>
          <w:b/>
        </w:rPr>
        <w:t xml:space="preserve">Compras de 2025 con pérdidas</w:t>
      </w:r>
      <w:r>
        <w:t xml:space="preserve">: −126 M de EBIT con un año entero [1].</w:t>
      </w:r>
    </w:p>
    <w:p>
      <w:pPr>
        <w:pStyle w:val="ListParagraph"/>
        <w:numPr>
          <w:ilvl w:val="0"/>
          <w:numId w:val="2"/>
        </w:numPr>
        <w:spacing w:after="60"/>
      </w:pPr>
      <w:r>
        <w:rPr>
          <w:b/>
        </w:rPr>
        <w:t xml:space="preserve">Objetivo de margen nunca alcanzado</w:t>
      </w:r>
      <w:r>
        <w:t xml:space="preserve">: 12 % de EBITA frente a un máximo del 10,5 % [1].</w:t>
      </w:r>
    </w:p>
    <w:p>
      <w:pPr>
        <w:pStyle w:val="Heading2"/>
      </w:pPr>
      <w:r>
        <w:t xml:space="preserve">Qué tiene que pasar para que la tesis funcione</w:t>
      </w:r>
    </w:p>
    <w:p>
      <w:pPr>
        <w:spacing w:after="100"/>
      </w:pPr>
      <w:r>
        <w:t xml:space="preserve">La tesis depende de que el volumen (horas) no caiga mientras suben las tarifas. La señal de que falla: crecimiento orgánico por debajo del 2 % ajustado por calendario, o tasa de facturación por debajo del 74 %, dos trimestres seguidos desde el 3T26 (29-oct). La segunda: un sucesor que frene las compras o cambie el modelo descentralizado.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ajustado por calendario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y la vivienda se comen el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facturación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 (2T26); 74,8 % en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≈1,3 % de las ventas y ≈12 % del EBITA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las tarifas no cubren salarios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a tiempo completo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21.842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orgánica &gt; 2 % con ventas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que la IA sustituye horas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neta/EBITDA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más caras o grandes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Sweco es el resultado de dos décadas de compras: cerca de 170 desde 2005, con un crecimiento de las ventas del 11,8 % anual compuesto, hasta ser la mayor consultora de arquitectura e ingeniería de Europa con ≈23.000 expertos en ocho áreas geográficas [1]. Cotiza en Estocolmo desde 1998 y la controlan la familia Nordström (33,9 % de los votos con acciones A) y, con ella, Investment AB Latour (21,0 %), los dos presididos por Johan Nordström [1]. La primera ejecutiva desde 2018, Åsa Bergman, llevó las ventas de 18.735 M a 31.586 M y el margen EBITA del 8,7 % al 10,5 %, y anunció su salida el 2-oct-2026 [7,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Sweco AB cotiza en Nasdaq Stockholm desde el 21 de septiembre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 170 compras en veinte años; crecimiento de las ventas del 11,8 % anual compuesto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Åsa Bergman, en la casa desde 1991, primera ejecutiva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la acción en el cuarto trimestre y 290 M de partidas no comparables (reestructuración)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cae un 41 % al subir los tipos y frenarse la construcción residencial nórdica; el negocio sigue creciendo (+11 % de ventas) [1,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compras (1.686 M de salida de caja); deuda neta/EBITDA sube a 1,1 veces y el margen EBITA baja al 8,9 %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compras (2.084 M de ventas), entre ellas la cotizada sueca Projektengagemang y la finlandesa Fimpec; nuevo director financiero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Åsa Bergman anuncia su salida el 2-oct; seguirá hasta que llegue su sucesor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Sweco planifica y diseña edificios, infraestructuras y sistemas de agua y energía: estudios previos, proyecto, ingeniería de detalle y dirección de obra, en unos 150.000 proyectos al año [1]. Vende un solo servicio, horas de arquitectos e ingenieros, en tres segmentos: edificios y urbanismo (38 % de las ventas), agua, energía e industria (35 %) y transporte (27 %) [1]. Los clientes son públicos (39 %), empresas privadas (26 %), industria (18 %) y vivienda, inmobiliario y construcción (17 %) [1]. Opera en ocho áreas: Suecia (29 % de las ventas), Bélgica (13 %), Finlandia, Noruega, Dinamarca y Países Bajos (11 % cada una), Alemania y Europa Central (9 %) y Reino Unido (5 %) [1]. Es la primera consultora de transporte de Europa con más de 6.000 expertos [2].</w:t>
      </w:r>
    </w:p>
    <w:p>
      <w:pPr>
        <w:pStyle w:val="Heading2"/>
      </w:pPr>
      <w:r>
        <w:t xml:space="preserve">Cómo gana dinero</w:t>
      </w:r>
    </w:p>
    <w:p>
      <w:pPr>
        <w:spacing w:after="100"/>
      </w:pPr>
      <w:r>
        <w:t xml:space="preserve">Factura horas (tiempo y materiales) o proyectos a precio fijo, y en Alemania y Bélgica también un porcentaje del coste de la obra [1]. El margen depende de tres palancas: la tasa de facturación (horas facturables sobre horas de presencia: 74,8 % en los últimos 12 meses, cada punto ≈1,3 % de las ventas), la tarifa media por hora y el coste salarial (personal = 66 % de las ventas) [1, 2]. No hay ingresos recurrentes en sentido estricto, pero la cartera es de 28.800 M (≈11 meses de ventas) y los marcos plurianuales con agencias públicas dan visibilidad [1]. El calendario pesa: cada hora laborable más o menos en un trimestre mueve ≈12 M de ventas y de EBITA (5 horas más en el 2T26 = +60 M) [2]. El tercer trimestre es el más flojo por las vacaciones nórdicas (margen EBITA del 9,8 % en el 3T25)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Suecia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Bélgica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Finlandia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Noruega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Países Bajos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Dinamarca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Alemania y Europa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Sweco Reino Unido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Suecia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Bélgica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Finlandia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Noruega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Países Bajos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Dinamarca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 Alemania y Europa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Sweco Reino Unido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diversificados: unos 39.000 clientes; los diez primeros son el 13 % de las ventas y el mayor, la Administración sueca de Transportes (Trafikverket), 1.327 M en 2025 (4,2 %, 1.597 M en 2024) [1]. Contratos cortos (la mayoría se cumplen en 12 meses) dentro de marcos de 3-5 años con agencias como Rijkswaterstaat, Statkraft, Deutsche Bahn o las autoridades del agua neerlandesas y noruegas [1, 2]. Poder de precios demostrado pero modesto: el crecimiento orgánico de 2025-26 (3-4 %) sale «sobre todo de tarifas medias más altas y de la tasa de facturación», con la plantilla orgánica casi plana; la empresa no publica la subida media de tarifa [1, 2]. El margen EBITA subió del 8,9 % (2023) al 10,5 % (2025) con una inflación salarial nórdica del 3-4 %: las tarifas han ido por delante del coste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facturación (billing ratio)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 (12 meses a jun-26); 75,9 %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Horas facturables sobre horas de presencia; cada punto vale ≈1,3 % de las ventas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21.842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por compras; la plantilla orgánica está plana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ajustado por calendario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 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a −2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tarifas medias y tasa de facturación, no de más horas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(2025 y 12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grupo: 12 %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(obligaciones pendientes)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27.200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28.800 M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57 % se factura en 12 meses (66 % un año antes): cartera más larga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compras, 338 M de ventas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compras, 2.084 M de ventas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1.513 expertos comprados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Consultoría de arquitectura e ingeniería para edificios, infraestructuras, agua, energía e industria en Europa (NACE M71.1; GICS servicios profesionales), sin construcción ni ensayos técnicos. Ninguna fuente publica hoy el tamaño con este perímetro: la federación europea (EFCA) estima ≈1 millón de empleados en el sector [12] y su barómetro da 109.717 EUR de facturación por empleado [11]; el producto, ≈110.000 M EUR (≈1,23 billones de SEK), es la referencia que usamos (estimación propia). Sweco tiene ≈2,6 % de ese mercado, pero cuotas del 10-20 % en los nórdicos donde es primera o segunda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≈110.000 M EUR (≈1,23 billones de SEK) de facturación anual en Europa, estimación propia: ≈1 millón de empleados [12] × 109.717 EUR por empleado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pública en transporte, energía, agua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«buena» en infraestructura, agua, medio ambiente, energía y defensa en todos los trimestres de 2025-26; el sector público es el 39 % de las ventas (37 % en 2024)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inmobiliario residencial y comercial nórdico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«débil» en residencial y comercial en 2023-26; vivienda, inmobiliario y construcción son el 17 % de las ventas y edificios el 38 %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y electrificación (redes, nuclear, hidrógeno,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Fimpec (energía, 548 M) y Platom (nuclear) y contratos con Statkraft, Kraftringen y Å Energi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en diseño y documentación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70 % de la plantilla usa SwecoGPT; el mercado castiga al sector (WSP −40 % desde el máximo) por temor a menos horas facturables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Escasez de ingenieros y subida de salarios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reto del sector según EFCA; sostiene las tarifas pero sube el coste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firmas locales y cinco o seis grupos paneuropeos; precios por concurso en el sector público, pero los márgenes EBITA del 8-12 % son estables [1,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39 % es sector público con licitaciones y marcos plurianuales; el mayor cliente (Trafikverket) es el 4,2 % de las ventas y los diez primeros el 13 %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es el ingeniero: personal = 66 % de las ventas y escasez estructural de perfiles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a pequeña escala es fácil, pero los marcos públicos exigen referencias, seguros y capacidad multidisciplinar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puede hacer parte del trabajo de documentación y cálculo con menos horas; la responsabilidad legal del diseño sigue siendo del consultor colegiado [1, 15].</w:t>
            </w:r>
          </w:p>
        </w:tc>
      </w:tr>
    </w:tbl>
    <w:p>
      <w:pPr>
        <w:spacing w:after="160" w:before="0"/>
      </w:pPr>
    </w:p>
    <w:p>
      <w:pPr>
        <w:pStyle w:val="Heading2"/>
      </w:pPr>
      <w:r>
        <w:t xml:space="preserve">Ciclo</w:t>
      </w:r>
    </w:p>
    <w:p>
      <w:pPr>
        <w:spacing w:after="100"/>
      </w:pPr>
      <w:r>
        <w:t xml:space="preserve">Mixto según el segmento: infraestructura, agua, energía y defensa con demanda «buena» y creciente; edificios residenciales y comerciales y parte de la industria, «débiles» desde 2023 [2]. En 2022 la acción cayó un 41 % por los tipos y la vivienda, pero las ventas crecieron un 11 % y el margen EBITA solo bajó del 9,2 % al 8,9 % en 2023 [1, 18]. En 2020 el margen sin no recurrentes subió (9,7 %): la consultoría pública amortigua las recesiones. El indicador a seguir es el volumen orgánico (horas) y la demanda de vivienda nórdica.</w:t>
      </w:r>
    </w:p>
    <w:p>
      <w:pPr>
        <w:pStyle w:val="Heading2"/>
      </w:pPr>
      <w:r>
        <w:t xml:space="preserve">Regulación</w:t>
      </w:r>
    </w:p>
    <w:p>
      <w:pPr>
        <w:spacing w:after="100"/>
      </w:pPr>
      <w:r>
        <w:t xml:space="preserve">La demanda depende del gasto público: planes nacionales de transporte (Trafikverket, Rail Baltica, Rail Nordica), directivas europeas de agua residual y de inundaciones, la taxonomía y la CSRD que piden análisis de clima, y el aumento del gasto de defensa de los países de la OTAN [1, 2]. La Ley de IA de la UE y la NIS2 suben las exigencias de seguridad de datos en proyectos críticos [1]. Sin cambios regulatorios que afecten directamente a las tarifas.</w:t>
      </w:r>
    </w:p>
    <w:p>
      <w:pPr>
        <w:pStyle w:val="Heading2"/>
      </w:pPr>
      <w:r>
        <w:t xml:space="preserve">Tendencias y disrupción</w:t>
      </w:r>
    </w:p>
    <w:p>
      <w:pPr>
        <w:spacing w:after="100"/>
      </w:pPr>
      <w:r>
        <w:t xml:space="preserve">Tres tendencias: (1) electrificación, nuclear, redes y centros de datos, donde Sweco compra capacidad (Fimpec, Platom) [1, 2]; (2) defensa y resiliencia, que ya aparece como segmento con demanda creciente [2]; (3) IA generativa, que la empresa usa (SwecoGPT, 200 asistentes) y que el mercado teme por las horas facturables: WSP llegó a caer un 40 % desde su máximo [1, 15]. Gana con las dos primeras; la tercera es la duda central de la tesis.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consultora de arquitectura e ingeniería de Europa por ventas (≈2,6 % del mercado europeo estimado); primera o segunda en Suecia, Finlandia, Noruega, Dinamarca y Bélgica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del mundo; compras grandes (POWER, Golder, Wood E&amp;I); Norteamérica, Reino Unido y Nórdicos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Jacobs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de programas e infraestructuras en EE. UU. y Reino Unido; ventas con subcontratas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y gestión de obra; ventas brutas con pasajes de coste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STN.TO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edificios e infraestructura; muy parecido a Sweco en modelo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Arcadis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ARCAD.AS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Países Bajos, Bélgica, Alemania y Reino Unido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 y medio ambiente, alto margen; RPS en Reino Unido y Europa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AFRY.ST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Suecia y Finlandia, más industria y energía; margen la mitad que Sweco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Norconsult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NORCO.OL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en Noruega y Suecia; salió a bolsa en 2024 y sigue controlada por sus empleados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compartido entre 23.000 expertos y 1.700 equipos locales; no hay red de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Marcos plurianuales y conocimiento del activo del cliente (Trafikverket, Rijkswaterstaat, Statkraft), pero cada proyecto se vuelve a licitar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referencias para licitar grandes proyectos públicos; sin patentes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facturación del 74-76 % y margen EBITA del 10,5 % frente al 5-9 % de AFRY, Arcadis o Norconsult: escala local y modelo descentralizado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o segunda en cinco mercados nórdicos y Bélgica; mercados locales donde dos o tres grupos se reparten los grandes contratos [1].</w:t>
            </w:r>
          </w:p>
        </w:tc>
      </w:tr>
    </w:tbl>
    <w:p>
      <w:pPr>
        <w:spacing w:after="160" w:before="0"/>
      </w:pPr>
    </w:p>
    <w:p>
      <w:pPr>
        <w:pStyle w:val="Heading2"/>
      </w:pPr>
      <w:r>
        <w:t xml:space="preserve">Amenazas</w:t>
      </w:r>
    </w:p>
    <w:p>
      <w:pPr>
        <w:spacing w:after="100"/>
      </w:pPr>
      <w:r>
        <w:t xml:space="preserve">La amenaza no es un competidor: es que la IA abarate el trabajo que hoy se cobra por horas y que los clientes públicos lo capturen en las licitaciones (probabilidad media en 3-5 años). Segunda: que los grandes (WSP, AFRY, Ramboll, Norconsult) compren las mismas firmas locales y suban los precios de compra. Tercera: la escasez de ingenieros, que sube salarios más deprisa que tarifas [13,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2020-2025: ingresos </w:t>
      </w:r>
      <w:r>
        <w:rPr>
          <w:b/>
          <w:bCs/>
        </w:rPr>
        <w:t xml:space="preserve">8,7 %</w:t>
      </w:r>
      <w:r>
        <w:t xml:space="preserve">, EBITDA </w:t>
      </w:r>
      <w:r>
        <w:rPr>
          <w:b/>
          <w:bCs/>
        </w:rPr>
        <w:t xml:space="preserve">8,8 %</w:t>
      </w:r>
      <w:r>
        <w:t xml:space="preserve">, BPA </w:t>
      </w:r>
      <w:r>
        <w:rPr>
          <w:b/>
          <w:bCs/>
        </w:rPr>
        <w:t xml:space="preserve">11,5 %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Ventas de 20.858 M (2020) a 31.586 M (2025), un 8,7 % anual compuesto, de los que unos 4-5 puntos son orgánicos (5 % en 2024, 4 % en 2025, 3 % en el 1S26) y el resto compras [1, 2]. El margen EBITA subió del 8,9 % en 2023 al 10,5 % en 2025 (+160 p.b.) por tarifas y por la tasa de facturación (73,3 % → 74,4 %), mientras 2023 se diluyó por compras y por la vivienda [1]. En 2026 el margen se mantiene: 10,3 % en el 1S26 frente al 10,4 %, con 77 M de reestructuración e integración y las compras de 2025 con EBITA negativo [2]. El BPA diluido pasó de 3,58 a 6,16 SEK (+11,5 % anual) sin recompras. Años no comparables: 2020 (290 M de reestructuración dentro del EBITA) y 2025 (trece compras) [1, 7].</w:t>
      </w:r>
    </w:p>
    <w:p>
      <w:pPr>
        <w:pStyle w:val="Heading2"/>
      </w:pPr>
      <w:r>
        <w:t xml:space="preserve">Ajustes y partidas no recurrentes</w:t>
      </w:r>
    </w:p>
    <w:p>
      <w:pPr>
        <w:spacing w:after="100"/>
      </w:pPr>
      <w:r>
        <w:t xml:space="preserve">Usamos cifras publicadas. La empresa da EBITA (antes de partidas de compras: amortización de intangibles comprados, ventas de filiales, pagos a vendedores por permanencia) y un EBITDA «sin NIIF 16» que trata los alquileres como gasto; nuestro EBITDA lleva NIIF 16 y los arrendamientos van en la deuda. No recurrentes dentro del EBITDA: 290 M en 2020 y 56 M en 2021 (reestructuración declarada como partidas que afectan a la comparabilidad) [7]. Desde 2022 la empresa no separa nada, aunque hay costes de reestructuración e integración todos los años (77 M en el 1S26): se tratan como recurrentes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(17-jul) la dirección habló de «un trimestre sólido con mejor eficiencia»: ventas +9 % (orgánico +3 % ajustado por calendario, compras +5 %), EBITA +7 % ajustado por calendario y margen del 10,1 % (9,6 %), con la tasa de facturación en el 75,9 % (75,2 %) [2, 9]. Cambió el tono respecto al 1T26 (28-abr: «trimestre estable en un mercado mixto», margen del 10,4 % frente al 11,2 % y la acción −6 % el día y −5 % el siguiente) [3, 18]: más pedidos y cartera, mejora en Suecia y Países Bajos, Finlandia y Alemania flojas [2]. La demanda no ha cambiado: buena en energía, infraestructura, agua y defensa; débil en vivienda, oficinas y parte de la industria [9]. La primera ejecutiva mencionó la IA solo como estrategia («ejecutar nuestra estrategia de IA»), sin cifras de horas ni de precios; la empresa no da previsiones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Trece compras con 2.084 M de ventas anuales (Projektengagemang desde mediados de julio, Fimpec desde diciembre, assar desde octubre) y venta de la filial checa y de Vastgoedmanagement: la cuenta de 2025 recoge 708 M de ventas compradas y el balance de cierre las incluye enteras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holgado: deuda financiera de 3.555 M y caja de 663 M a jun-26 (deuda neta 2.892 M, 0,8 veces el EBITDA de la empresa); con arrendamientos y pensiones, la deuda neta ajustada es de 6.677 M [2]. Toda la deuda es a menos de un año de tipo fijo y 1.335 M vencen en 12 meses, cubiertos con 4.371 M de líneas no dispuestas [1, 2]. El circulante sube con la obra en curso (5.766 M a dic-25 frente a 4.587 M) pero la facturación anticipada sube igual (3.990 M frente a 2.940 M): el circulante comercial está estable en el 17,4 % de las ventas [1]. El primer semestre siempre consume caja (−1.207 M de circulante en el 1S26) por el pago de vacaciones y bonus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11.638</w:t>
      </w:r>
      <w:r>
        <w:t xml:space="preserve">, conversión </w:t>
      </w:r>
      <w:r>
        <w:rPr>
          <w:b/>
          <w:bCs/>
        </w:rPr>
        <w:t xml:space="preserve">112 %</w:t>
      </w:r>
      <w:r>
        <w:t xml:space="preserve"> del beneficio neto; adquisiciones 4.516, dividendos 5.604, recompras 0.</w:t>
      </w:r>
    </w:p>
    <w:p>
      <w:pPr>
        <w:spacing w:after="100"/>
      </w:pPr>
      <w:r>
        <w:t xml:space="preserve">Conversión alta: el FCF (operativo − capex − arrendamientos) fue de 2.709 M en 2025, un 122 % del beneficio neto, y suma 11.638 M en 2020-2025 (112 %) [1]. Lo usó en dividendos (5.604 M) y compras (4.516 M), sin recompras [1, 8]. El capex es mínimo (1,3 % de las ventas, sobre todo IT) y casi todo de mantenimiento; el capital de verdad es el circulante y las compras (fondo de comercio). 2020 fue anómalo al alza (3.249 M de flujo operativo por aplazamientos de impuestos y cobros de la pandemia) y 2021 a la baja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 Jonas Svensson)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opinión favorable de EY, auditora desde 2024 (antes otra firma; cambio por rotación obligatoria) [1]. No hay I+D capitalizada relevante (intangibles no comprados de 3 M); los intangibles de compras (989 M) se amortizan en 5-8 años y el fondo de comercio (11.159 M, el 64 % del capital invertido) no se ha deteriorado en los cinco años revisados [1]. Remuneración en acciones pequeña (91 M en 2025, el 4 % del beneficio) [1]. El reconocimiento de ingresos por grado de avance en precio fijo deja una obra en curso de 5.766 M: el riesgo es de estimación de pérdidas en proyectos, que la empresa revisa cada mes [1]. Altman Z de 3,53 (zona segura), Piotroski F de 7 y Beneish M de −2,77 (sin señal de manipulación): coherente con un negocio de caja que convierte el 122 % del beneficio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en curso al alza (+26 %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Compensada por la facturación anticipada (+36 %); circulante neto estable en el 17,4 % de las ventas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Bonus discrecional fuera de la política de remuneración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meses de sueldo a la primera ejecutiva y al director financiero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con resultado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trece compras de 2025 habrían restado 126 M de EBIT con un año entero: el crecimiento comprado no sube el margen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11.159 M en 2025 (el 64 % del capital invertido medio); ha subido más de un 5 % en 3 de 5 años: comprador en serie. ROIC publicado 13,8 %; sin fondo de comercio, 38,0 %.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13,2 % · </w:t>
      </w:r>
      <w:r>
        <w:rPr>
          <w:b/>
          <w:bCs/>
        </w:rPr>
        <w:t xml:space="preserve">WACC</w:t>
      </w:r>
      <w:r>
        <w:t xml:space="preserve">: 8,2 %.</w:t>
      </w:r>
    </w:p>
    <w:p>
      <w:pPr>
        <w:spacing w:after="100"/>
      </w:pPr>
      <w:r>
        <w:t xml:space="preserve">Crea valor, pero sin holgura grande: ROIC del 13,8 % en 2025 frente a un WACC del 8,21 % (5,6 puntos) y estable en el 12,5-14,1 % desde 2020. El ROIC lo frena el fondo de comercio: es el 64 % del capital invertido, y sin él el ROIC es del 38,0 %; como Sweco es un comprador en serie (el fondo de comercio ha subido más de un 5 % en tres de cinco años), el que cuenta es el publicado. El ROIC incremental (13,2 %) es igual al medio: las compras rinden lo mismo que el negocio, no más. Se mueve por la rotación (ventas/capital) más que por el margen. Frente a la competencia: por encima de AFRY (5,8 %), Jacobs (6,9 %), Rejlers (7,9 %) y WSP (8,8 %), y por debajo de Tetra Tech (16,4 %) y Norconsult (15,6 %), con ROIC calculado con los datos de Yahoo [21].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663 M y líneas de crédito no dispuestas de 4.371 M a 30-jun-2026 (más una línea de 1.000 M a 18 meses firmada el 25-may-2026) [2]; programa de pagarés de 2.000 M (1.319 M dispuestos a dic-2025)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bancaria y pagarés suecos)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publicados más allá de la deuda neta/EBITDA (definición «sin NIIF 16», 0,8 veces a jun-26 frente a un límite propio de 2 veces) [1, 2]. Pensiones de prestación definida pequeñas: 134 M brutos a dic-25 (≈105 M netos de impuestos, en el puente) [1]. Pagos aplazados de compras y pagos a vendedores por permanencia (27 M al año en la cuenta) dentro de otros pasivos; la facturación anticipada (3.990 M) y la obra en curso (5.766 M) son circulante de contrato, no deuda [1]. Arrendamientos de oficinas: 3.600 M a jun-26, en la deuda del puente [2].</w:t>
      </w:r>
    </w:p>
    <w:p>
      <w:pPr>
        <w:pStyle w:val="Heading1"/>
      </w:pPr>
      <w:r>
        <w:t xml:space="preserve">12. Asignación de capital</w:t>
      </w:r>
    </w:p>
    <w:p>
      <w:pPr>
        <w:pStyle w:val="Confianza"/>
        <w:spacing w:after="100"/>
      </w:pPr>
      <w:r>
        <w:t xml:space="preserve">Confianza: Media</w:t>
      </w:r>
    </w:p>
    <w:p>
      <w:pPr>
        <w:spacing w:after="100"/>
      </w:pPr>
      <w:r>
        <w:t xml:space="preserve">Dividendo de al menos la mitad del beneficio con crecimiento estable (60 % en 2025: 3,70 SEK, pagado en abril de 2026) [1, 17]. Deuda neta máxima de 2 veces el EBITDA para tener margen para compras [1]. Sin recompras para amortizar: la autocartera (2,0 M de acciones B) se usa para los planes de acciones de los empleados [2, 17]. Prioridad declarada: crecimiento orgánico más compras en los mercados donde ya está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Sitowise Sverige (≈250 expertos, 296 M de ventas en 2025, con pérdidas); cerrada el 31-jul-2026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no publicado por Sweco; el vendedor dio un valor empresa de ≈3 M EUR más un pago variable de hasta 2 M EUR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Platom (Finlandia, nuclear, 30 expertos), CONIX RDBM (Bélgica, 50) y STEIN Ingenieure (Alemania, agua, 60)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(pagos por compras del 1S26)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≈200 M de ventas anuales entre las tres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compras: Projektengagemang (770 M de ventas, 634 expertos), Fimpec (548 M), assar architects (232 M), Volantis (219 M) y nueve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2.084 M de ventas anuales por 1.246 M (0,6 veces ventas); con un año entero habrían aportado −25 M de EBITA y −126 M de EBIT: compras de recuperación, sobre todo Projektengagemang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Econsultancy (Países Bajos), Bureau Valstar-Simonis y Frilling+Rolfs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338 M de ventas anuales; 39 M de EBITA con un año entero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del año (salida de caja de 1.686 M por adquisiciones) [8]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(DN/EBITDA 1,1 veces al cierre)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devuelta en 2024; sin deterioros del fondo de comercio [1, 8].</w:t>
            </w:r>
          </w:p>
        </w:tc>
      </w:tr>
    </w:tbl>
    <w:p>
      <w:pPr>
        <w:spacing w:after="160" w:before="0"/>
      </w:pPr>
    </w:p>
    <w:p>
      <w:pPr>
        <w:spacing w:after="100"/>
      </w:pPr>
      <w:r>
        <w:t xml:space="preserve">Asignador de capital correcto, no brillante: en 2020-2025 generó 11.638 M de FCF, pagó 5.604 M de dividendos y 4.516 M en compras, y el ROIC se mantuvo en el 13-14 % con el fondo de comercio subiendo de 7.593 M a 11.159 M [1, 8]. El ROIC incremental (13,2 %) igual al medio dice que las compras no destruyen valor pero tampoco lo multiplican; las de 2025 (0,6 veces ventas) son compras de recuperación con EBITA negativo, una apuesta a que Sweco las lleve al 10-12 % de margen [1]. Sin dilución: las acciones apenas cambian (360,9 M diluidas en 2020, 361,4 M en 2025).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Åsa Bergman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primera ejecutiva (dimisionaria desde el 2-oct-2026)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Sweco desde 1991, ingeniera civil (KTH); dirigió Sweco Sverige. Con ella las ventas pasaron de 18.735 M (2018) a 31.586 M (2025) y el margen EBITA del 8,7 % al 10,5 %, sin llegar al objetivo del 12 % [1,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Allde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1-ago-2025 desde puestos de finanzas, compras e IT en ABB y Alfa Laval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Nordström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Arquitecto (KTH), primer ejecutivo de Skirner (sociedad de la familia Nordström) y presidente de Investment AB Latour; 1,8 M de acciones directas y 45,2 M a través de Skirner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Grüter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Sweco Países Bajos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del área que más ha mejorado el margen en 2026 (8,4 % en el 2T26 frente a 6,9 %)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Erwin Malcorps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Sweco Bélgica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Viene de Grontmij; Bélgica es el área de mayor margen (13,8 % en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EBITA ≥ 12 %; deuda neta/EBITDA &lt; 2 veces; dividendo ≥ 50 % del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8,9 %; DN/EBITDA 1,1; reparto 64 %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Mismos objetivos (Sweco no da previsiones anuales)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10,0 %; DN/EBITDA 0,4; reparto 57 %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Mismos objetivos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10,5 %; DN/EBITDA 0,4; reparto 60 %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resultados: la primera ejecutiva lleva 35 años en la casa y ocho en el cargo, y los presidentes de área llevan de 3 a 10 años [1]. Pero el objetivo de margen EBITA del 12 % no se ha cumplido nunca (máximo 10,5 %) [1]. Dos cambios recientes: director financiero nuevo en agosto de 2025 y dimisión de la primera ejecutiva el 2-oct-2026, sin sucesor y por decisión propia («explorar nuevas oportunidades») [16]. El consejo busca sucesor; no hay plan de sucesión público. Un relevo externo puede cambiar el modelo descentralizado que ha funcionado; uno interno, mantenerlo.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Nordström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 la comisión de remuneración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Åsa Bergman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y primera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(primer ejecutivo de Latour)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Wall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 Skirner)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 Göransson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Susanne Pahlén Åklundh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Katrien Beuls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Constanze Hufenbecher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Anna Leonsson, Görgen Edenhagen y Maria Ekh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Representantes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Anna Leonsson, Görgen Edenhagen y Maria Ekh</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Nordström (Skirner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(33,9 % de los votos;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inversión (21,0 % de los votos); presidida por Johan Nordström</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J. Gust. Richert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(9,3 % de los votos;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SEB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Handelsbanken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Första AP-fonden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B propias (2.010.703 a 30-jun-2026)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por entregas a empleados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primera ejecutiva cobró 25,3 M SEK en 2025: 11,6 M de fijo, 6,3 M de variable anual, 1,4 M del plan de ahorro en acciones, 5,9 M de pensión; unas 26 veces el coste medio por empleado [1]. El variable anual depende de objetivos financieros y no financieros fijados por el consejo; el plan de acciones a largo plazo, del BPA acumulado frente a un crecimiento mínimo y máximo y del retorno total de la acción [1]. En 2025 el consejo se desvió de la política para pagar un bonus de dos meses de sueldo a la primera ejecutiva y al director financiero por la mejora de la tasa de facturación [1]. La junta de 2026 aprobó el informe de remuneración; el recuento no se publicó [17].</w:t>
      </w:r>
    </w:p>
    <w:p>
      <w:pPr>
        <w:pStyle w:val="Heading2"/>
      </w:pPr>
      <w:r>
        <w:t xml:space="preserve">Operaciones vinculadas, estructura de control y defensas</w:t>
      </w:r>
    </w:p>
    <w:p>
      <w:pPr>
        <w:spacing w:after="100"/>
      </w:pPr>
      <w:r>
        <w:t xml:space="preserve">Sweco está controlada: la familia Nordström (a través de Skirner) tiene el 13,9 % del capital y el 33,9 % de los votos con acciones A (un voto frente a 0,1 de las B), Latour el 26,9 % del capital y el 21,0 % de los votos y la Fundación Richert el 9,3 % de los votos [1]. Los tres primeros suman el 64,2 % de los votos y Johan Nordström preside Sweco y Latour [1]. Tres de los ocho consejeros elegidos por la junta no son independientes de los accionistas principales [1]. No hay pactos conocidos ni operaciones vinculadas relevantes; las acciones A se pueden convertir en B [1]. Para el minoritario: alineación de largo plazo con un dueño estable, pero ninguna opa posible sin la familia y Latour.</w:t>
      </w:r>
    </w:p>
    <w:p>
      <w:pPr>
        <w:pStyle w:val="Heading2"/>
      </w:pPr>
      <w:r>
        <w:t xml:space="preserve">Señales de alerta</w:t>
      </w:r>
    </w:p>
    <w:p>
      <w:pPr>
        <w:pStyle w:val="ListParagraph"/>
        <w:numPr>
          <w:ilvl w:val="0"/>
          <w:numId w:val="2"/>
        </w:numPr>
        <w:spacing w:after="60"/>
      </w:pPr>
      <w:r>
        <w:t xml:space="preserve">Dimisión de la primera ejecutiva (2-oct-2026) sin sucesor nombrado; seguirá hasta que llegue [16].</w:t>
      </w:r>
    </w:p>
    <w:p>
      <w:pPr>
        <w:pStyle w:val="ListParagraph"/>
        <w:numPr>
          <w:ilvl w:val="0"/>
          <w:numId w:val="2"/>
        </w:numPr>
        <w:spacing w:after="60"/>
      </w:pPr>
      <w:r>
        <w:t xml:space="preserve">Desviación de la política de remuneración en 2025: bonus individual de dos meses de sueldo a la primera ejecutiva y al director financiero por la mejora de la tasa de facturación [1].</w:t>
      </w:r>
    </w:p>
    <w:p>
      <w:pPr>
        <w:pStyle w:val="ListParagraph"/>
        <w:numPr>
          <w:ilvl w:val="0"/>
          <w:numId w:val="2"/>
        </w:numPr>
        <w:spacing w:after="60"/>
      </w:pPr>
      <w:r>
        <w:t xml:space="preserve">El presidente lo es también de Latour (26,9 % del capital): dos accionistas de referencia con 54,9 % de los votos alineados en un mismo presidente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Sweco no da previsiones [2]. Sus objetivos a medio plazo, sin plazo: margen EBITA de al menos el 12 % para el grupo, deuda neta/EBITDA por debajo de 2 veces y un dividendo de al menos la mitad del beneficio [1]. Últimos resultados: 2T26 el 17-jul-2026; los siguientes, el 29-oct-2026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133,00 – 200,00</w:t>
            </w:r>
          </w:p>
        </w:tc>
      </w:tr>
    </w:tbl>
    <w:p>
      <w:pPr>
        <w:spacing w:after="160" w:before="0"/>
      </w:pPr>
    </w:p>
    <w:p>
      <w:pPr>
        <w:pStyle w:val="Heading2"/>
      </w:pPr>
      <w:r>
        <w:t xml:space="preserve">Revisiones de estimaciones</w:t>
      </w:r>
    </w:p>
    <w:p>
      <w:pPr>
        <w:spacing w:after="100"/>
      </w:pPr>
      <w:r>
        <w:t xml:space="preserve">Seis analistas, objetivo medio de 170,50 SEK (133-200) [20]. Los objetivos bajaron en abril-mayo (Pareto de 185 a 160, SEB de 185 a 175, DNB Carnegie de 175 a 170, Handelsbanken de 160 a 140) tras el 1T26 y el castigo sectorial por la IA, y se estabilizaron o subieron desde julio (Pareto 165, Handelsbanken 150 con paso a compra el 23-sep; Kepler empezó en mantener con 133 en agosto) [20, 27]. Handelsbanken prevé un orgánico de ≈2 % en 2026-27, es decir, volumen cero [27]. Solo una fuente con estimaciones completas (MarketScreener) [19].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B cae un 12,4 % en el año y un 14,2 % a un año, frente a +8,1 % y +12,2 % del OMXSPI; a cinco años, −1,3 % anual frente a +3,3 % [18]. Dos golpes: el 1T26 (28-29 de abril, −6,2 % y −4,6 %) y el castigo de todo el sector por la IA desde mayo, que llevó la acción al mínimo de 122,00 SEK el 18-may [15, 18]. Antes ya había caído un 50 % en 2022 (de 170 a 85) con la subida de tipos [18]. Beta mensual de 1,07 frente al OMXSPI (1,04 semanal a dos años) y volatilidad del 25,8 % [18]. El volumen medio es de ≈38,4 M SEK diarios [18].</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Cotiza con descuento frente a su historia reciente: EV/EBITDA de los últimos 12 meses de 11,3x frente a una media de 13,5x en 2022-2025 (−16 %) y PER de 21,0x frente a 26,6x (−21 %). 2020 y 2021 se excluyen (burbuja de tipos cero: PER de 36-42x). Frente a 2017-2018, cuando el PER al cierre era de 18-19x, no está barata. Lo que ha cambiado: el temor a la IA en todo el sector y un crecimiento orgánico más bajo (3 % frente al 5 % de 2024).</w:t>
      </w:r>
    </w:p>
    <w:p>
      <w:pPr>
        <w:pStyle w:val="Heading1"/>
      </w:pPr>
      <w:r>
        <w:t xml:space="preserve">18. Comparables cotizados</w:t>
      </w:r>
    </w:p>
    <w:p>
      <w:pPr>
        <w:pStyle w:val="Confianza"/>
        <w:spacing w:after="100"/>
      </w:pPr>
      <w:r>
        <w:t xml:space="preserve">Confianza: Media</w:t>
      </w:r>
    </w:p>
    <w:p>
      <w:pPr>
        <w:spacing w:after="100"/>
      </w:pPr>
      <w:r>
        <w:t xml:space="preserve">Consultoras cotizadas de ingeniería y arquitectura con modelo de horas: las norteamericanas grandes (WSP, Stantec, AECOM, Jacobs, Tetra Tech), la europea más parecida (Arcadis) y las nórdicas que compiten con Sweco cada día (AFRY, Norconsult, Multiconsult, Rejlers). Fuera: Fugro (geodatos marinos, con pérdidas) y las no cotizadas (Ramboll, Tyréns, COWI). Booz Allen (horas para el Gobierno de EE. UU.) se usa solo como contraste del modelo en el texto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WSP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Stantec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Jacobs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Arcadis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Norconsult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Multiconsult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Rejlers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9,4x / 10,8x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11,9x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 / 1,0x / 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Sweco cotiza con prima: PER adelantado de 17,1x frente a una mediana de 11,9x de los comparables, y EV/EBITDA de 11,3x frente a 9,4x [21]. La prima se justifica en parte: margen EBITDA del 14,8 % frente al 10,3 % de la mediana y ROIC del 13,8 % frente al 11,3 %. Pero la mediana está deprimida por el mismo riesgo (IA) y mezcla bases (el PER de WSP, Stantec o Tetra Tech es sobre BPA ajustado sin amortización de compras, que los abarata frente al publicado de Sweco). AFRY (8,2x) y Arcadis (11,4x) son los más comparables y los más baratos; Tetra Tech (19,3x) y Jacobs (17,2x), los únicos más caros. El valor por PER de la mediana (92,10 SEK) es una cota baja.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 Engineers (EE. UU., redes eléctricas, ≈4.000 empleados)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1.780 M USD; 15,2 veces el EBITDA ajustado de 2024 sin NIIF 16 (12,5 con sinergias) [24]. Pasado a SEK al cambio de hoy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RPS Group (Reino Unido, consultoría ambiental e ingeniería)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Tetra Tech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 M GBP por el capital; 16,0 veces el EBITDA ajustado de 12 meses sin NIIF 16 (10,7 con sinergias); prima del 7,8 % sobre la oferta rival de WSP, no sobre la cotización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compras de Sweco en 2025 (Projektengagemang, Fimpec, assar, Volantis…)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1.246 M por 2.084 M de ventas anuales; con EBITA conjunto negativo (−25 M con un año entero): compras de recuperación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Sitowise Sverige (≈265 empleados, 26,3 M EUR de ventas, con pérdidas)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≈3,0 M EUR más un pago variable de hasta 2,0 M EUR [26]; venta forzada de un negocio con pérdidas: no representativa.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control de calidad se pagan caras: 15,2x (POWER, WSP) y 16,0x (RPS, Tetra Tech) el EBITDA ajustado sin NIIF 16, unas 10-13x con sinergias [24, 25]. Las de Sweco son otra cosa: 0,6 veces ventas por negocios con pérdidas o margen bajo [1], y Sitowise Sverige casi regalada [26]. Sweco no es objetivo de opa: la familia Nordström y Latour suman el 54,9 % de los votos y su vocación es permanente [1]. Por eso las transacciones no entran en los pesos.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+6,5 % (orgánico ≈3 %, compras ya cerradas ≈5,5 %, divisa ≈−2 %): el 1S26 creció un 6,3 % [2]. Desde 2027e solo orgánico: 3,5 % en 2027-2029 (tarifa +2,5 %, volumen +1 %), 3,0 % en 2030-31 y 2,5 % en 2032. Es menos que el 4-5 % orgánico de 2024-25 y que el 3 % de hoy más compras; el consenso (36.214 M en 2027) supone compras nuevas [19]. No proyectamos compras porque no proyectamos su coste.</w:t>
      </w:r>
    </w:p>
    <w:p>
      <w:pPr>
        <w:keepNext/>
        <w:spacing w:after="100"/>
      </w:pPr>
      <w:r>
        <w:rPr>
          <w:b/>
          <w:bCs/>
        </w:rPr>
        <w:t xml:space="preserve">Márgenes.</w:t>
      </w:r>
    </w:p>
    <w:p>
      <w:pPr>
        <w:spacing w:after="100"/>
      </w:pPr>
      <w:r>
        <w:t xml:space="preserve">Margen EBITDA con NIIF 16 del 15,0 % en 2026e (14,8 % en 2025) al 15,4 % en 2029e: equivale a un margen EBITA del ≈10,6-11 %, por debajo del objetivo del 12 % que nunca se ha alcanzado [1]. Suponemos que la IA y la inflación salarial se comen parte de la mejora de la tasa de facturación.</w:t>
      </w:r>
    </w:p>
    <w:p>
      <w:pPr>
        <w:keepNext/>
        <w:spacing w:after="100"/>
      </w:pPr>
      <w:r>
        <w:rPr>
          <w:b/>
          <w:bCs/>
        </w:rPr>
        <w:t xml:space="preserve">Inversión y circulante.</w:t>
      </w:r>
    </w:p>
    <w:p>
      <w:pPr>
        <w:spacing w:after="100"/>
      </w:pPr>
      <w:r>
        <w:t xml:space="preserve">Capex del 4,4 % de las ventas: 1,3 % de inmovilizado (como en 2024-25) más ≈3,1 % de reposición de derechos de uso (oficinas), para que el DCF pague los alquileres que el EBITDA con NIIF 16 no recoge [1]. Amortización del 4,8 % en 2026e (con 220 M de intangibles de compras) bajando al 4,4 % al acabar esa amortización [2]. Circulante del 17,5 % de las ventas (17,4 % en 2025) [1].</w:t>
      </w:r>
    </w:p>
    <w:p>
      <w:pPr>
        <w:keepNext/>
        <w:spacing w:after="100"/>
      </w:pPr>
      <w:r>
        <w:rPr>
          <w:b/>
          <w:bCs/>
        </w:rPr>
        <w:t xml:space="preserve">Coste del capital.</w:t>
      </w:r>
    </w:p>
    <w:p>
      <w:pPr>
        <w:spacing w:after="100"/>
      </w:pPr>
      <w:r>
        <w:t xml:space="preserve">Tasa libre: bono sueco a 10 años, 3,20 % el 14-oct-2026 [23]. Beta 1,05 (ajustada, mensual a cinco años frente al OMXSPI; la semanal a dos años es 1,04) [18]. Prima de mercado del 5,5 %, sin prima adicional (Suecia y el norte de Europa). Coste de la deuda del 4,0 % antes de impuestos (bancos y pagarés a tipo variable) y peso del 13 % (deuda y arrendamientos sobre valor empresa). WACC 8,21 %. Con la prima implícita del mercado (4,2 %), el DCF sube a 151,80 SEK.</w:t>
      </w:r>
    </w:p>
    <w:p>
      <w:pPr>
        <w:keepNext/>
        <w:spacing w:after="100"/>
      </w:pPr>
      <w:r>
        <w:rPr>
          <w:b/>
          <w:bCs/>
        </w:rPr>
        <w:t xml:space="preserve">Valor terminal.</w:t>
      </w:r>
    </w:p>
    <w:p>
      <w:pPr>
        <w:spacing w:after="100"/>
      </w:pPr>
      <w:r>
        <w:t xml:space="preserve">Gordon con un 2,5 % (inflación objetivo del Riksbank del 2 % más medio punto real), por debajo de la tasa libre menos medio punto (2,7 %). El múltiplo implícito es coherente con un EV/EBITDA de ≈11x, el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(reinvierte el 62 %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(histórico: 13,2 %)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frente al 3,6 %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(hoy: 2,6 %)</w:t>
            </w:r>
          </w:p>
        </w:tc>
      </w:tr>
    </w:tbl>
    <w:p>
      <w:pPr>
        <w:spacing w:after="160" w:before="0"/>
      </w:pPr>
    </w:p>
    <w:p>
      <w:pPr>
        <w:spacing w:after="100"/>
      </w:pPr>
      <w:r>
        <w:t xml:space="preserve">La proyección apenas necesita inversión neta de la amortización (reinversión acumulada de 1.330 M, el 6 % del NOPAT, con un capex bruto medio del 4,4 % de las ventas). En un negocio de activos ligeros, el crecimiento medio del 3,6 % tiene que salir de subir precios y de ganar volumen sin capital nuevo, y la prueba es el poder de precios y la cuota (2,7 % del mercado en 2030e, frente al 2,6 %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(tasa de facturación 75,1 % frente a 74,4 % en el 1S26), tarifa +2,5 % y compras cerradas +5,5 % menos ≈2 % de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nuevas. Tarifa +2,5 % (por debajo del 3-4 % de 2024-25 por la presión de la IA) y horas +1 % (más defensa, energía y agua, menos vivienda)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vivienda nórdica deja de restar y la IA empieza a reducir horas por proyecto: se compensan.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crecimiento en línea con el mercado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+0,5 % y tarifa +2,5 %: convergencia hacia el terminal.</w:t>
            </w:r>
          </w:p>
        </w:tc>
      </w:tr>
    </w:tbl>
    <w:p>
      <w:pPr>
        <w:spacing w:after="160" w:before="0"/>
      </w:pPr>
    </w:p>
    <w:p>
      <w:pPr>
        <w:spacing w:after="100"/>
      </w:pPr>
      <w:r>
        <w:t xml:space="preserve">En parte. Las pruebas financieras pasan (el motor dice «Sí»): el 3,6 % de crecimiento medio apenas necesita capital (reinversión neta del 6 % del NOPAT), la reinversión bruta financiaría un 8,5 % al ROIC actual y la cuota implícita sube solo del 2,6 % al 2,7 %. Lo que no sostiene la calidad es el volumen: el crecimiento orgánico de hoy sale de tarifas y de la tasa de facturación, con la plantilla orgánica plana, y la mitad del crecimiento histórico (8,7 % anual) fueron compras que proyectamos a cero. El poder de precios demostrado es modesto (2-4 % al año) y es justo lo que la IA puede erosionar en un negocio de horas. La calidad sostiene un 2-3 %; el 3,5 % de 2027-29 depende de que la IA no se coma las horas.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8,2 %)</w:t>
            </w:r>
          </w:p>
        </w:tc>
      </w:tr>
    </w:tbl>
    <w:p>
      <w:pPr>
        <w:spacing w:after="160" w:before="0"/>
      </w:pPr>
    </w:p>
    <w:p>
      <w:pPr>
        <w:spacing w:after="100"/>
      </w:pPr>
      <w:r>
        <w:t xml:space="preserve">El DCF da 116,57 SEK por acción, un 11,8 % bajo el precio, con el valor terminal en el 71 % del valor. El DCF inverso dice que el precio descuenta un crecimiento del 7,0 % anual en 2027-2032 con nuestro margen (nuestro base: 3,2 %), o un margen EBITDA del 16,6 % con nuestro crecimiento (base: 15,4 %, ≈12 % de EBITA), y una rentabilidad implícita del 7,6 % frente a un WACC del 8,21 %. Es exigente frente a un negocio orgánico: el 7 % solo se alcanza con compras (el 8,7 % histórico las incluía) o llegando por fin al objetivo del 12 % de EBITA. El mercado paga a Sweco como comprador en serie que crea valor (ROIC del 13,8 % frente al 8,21 %); nosotros no le damos valor a las compras futuras. Con la prima del mercado (4,2 %), el DCF sube a 151,80 SEK: con una tasa de descuento más baja el precio sí se justifica. La discrepancia es de tasa y de compras, no de cifras del negocio actual.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reduce las horas por proyecto y los clientes públicos se quedan la rebaja; la vivienda nórdica no vuelve. Ventas casi planas (0,2 % anual), margen EBITDA del 14,4 % y WACC 0,5 puntos más alto. Ya le pasó a AFRY: margen EBIT del 5,5 % y PER de 8x.</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sin compras nuevas, margen EBITA del ≈11 % y conversión de caja como la de 2024-25.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cobra por proyecto y se queda la productividad de la IA; defensa, energía y agua aceleran. Crecimiento del 4,7 % y margen EBITDA del 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132,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110,59 SEK (-16,3 %).</w:t>
      </w:r>
    </w:p>
    <w:p>
      <w:pPr>
        <w:spacing w:after="100"/>
      </w:pPr>
      <w:r>
        <w:t xml:space="preserve">La asimetría con nuestro WACC es desfavorable: el alcista (129,56 SEK) pierde un 2,0 % y el bajista (79,64) un 39,8 %. Ni el alcista justifica el precio porque no lleva compras: el valor de Sweco por encima de 130 SEK está en que siga comprando con ROIC del 13 % y en una tasa de descuento más baja. El bajista es verosímil (AFRY lo vive hoy) y su pérdida es de verdad: el 40 % que el pre-mortem describe.</w:t>
      </w:r>
    </w:p>
    <w:p>
      <w:pPr>
        <w:pStyle w:val="Heading1"/>
      </w:pPr>
      <w:r>
        <w:t xml:space="preserve">22. Suma de partes</w:t>
      </w:r>
    </w:p>
    <w:p>
      <w:pPr>
        <w:pStyle w:val="Confianza"/>
        <w:spacing w:after="100"/>
      </w:pPr>
      <w:r>
        <w:t xml:space="preserve">Confianza: Media</w:t>
      </w:r>
    </w:p>
    <w:p>
      <w:pPr>
        <w:spacing w:after="100"/>
      </w:pPr>
      <w:r>
        <w:t xml:space="preserve">No aplica: las ocho áreas geográficas venden el mismo servicio (horas de arquitectos e ingenieros) con márgenes EBITA del 6-14 % y sin comparables puros por país que den múltiplos distintos con fiabilidad.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132,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110,81 SEK (-16,2 % sobre 132,20).</w:t>
      </w:r>
    </w:p>
    <w:p>
      <w:pPr>
        <w:spacing w:after="100"/>
      </w:pPr>
      <w:r>
        <w:t xml:space="preserve">Pesos: DCF 50 %, escenarios 35 % y comparables 15 %, sin transacciones (control: Sweco no es opable) ni suma de partes. El DCF es el método más fiable para un negocio de caja estable; los comparables (92,10 SEK por PER) están deprimidos por el mismo riesgo y en otra base de BPA, por eso pesan poco. El valor intrínseco es de 110,81 SEK (−16,2 %). La dispersión es grande: DCF 98,99-141,56 con WACC y g ± 0,5, escenarios 79,64-129,56 y DCF con la prima del mercado 151,80. Lo que no recoge ningún método es el valor de las compras futuras: si Sweco reinvierte ≈1.200 M al año en compras al ROIC del 13 %, crea valor, y esa es la diferencia entre el DCF y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(18.4x) × 1.1 (tope: la mediana de 5 años, 23.1x,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r>
    </w:tbl>
    <w:p>
      <w:pPr>
        <w:spacing w:after="160" w:before="0"/>
      </w:pPr>
    </w:p>
    <w:p>
      <w:pPr>
        <w:spacing w:after="100"/>
      </w:pPr>
      <w:r>
        <w:rPr>
          <w:b/>
          <w:bCs/>
        </w:rPr>
        <w:t xml:space="preserve">Objetivo a 12 meses (ponderado):</w:t>
      </w:r>
      <w:r>
        <w:t xml:space="preserve"> 150,51 SEK · rentabilidad +16,6 % (base +19,1 %) · señal Mantener.</w:t>
      </w:r>
    </w:p>
    <w:p>
      <w:pPr>
        <w:spacing w:after="100"/>
      </w:pPr>
      <w:r>
        <w:t xml:space="preserve">Para comparar, con la regla v2 (historia al cierre, mismo precio): 15,6x / 18,4x / 23,5x, 11,4 % Mantener; con el tope anterior del base (×1,3, 14-oct mediodía): 18,2 %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(7,19 SEK) queda un 9,4 % bajo el de MarketScreener (7,94) y el de 2028e (7,61) un 11,4 % bajo el suyo (8,59). La diferencia está en las ventas: el consenso proyecta 38.012 M en 2028 (+9,8 % sobre nuestras 36.036 M) porque cuenta con compras nuevas, y nosotros solo con el crecimiento orgánico; con su margen EBIT de 2028 (11,2 %) frente a nuestro 10,8 %. El precio base (153,72 SEK) queda un 9,8 % bajo el objetivo medio de los analistas (170,50), dentro de su rango (133-200).</w:t>
      </w:r>
    </w:p>
    <w:p>
      <w:pPr>
        <w:keepNext/>
        <w:spacing w:after="100"/>
      </w:pPr>
      <w:r>
        <w:rPr>
          <w:b/>
          <w:bCs/>
        </w:rPr>
        <w:t xml:space="preserve">Del valor intrínseco al objetivo a 12 meses.</w:t>
      </w:r>
    </w:p>
    <w:p>
      <w:pPr>
        <w:spacing w:after="100"/>
      </w:pPr>
      <w:r>
        <w:t xml:space="preserve">El objetivo a 12 meses (150,51 SEK ponderado; 153,72 en el base) queda un 36 % sobre el valor intrínseco (110,81). La distancia no es de beneficio sino de múltiplo: la regla supone que el PER adelantado pasa de 18,4x a 20,2x, más cerca de su mediana de 2022-2025 (23,1x), mientras que el DCF solo da el valor de un negocio que crece al 3,5 % sin compras. Es decir, el objetivo supone que el mercado vuelve a pagar a Sweco como comprador en serie; el DCF no le da valor a las compras futuras. Para que el precio se acerque al objetivo hacen falta dos o tres trimestres de orgánico ≥ 3 % con la tasa de facturación ≥ 75 % (3T26, el 29-oct) y un sucesor creíble para la primera ejecutiva.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(primer trimestre con Sitowise Sverige)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tasa de facturación y margen de Suecia; ventas de horas con 1 hora más de calendario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nuevo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del modelo descentralizado y del ritmo de compras; riesgo de cambio de estrategia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(≈4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Projektengagemang y Fimpec enteros; margen frente al 12 %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Presupuestos de defensa y resiliencia nórdicos y de la UE (objetivo OTAN del 3,5 % + 1,5 %)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demanda de infraestructura militar, energía y agua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vivienda en Suecia con tipos más bajos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Edificios y urbanismo (38 % de las ventas) dejaría de restar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Herramientas de IA que generan planos y cálculos (Autodesk, Bentley, agentes)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horas por proyecto: presión sobre tarifas o más margen si se cobra por proyecto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las horas facturables y el cliente exige la rebaja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modelo de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−40 % (escenario bajista: 79,64 SEK)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legal del diseño, 39 % de cliente público que paga por proyecto, uso propio de IA (SwecoGPT) para subir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negativo dos trimestres seguidos con la tasa de facturación ≥ 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y comercial nórdica sigue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Edificios es el 38 % y vivienda y promotores el 17 %; infraestructura, agua y energía compensan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Visados de vivienda en Suecia y margen de Sweco Suecia &lt;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no llegan al margen del grupo (Projektengagemang, Sitowise Sverige)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bajo una marca; historial de casi 170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lo comprado negativo un año después (−25 M con un año entero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la primera ejecutiva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descentralizado con 1.700 equipos; presidentes de área con 5-10 años en el cargo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Sucesor externo con cambio de modelo o retraso de más de seis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salarial por encima de las tarifas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del 2-4 % en 2025-26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empleado creciendo más que la tarifa media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 fuerte frente al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 ingresos en la misma divisa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EUR/SEK &lt; 10,5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 de inversión pública tras las elecciones suecas (sep-2026) y presupuestos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ferroviarios y de defensa con financiación plurianual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en el plan nacional de Trafikverket (1.327 M de ventas en 2025)</w:t>
            </w:r>
          </w:p>
        </w:tc>
      </w:tr>
    </w:tbl>
    <w:p>
      <w:pPr>
        <w:spacing w:after="160" w:before="0"/>
      </w:pPr>
    </w:p>
    <w:p>
      <w:pPr>
        <w:pStyle w:val="Heading2"/>
      </w:pPr>
      <w:r>
        <w:t xml:space="preserve">Pre-mortem</w:t>
      </w:r>
    </w:p>
    <w:p>
      <w:pPr>
        <w:spacing w:after="100"/>
      </w:pPr>
      <w:r>
        <w:t xml:space="preserve">Octubre de 2029: la acción cotiza a 80 SEK. Lo que pasó: en 2027 las herramientas de IA para documentación, cálculo estructural y coordinación BIM se generalizaron; un proyecto que pedía 1.000 horas pedía 700. Los clientes públicos, que licitan por precio, lo descubrieron en los concursos y las tarifas por hora no subieron lo bastante: el volumen orgánico cayó un 2-3 % al año y la tasa de facturación bajó del 75 % al 72 % porque la plantilla no se ajustó a tiempo (convenios nórdicos, despidos caros). El nuevo primer ejecutivo, llegado de fuera en 2027, aceleró compras para mantener el crecimiento y pagó más caro; el margen EBITA volvió al 9 %. El mercado, que ya pagaba solo 18 veces beneficios, bajó a 13-14 veces, como AFRY o Arcadis. La señal que lo habría anticipado: el volumen orgánico (crecimiento orgánico menos subida de tarifa) negativo dos trimestres seguidos en 2027 mientras la competencia anunciaba recortes de plantilla.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−15 % a 3-5 años en el caso adverso (bajista −39,8 %); +5 % si captura la productividad</w:t>
      </w:r>
    </w:p>
    <w:p>
      <w:pPr>
        <w:spacing w:after="100"/>
      </w:pPr>
      <w:r>
        <w:t xml:space="preserve">Sweco vende horas: el personal es el 66 % de las ventas y la tasa de facturación (74,8 %) es su palanca principal [1, 2]. La IA ataca justo el trabajo de documentación, cálculo y dibujo que más horas consume, así que puede reducir las horas por proyecto; si el cliente paga por hora (habitual en tiempo y materiales) la rebaja se la queda él. A favor: el diseño exige firma y responsabilidad, el 39 % del cliente es público y licita marcos plurianuales, más del 70 % de la plantilla ya usa SwecoGPT y la IA dispara la demanda de centros de datos y redes, que Sweco diseña [1]. Hoy no se ve en las cifras (orgánico del 3 % por tarifas, horas planas). La señal: volumen orgánico negativo con tarifas al alza que no lo compensan.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capital humano: 23.000 expertos, el 66 % de las ventas en personal y la rotación como riesgo de ejecución [1]. Segundo, la ética en contratación pública (ninguna corrupción confirmada en 2025) [1]. Tercero, la oportunidad: buena parte de las ventas se dedica a transición energética, agua y adaptación al clima. Emisiones propias pequeñas: 64.478 t CO2e en 2025 (−8 %) [1].</w:t>
      </w:r>
    </w:p>
    <w:p>
      <w:pPr>
        <w:pStyle w:val="Heading2"/>
      </w:pPr>
      <w:r>
        <w:t xml:space="preserve">Controversias</w:t>
      </w:r>
    </w:p>
    <w:p>
      <w:pPr>
        <w:spacing w:after="100"/>
      </w:pPr>
      <w:r>
        <w:t xml:space="preserve">No encontramos sanciones ni litigios relevantes en 2023-2026 en los informes y notas de la empresa; el informe anual declara cero incidentes confirmados de corrupción o derechos humanos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se cobra por hora y cuál a precio fijo, y cómo ha cambiado el número de horas por proyecto equivalente en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margen o deflación de ventas (riesgo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3 % de crecimiento orgánico es tarifa y cuánto horas?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atribuye el crecimiento a tarifas y tasa de facturación; si las horas caen, el bajista está empezando.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busca un sucesor interno (presidente de área) o externo, y mantendrá el modelo descentralizado y el ritmo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de comprador en serie depende de la continuidad.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2025</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llegarán Projektengagemang y Sitowise Sverige al margen EBITA de Sweco Suecia (12 %)?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Restaron 25 M de EBITA y 126 M de EBIT con un año entero.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del 12 %</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alcanzado nunca el margen EBITA del 12 % y qué plazo da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máximo fue 10,5 %; nuestro base no llega.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baja del 66 % al 57 % la parte de la cartera que se factura en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más larga puede ser mejor visibilidad o proyectos que se retrasan.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Inderes Forum (Finlandia)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un inversor la añade a su cartera en julio, otro la ve barata dentro de la cartera de Latour (EV/EBIT ≈14 veces) y otro comenta la venta de Sitowise Sverige a Sweco como señal de que los pequeños se rinden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sobre WSP, el comparable más seguido)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quince opiniones son de compra, pero el debate gira en la IA: unos creen que sobra trabajo de bajo nivel y bajarán las horas facturables; otros que la responsabilidad del diseño sigue siendo humana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Börskollen (prensa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25 % se atribuye al miedo a la IA y a la guerra de Irán; los analistas citados lo ven como precio de saldo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Aktiespararna (asociación de pequeños accionistas)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 el primer consejo de compra de Handelsbanken en cuatro años por valoración, con la advertencia de que la IA empujará hacia precios por valor y no por hora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reducirá las horas facturables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horas no caen todavía: tasa de facturación del 75,9 % en el 2T26 y orgánico del 3 %, pero el volumen orgánico está plano y el crecimiento sale de tarifas [27,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saldo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frente a 2022-2025 (PER adelantado de 21-27 veces), no frente a 2017-2018 (17 veces) [27,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baratas en un mercado deprimido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2025 restan EBITA al principio; la tesis necesita que Projektengagemang y Sitowise lleguen al margen del grupo [28].</w:t>
            </w:r>
          </w:p>
        </w:tc>
      </w:tr>
    </w:tbl>
    <w:p>
      <w:pPr>
        <w:spacing w:after="160" w:before="0"/>
      </w:pPr>
    </w:p>
    <w:p>
      <w:pPr>
        <w:spacing w:after="100"/>
      </w:pPr>
      <w:r>
        <w:t xml:space="preserve">Poco debate de particulares sobre Sweco en sí; el debate es sectorial y gira en la IA [28, 29]. El tono ha pasado de vendedor (abril-mayo) a dividido con sesgo comprador desde septiembre, a la par que los analistas (paso a compra de Handelsbanken) [27]. No hay euforia ni capitulación: el sentimiento apoya la lectura del informe (barata frente a su historia, con una duda real sobre el modelo de horas). No anticipa ningún riesgo que el informe no recoja; confirma que el riesgo dominante es la IA y que el mercado aún no sabe ponerle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31 (14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2,7 % en 2030e frente al 2,6 %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17,5 % frente a 17,4 % real: genera una variación de circulante de 379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5, 6,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con la segmentación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 del informe anual 2025 (solo 2024-2025); 2) XBRL ESEF 2023-2024 (sin desglose por área); 3) revisión trimestral del 2T26 (solo desde 2T24)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con NIIF 16 y consenso previo a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(dan EBITA y EBITDA sin NIIF 16); 2) MarketScreener (sin histórico de consenso por trimestre); 3) prensa sueca (Placera, Di) sin cifras de consenso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europeo de consultoría de ingeniería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EFCA Sector Review 2022 (enlace caído); 2) barómetros EFCA (solo muestras parciales por país); 3) Eurostat NACE M71 (incluye ensayos técnicos; no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del informe anual 2025 (sin calificaciones de terceros); 2) MSCI ESG ratings (requiere navegador); 3) 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porcentajes de voto de la junta sobre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acuerdos de la junta de 22-abr-2026 (sin recuento); 2) informe anual 2025 (sin actas); 3) acta de la junta en la web (no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 (registro de Finansinspektionen)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insiders de FI (requiere navegador con búsqueda); 2) MFN (sin avisos de operaciones de directivos); 3) MarketScreener (sin tabla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EBITDA de compras europeas cotizadas (Projektengagemang, Golder, Wood E&amp;I, IBI)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compradoras (Sweco no publica el múltiplo de Projektengagemang); 2) búsqueda web de Golder, Wood e IBI (sin múltiplo citable); 3) prensa sectorial (cifras sin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y EV/EBITDA de 12 meses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(bloqueado por Cloudflare); 2) Yahoo (no da estimaciones de ventas en la ficha); 3) MarketScreener (una página por empresa, sin tiempo para diez)</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Finansinspektionen, registro de posiciones cortas (requiere navegador); 2) Yahoo (sin dato para Estocolmo); 3) prensa sueca (sin cifra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notas 2, 3, 6, 9, 11, 12, 14, 22, 26 y 27, cinco años, gobierno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https://mb.cision.com/Main/1356/4326321/4005820.pdf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January–June 2026 (cuenta, balance y flujos a 30-jun-2026, áreas de negocio, revisión trimestral,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https://mb.cision.com/Main/1356/4375560/4197625.pdf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https://mb.cision.com/Main/1356/4340778/4061158.pdf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Year-end Report 2025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https://www.swecogroup.com/wp-content/uploads/sites/2/2026/02/3927887.pdf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https://www.swecogroup.com/wp-content/uploads/sites/2/2025/10/3750040.pdf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2024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https://www.swecogroup.com/wp-content/uploads/sites/2/2024/10/3082717-1.pdf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2021 (resumen de cinco años 2017-2021, cuenta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https://www.swecogroup.com/wp-content/uploads/sites/2/2022/03/1552192.pdf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2021-2024 en xBRL-JSON (cuenta, balance y flujos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LEI 549300Q4Y55VICYV6U90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https://filings.xbrl.org/549300Q4Y55VICYV6U90/2024-12-31/ESEF/SE/0/swec-2024-12-31-0-sv.json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https://www.swecogroup.com/wp-content/uploads/sites/2/2026/07/Sweco_Q2_Presentation.pdf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number of shares and votes in Sweco AB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https://mb.cision.com/Main/1356/4328734/4016007.pdf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EFCA Barometer Spring 2022 (facturación por empleado en la consultoría de ingeniería europea: 109.717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Federation of Engineering Consultancy Associations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https://www.frinet.dk/media/0bakzrr4/efca_barometer_spring_2022-1.pdf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EFCA Sector Review 2022, nota de prensa (≈1 millón de empleados en el sector en Europa)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http://www.acei.ie/wp-content/themes/iBUILDiT/uploads/EFCA_Sector_Review_2022_Press_Release.pdf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EFCA Barometer Spring 2024 (escasez de personal y costes laborales, principales retos)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https://www.frinet.dk/media/ngvdrjjv/efca_barometer_spring_2024.pdf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y cuentas de WSP, Stantec, AECOM, Jacobs, Tetra Tech, Arcadis, AFRY, Norconsult, Multiconsult y Rejlers (ventas y EBIT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y estados financieros)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caída de la acción por el temor a la IA (≈40 % desde el máximo de otoño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https://www.stockwatch.com/News/Item/Z-C!WSP-3834496/C/WSP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Åsa Bergman resigns as President and CEO of Sweco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https://mb.cision.com/Main/1356/4403819/4299284.pdf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at Sweco AB’s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(publ)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https://mb.cision.com/Main/1356/4338368/4052940.pdf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SWEC-B.ST, ^OMXSPI y EXH4.DE (precio, rango, volumen, beta,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https://finance.yahoo.com/quote/SWEC-B.ST/history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estimaciones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https://uk.marketscreener.com/quote/stock/SWECO-AB-6491806/finances/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Sweco AB: consenso (6 analistas, objetivo medio, máximo y mínimo,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https://uk.marketscreener.com/quote/stock/SWECO-AB-6491806/consensus/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capitalización, valor empresa, PER adelantado, EBITDA, ROIC y FCF de 10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y estados financieros), pasado a SEK con su tipo de cambio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14-oct-2026 (EUR/SEK 11,1580; EUR/USD 1,1195; EUR/GBP 0,84385)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Estado sueco a 10 años (SEGVB10YC): 3,201 %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 (API SWEA)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https://api.riksbank.se/swea/v1/Observations/SEGVB10YC/2026-10-01/2026-10-15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to acquire POWER Engineers (1.780 M USD; 15,2 veces el EBITDA ajustado sin NIIF 16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NS Energy (nota de WSP)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https://www.nsenergybusiness.com/news/wsp-to-acquire-power-engineers-setting-milestone-for-accelerated-growth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RPS Group by Tetra Tech (≈636 M GBP; 16,0 veces el EBITDA ajustado sin NIIF 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Tech (8-K, Exhibit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https://www.sec.gov/Archives/edgar/data/831641/000110465922102772/tm2226569d1_ex99-1.htm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information: Sitowise signs an agreement to sell its Swedish subsidiary (valor empresa ≈3,0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Sitowise Group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https://www.mfn.se/cis/a/sitowise-group/inside-information-sitowise-signs-an-agreement-to-sell-its-swedish-subsidiary-2d88570f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Billigare Sweco lockar – första köprådet på fyra år (Handelsbanken: EV/EBITA adelantado de ≈20 a ≈14 veces)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Aktiespararna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https://www.aktiespararna.se/nyheter/storbanken-attraktiv-uppsida-for-forsta-gangen-pa-lange-kop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Inderes: búsqueda de mensajes sobre Sweco desde jul-2026 (carteras, Latour, Sitowise, tranvía de Turku)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https://forum.inderes.com/search?q=sweco%20after%3A2026-07-01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Global: opiniones de gestores y comentaristas (jul-oct 2026) sobre la IA y el sector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https://stockchase.com/WSP-T/opinions/269289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Teknikkonsulten har rasat 25 procent i år – analytikerna ser nu reapris (sin comentarios de lectores visibles)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Börskollen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https://www.borskollen.se/nyheter/27/teknikkonsulten-har-rasat-25-procent-i-ar-analytikerna-ser-nu-reapris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acción B (SWEC B), la líquida; la A (SWEC A, 10 votos) cotiza con poco volumen. Precio: cierre del 14-oct-2026 en Nasdaq Stockholm (132,20 SEK = 11,85 EUR al cambio del BCE de 11,158; una acción es el 0,04 % de una cartera de 30.000 EUR); la sesión del 15-oct no había cerrado. Cuentas 2020-2024 del XBRL ESEF comprobadas con los resúmenes de cinco años de los informes anuales 2021 y 2025; 2025 del informe anual. Cuenta por naturaleza: en «coste de ventas» van los otros gastos externos netos de otros ingresos (subcontratas, viajes, IT), calculados como ventas − personal − EBITDA. EBITDA con NIIF 16 (EBIT + toda la amortización, incluida la de derechos de uso y la de intangibles de compras): es más alto que el EBITDA «sin NIIF 16» que publica la empresa (3.661 M en 2025 frente a 4.683 M aquí); los arrendamientos (3.600 M) van en la deuda. Segmentos solo 2024-2025 con la segmentación actual; Reino Unido se agrupa con funciones comunes y eliminaciones. Comparables de Yahoo pasados a SEK (EBITDA de cada empresa con su norma; PER adelantado sobre el BPA ajustado de cada una, otra base que la nuestra). Sin calificaciones ESG ni votos de la junta.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Sweco AB (publ) (SWEC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132,20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(122,00 – 179,80)</c:v>
                </c:pt>
                <c:pt idx="1">
                  <c:v>Precio objetivo de los analistas (133,00 – 200,00)</c:v>
                </c:pt>
                <c:pt idx="2">
                  <c:v>Comparables: PER NTM (71,98 – 105,26)</c:v>
                </c:pt>
                <c:pt idx="3">
                  <c:v>DCF (WACC y g ± 0,5) (98,99 – 141,56)</c:v>
                </c:pt>
                <c:pt idx="4">
                  <c:v>Escenarios (bajista – alcista) (79,64 – 129,56)</c:v>
                </c:pt>
                <c:pt idx="5">
                  <c:v>DCF con la prima implícita del mercado (4,2 %)</c:v>
                </c:pt>
                <c:pt idx="6">
                  <c:v>Precio actual (132,20)</c:v>
                </c:pt>
              </c:strCache>
            </c:strRef>
          </c:cat>
          <c:val>
            <c:numRef>
              <c:f>Hoja1!$B$2:$B$8</c:f>
              <c:numCache>
                <c:formatCode>#,##0</c:formatCode>
                <c:ptCount val="7"/>
                <c:pt idx="0">
                  <c:v>122</c:v>
                </c:pt>
                <c:pt idx="1">
                  <c:v>133</c:v>
                </c:pt>
                <c:pt idx="2">
                  <c:v>71.98</c:v>
                </c:pt>
                <c:pt idx="3">
                  <c:v>98.99</c:v>
                </c:pt>
                <c:pt idx="4">
                  <c:v>79.64</c:v>
                </c:pt>
                <c:pt idx="5">
                  <c:v>134.92</c:v>
                </c:pt>
                <c:pt idx="6">
                  <c:v>131.54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(122,00 – 179,80)</c:v>
                </c:pt>
                <c:pt idx="1">
                  <c:v>Precio objetivo de los analistas (133,00 – 200,00)</c:v>
                </c:pt>
                <c:pt idx="2">
                  <c:v>Comparables: PER NTM (71,98 – 105,26)</c:v>
                </c:pt>
                <c:pt idx="3">
                  <c:v>DCF (WACC y g ± 0,5) (98,99 – 141,56)</c:v>
                </c:pt>
                <c:pt idx="4">
                  <c:v>Escenarios (bajista – alcista) (79,64 – 129,56)</c:v>
                </c:pt>
                <c:pt idx="5">
                  <c:v>DCF con la prima implícita del mercado (4,2 %)</c:v>
                </c:pt>
                <c:pt idx="6">
                  <c:v>Precio actual (132,20)</c:v>
                </c:pt>
              </c:strCache>
            </c:strRef>
          </c:cat>
          <c:val>
            <c:numRef>
              <c:f>Hoja1!$C$2:$C$8</c:f>
              <c:numCache>
                <c:formatCode>#,##0</c:formatCode>
                <c:ptCount val="7"/>
                <c:pt idx="0">
                  <c:v>57.80000000000001</c:v>
                </c:pt>
                <c:pt idx="1">
                  <c:v>67</c:v>
                </c:pt>
                <c:pt idx="2">
                  <c:v>33.28</c:v>
                </c:pt>
                <c:pt idx="3">
                  <c:v>42.57000000000001</c:v>
                </c:pt>
                <c:pt idx="4">
                  <c:v>49.92</c:v>
                </c:pt>
                <c:pt idx="5">
                  <c:v>37.96000000000001</c:v>
                </c:pt>
                <c:pt idx="6">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Sweco Suecia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8929</c:v>
                </c:pt>
                <c:pt idx="1">
                  <c:v>9358</c:v>
                </c:pt>
              </c:numCache>
            </c:numRef>
          </c:val>
        </c:ser>
        <c:ser>
          <c:idx val="1"/>
          <c:order val="1"/>
          <c:tx>
            <c:strRef>
              <c:f>Hoja1!$C$1</c:f>
              <c:strCache>
                <c:ptCount val="1"/>
                <c:pt idx="0">
                  <c:v>Sweco Bélgica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3995</c:v>
                </c:pt>
                <c:pt idx="1">
                  <c:v>4016</c:v>
                </c:pt>
              </c:numCache>
            </c:numRef>
          </c:val>
        </c:ser>
        <c:ser>
          <c:idx val="2"/>
          <c:order val="2"/>
          <c:tx>
            <c:strRef>
              <c:f>Hoja1!$D$1</c:f>
              <c:strCache>
                <c:ptCount val="1"/>
                <c:pt idx="0">
                  <c:v>Sweco Finlandia</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3604</c:v>
                </c:pt>
                <c:pt idx="1">
                  <c:v>3632</c:v>
                </c:pt>
              </c:numCache>
            </c:numRef>
          </c:val>
        </c:ser>
        <c:ser>
          <c:idx val="3"/>
          <c:order val="3"/>
          <c:tx>
            <c:strRef>
              <c:f>Hoja1!$E$1</c:f>
              <c:strCache>
                <c:ptCount val="1"/>
                <c:pt idx="0">
                  <c:v>Sweco Noruega</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3515</c:v>
                </c:pt>
                <c:pt idx="1">
                  <c:v>3558</c:v>
                </c:pt>
              </c:numCache>
            </c:numRef>
          </c:val>
        </c:ser>
        <c:ser>
          <c:idx val="4"/>
          <c:order val="4"/>
          <c:tx>
            <c:strRef>
              <c:f>Hoja1!$F$1</c:f>
              <c:strCache>
                <c:ptCount val="1"/>
                <c:pt idx="0">
                  <c:v>Sweco Países Bajos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3238</c:v>
                </c:pt>
                <c:pt idx="1">
                  <c:v>3528</c:v>
                </c:pt>
              </c:numCache>
            </c:numRef>
          </c:val>
        </c:ser>
        <c:ser>
          <c:idx val="5"/>
          <c:order val="5"/>
          <c:tx>
            <c:strRef>
              <c:f>Hoja1!$G$1</c:f>
              <c:strCache>
                <c:ptCount val="1"/>
                <c:pt idx="0">
                  <c:v>Sweco Dinamarca</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3449</c:v>
                </c:pt>
                <c:pt idx="1">
                  <c:v>3340</c:v>
                </c:pt>
              </c:numCache>
            </c:numRef>
          </c:val>
        </c:ser>
        <c:ser>
          <c:idx val="6"/>
          <c:order val="6"/>
          <c:tx>
            <c:strRef>
              <c:f>Hoja1!$H$1</c:f>
              <c:strCache>
                <c:ptCount val="1"/>
                <c:pt idx="0">
                  <c:v>Sweco Alemania y Europa Central</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2813</c:v>
                </c:pt>
                <c:pt idx="1">
                  <c:v>2995</c:v>
                </c:pt>
              </c:numCache>
            </c:numRef>
          </c:val>
        </c:ser>
        <c:ser>
          <c:idx val="7"/>
          <c:order val="7"/>
          <c:tx>
            <c:strRef>
              <c:f>Hoja1!$I$1</c:f>
              <c:strCache>
                <c:ptCount val="1"/>
                <c:pt idx="0">
                  <c:v>Sweco Reino Unido y otros</c:v>
                </c:pt>
              </c:strCache>
            </c:strRef>
          </c:tx>
          <c:spPr>
            <a:solidFill>
              <a:srgbClr val="E34948"/>
            </a:solidFill>
            <a:ln w="12700">
              <a:solidFill>
                <a:srgbClr val="FFFFFF"/>
              </a:solidFill>
            </a:ln>
          </c:spPr>
          <c:invertIfNegative val="0"/>
          <c:cat>
            <c:strRef>
              <c:f>Hoja1!$A$2:$A$3</c:f>
              <c:strCache>
                <c:ptCount val="2"/>
                <c:pt idx="0">
                  <c:v>2024</c:v>
                </c:pt>
                <c:pt idx="1">
                  <c:v>2025</c:v>
                </c:pt>
              </c:strCache>
            </c:strRef>
          </c:cat>
          <c:val>
            <c:numRef>
              <c:f>Hoja1!$I$2:$I$3</c:f>
              <c:numCache>
                <c:formatCode>#,##0</c:formatCode>
                <c:ptCount val="2"/>
                <c:pt idx="0">
                  <c:v>1133</c:v>
                </c:pt>
                <c:pt idx="1">
                  <c:v>1160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Pt>
            <c:idx val="7"/>
            <c:bubble3D val="0"/>
            <c:spPr>
              <a:solidFill>
                <a:srgbClr val="E34948"/>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Hoja1!$A$2:$A$9</c:f>
              <c:strCache>
                <c:ptCount val="8"/>
                <c:pt idx="0">
                  <c:v>Sweco Suecia</c:v>
                </c:pt>
                <c:pt idx="1">
                  <c:v>Sweco Bélgica</c:v>
                </c:pt>
                <c:pt idx="2">
                  <c:v>Sweco Finlandia</c:v>
                </c:pt>
                <c:pt idx="3">
                  <c:v>Sweco Noruega</c:v>
                </c:pt>
                <c:pt idx="4">
                  <c:v>Sweco Países Bajos</c:v>
                </c:pt>
                <c:pt idx="5">
                  <c:v>Sweco Dinamarca</c:v>
                </c:pt>
                <c:pt idx="6">
                  <c:v>Sweco Alemania y Europa Central</c:v>
                </c:pt>
                <c:pt idx="7">
                  <c:v>Sweco Reino Unido y otros</c:v>
                </c:pt>
              </c:strCache>
            </c:strRef>
          </c:cat>
          <c:val>
            <c:numRef>
              <c:f>Hoja1!$B$2:$B$9</c:f>
              <c:numCache>
                <c:formatCode>General</c:formatCode>
                <c:ptCount val="8"/>
                <c:pt idx="0">
                  <c:v>29.6</c:v>
                </c:pt>
                <c:pt idx="1">
                  <c:v>12.7</c:v>
                </c:pt>
                <c:pt idx="2">
                  <c:v>11.5</c:v>
                </c:pt>
                <c:pt idx="3">
                  <c:v>11.3</c:v>
                </c:pt>
                <c:pt idx="4">
                  <c:v>11.2</c:v>
                </c:pt>
                <c:pt idx="5">
                  <c:v>10.6</c:v>
                </c:pt>
                <c:pt idx="6">
                  <c:v>9.5</c:v>
                </c:pt>
                <c:pt idx="7">
                  <c:v>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Suecia</c:v>
                </c:pt>
                <c:pt idx="1">
                  <c:v>Noruega</c:v>
                </c:pt>
                <c:pt idx="2">
                  <c:v>Países Bajos</c:v>
                </c:pt>
                <c:pt idx="3">
                  <c:v>Bélgica</c:v>
                </c:pt>
                <c:pt idx="4">
                  <c:v>Finlandia</c:v>
                </c:pt>
                <c:pt idx="5">
                  <c:v>Dinamarca</c:v>
                </c:pt>
                <c:pt idx="6">
                  <c:v>Alemania</c:v>
                </c:pt>
                <c:pt idx="7">
                  <c:v>Otros (Reino Unido 4,2 %, Polonia, Luxemburgo…)</c:v>
                </c:pt>
              </c:strCache>
            </c:strRef>
          </c:cat>
          <c:val>
            <c:numRef>
              <c:f>Hoja1!$B$2:$B$9</c:f>
              <c:numCache>
                <c:formatCode>0"%"</c:formatCode>
                <c:ptCount val="8"/>
                <c:pt idx="0">
                  <c:v>29.1</c:v>
                </c:pt>
                <c:pt idx="1">
                  <c:v>11.5</c:v>
                </c:pt>
                <c:pt idx="2">
                  <c:v>11.3</c:v>
                </c:pt>
                <c:pt idx="3">
                  <c:v>11.2</c:v>
                </c:pt>
                <c:pt idx="4">
                  <c:v>10.8</c:v>
                </c:pt>
                <c:pt idx="5">
                  <c:v>10.1</c:v>
                </c:pt>
                <c:pt idx="6">
                  <c:v>7.6</c:v>
                </c:pt>
                <c:pt idx="7">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Sweco</c:v>
                </c:pt>
                <c:pt idx="1">
                  <c:v>WSP Global</c:v>
                </c:pt>
                <c:pt idx="2">
                  <c:v>Jacobs Solutions</c:v>
                </c:pt>
                <c:pt idx="3">
                  <c:v>AECOM</c:v>
                </c:pt>
                <c:pt idx="4">
                  <c:v>Stantec</c:v>
                </c:pt>
                <c:pt idx="5">
                  <c:v>Arcadis</c:v>
                </c:pt>
                <c:pt idx="6">
                  <c:v>Tetra Tech</c:v>
                </c:pt>
                <c:pt idx="7">
                  <c:v>AFRY</c:v>
                </c:pt>
                <c:pt idx="8">
                  <c:v>Norconsult</c:v>
                </c:pt>
              </c:strCache>
            </c:strRef>
          </c:cat>
          <c:val>
            <c:numRef>
              <c:f>Hoja1!$B$2:$B$10</c:f>
              <c:numCache>
                <c:formatCode>0.0"%"</c:formatCode>
                <c:ptCount val="9"/>
                <c:pt idx="0">
                  <c:v>10.1</c:v>
                </c:pt>
                <c:pt idx="1">
                  <c:v>8.4</c:v>
                </c:pt>
                <c:pt idx="2">
                  <c:v>4.7</c:v>
                </c:pt>
                <c:pt idx="3">
                  <c:v>4.7</c:v>
                </c:pt>
                <c:pt idx="4">
                  <c:v>9.3</c:v>
                </c:pt>
                <c:pt idx="5">
                  <c:v>7.5</c:v>
                </c:pt>
                <c:pt idx="6">
                  <c:v>12.5</c:v>
                </c:pt>
                <c:pt idx="7">
                  <c:v>5.5</c:v>
                </c:pt>
                <c:pt idx="8">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20858</c:v>
                </c:pt>
                <c:pt idx="1">
                  <c:v>21792</c:v>
                </c:pt>
                <c:pt idx="2">
                  <c:v>24296</c:v>
                </c:pt>
                <c:pt idx="3">
                  <c:v>28523</c:v>
                </c:pt>
                <c:pt idx="4">
                  <c:v>30676</c:v>
                </c:pt>
                <c:pt idx="5">
                  <c:v>31586</c:v>
                </c:pt>
                <c:pt idx="6">
                  <c:v>33639</c:v>
                </c:pt>
                <c:pt idx="7">
                  <c:v>34816</c:v>
                </c:pt>
                <c:pt idx="8">
                  <c:v>36035</c:v>
                </c:pt>
                <c:pt idx="9">
                  <c:v>37296</c:v>
                </c:pt>
                <c:pt idx="10">
                  <c:v>38415</c:v>
                </c:pt>
                <c:pt idx="11">
                  <c:v>39568</c:v>
                </c:pt>
                <c:pt idx="12">
                  <c:v>40557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3067</c:v>
                </c:pt>
                <c:pt idx="1">
                  <c:v>3144</c:v>
                </c:pt>
                <c:pt idx="2">
                  <c:v>3361</c:v>
                </c:pt>
                <c:pt idx="3">
                  <c:v>3770</c:v>
                </c:pt>
                <c:pt idx="4">
                  <c:v>4446</c:v>
                </c:pt>
                <c:pt idx="5">
                  <c:v>4683</c:v>
                </c:pt>
                <c:pt idx="6">
                  <c:v>5046</c:v>
                </c:pt>
                <c:pt idx="7">
                  <c:v>5292</c:v>
                </c:pt>
                <c:pt idx="8">
                  <c:v>5513</c:v>
                </c:pt>
                <c:pt idx="9">
                  <c:v>5744</c:v>
                </c:pt>
                <c:pt idx="10">
                  <c:v>5916</c:v>
                </c:pt>
                <c:pt idx="11">
                  <c:v>6093</c:v>
                </c:pt>
                <c:pt idx="12">
                  <c:v>6246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79.8</c:v>
                </c:pt>
                <c:pt idx="1">
                  <c:v>80.6</c:v>
                </c:pt>
                <c:pt idx="2">
                  <c:v>80</c:v>
                </c:pt>
                <c:pt idx="3">
                  <c:v>79.6</c:v>
                </c:pt>
                <c:pt idx="4">
                  <c:v>80.4</c:v>
                </c:pt>
                <c:pt idx="5">
                  <c:v>80.8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14.7</c:v>
                </c:pt>
                <c:pt idx="1">
                  <c:v>14.4</c:v>
                </c:pt>
                <c:pt idx="2">
                  <c:v>13.8</c:v>
                </c:pt>
                <c:pt idx="3">
                  <c:v>13.2</c:v>
                </c:pt>
                <c:pt idx="4">
                  <c:v>14.5</c:v>
                </c:pt>
                <c:pt idx="5">
                  <c:v>14.8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9.6</c:v>
                </c:pt>
                <c:pt idx="1">
                  <c:v>9.3</c:v>
                </c:pt>
                <c:pt idx="2">
                  <c:v>9.2</c:v>
                </c:pt>
                <c:pt idx="3">
                  <c:v>8.5</c:v>
                </c:pt>
                <c:pt idx="4">
                  <c:v>9.8</c:v>
                </c:pt>
                <c:pt idx="5">
                  <c:v>10.1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6.2</c:v>
                </c:pt>
                <c:pt idx="1">
                  <c:v>6.8</c:v>
                </c:pt>
                <c:pt idx="2">
                  <c:v>6.8</c:v>
                </c:pt>
                <c:pt idx="3">
                  <c:v>5.8</c:v>
                </c:pt>
                <c:pt idx="4">
                  <c:v>6.8</c:v>
                </c:pt>
                <c:pt idx="5">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5.6</c:v>
                </c:pt>
                <c:pt idx="3">
                  <c:v>-3</c:v>
                </c:pt>
                <c:pt idx="4">
                  <c:v>5.3</c:v>
                </c:pt>
                <c:pt idx="5">
                  <c:v>5.5</c:v>
                </c:pt>
                <c:pt idx="6">
                  <c:v>3.3</c:v>
                </c:pt>
                <c:pt idx="7">
                  <c:v>9.4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4</c:v>
                </c:pt>
                <c:pt idx="1">
                  <c:v>4</c:v>
                </c:pt>
                <c:pt idx="3">
                  <c:v>2</c:v>
                </c:pt>
                <c:pt idx="4">
                  <c:v>4</c:v>
                </c:pt>
                <c:pt idx="5">
                  <c:v>5</c:v>
                </c:pt>
                <c:pt idx="6">
                  <c:v>3</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62</c:v>
                </c:pt>
                <c:pt idx="1">
                  <c:v>55</c:v>
                </c:pt>
                <c:pt idx="2">
                  <c:v>61</c:v>
                </c:pt>
                <c:pt idx="3">
                  <c:v>59</c:v>
                </c:pt>
                <c:pt idx="4">
                  <c:v>55</c:v>
                </c:pt>
                <c:pt idx="5">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c:v>
                </c:pt>
                <c:pt idx="1">
                  <c:v>13</c:v>
                </c:pt>
                <c:pt idx="2">
                  <c:v>19</c:v>
                </c:pt>
                <c:pt idx="3">
                  <c:v>14</c:v>
                </c:pt>
                <c:pt idx="4">
                  <c:v>12</c:v>
                </c:pt>
                <c:pt idx="5">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2316</c:v>
                </c:pt>
                <c:pt idx="1">
                  <c:v>1213</c:v>
                </c:pt>
                <c:pt idx="2">
                  <c:v>1403</c:v>
                </c:pt>
                <c:pt idx="3">
                  <c:v>1245</c:v>
                </c:pt>
                <c:pt idx="4">
                  <c:v>2752</c:v>
                </c:pt>
                <c:pt idx="5">
                  <c:v>2709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1292</c:v>
                </c:pt>
                <c:pt idx="1">
                  <c:v>1492</c:v>
                </c:pt>
                <c:pt idx="2">
                  <c:v>1651</c:v>
                </c:pt>
                <c:pt idx="3">
                  <c:v>1667</c:v>
                </c:pt>
                <c:pt idx="4">
                  <c:v>2071</c:v>
                </c:pt>
                <c:pt idx="5">
                  <c:v>2226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14.1</c:v>
                </c:pt>
                <c:pt idx="1">
                  <c:v>13.6</c:v>
                </c:pt>
                <c:pt idx="2">
                  <c:v>13.4</c:v>
                </c:pt>
                <c:pt idx="3">
                  <c:v>12.5</c:v>
                </c:pt>
                <c:pt idx="4">
                  <c:v>13.7</c:v>
                </c:pt>
                <c:pt idx="5">
                  <c:v>13.8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8.2</c:v>
                </c:pt>
                <c:pt idx="1">
                  <c:v>8.2</c:v>
                </c:pt>
                <c:pt idx="2">
                  <c:v>8.2</c:v>
                </c:pt>
                <c:pt idx="3">
                  <c:v>8.2</c:v>
                </c:pt>
                <c:pt idx="4">
                  <c:v>8.2</c:v>
                </c:pt>
                <c:pt idx="5">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17.1</c:v>
                </c:pt>
                <c:pt idx="1">
                  <c:v>18.5</c:v>
                </c:pt>
                <c:pt idx="2">
                  <c:v>17.8</c:v>
                </c:pt>
                <c:pt idx="3">
                  <c:v>16.2</c:v>
                </c:pt>
                <c:pt idx="4">
                  <c:v>18.4</c:v>
                </c:pt>
                <c:pt idx="5">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1.23</c:v>
                </c:pt>
                <c:pt idx="1">
                  <c:v>1.12</c:v>
                </c:pt>
                <c:pt idx="2">
                  <c:v>1.07</c:v>
                </c:pt>
                <c:pt idx="3">
                  <c:v>1.47</c:v>
                </c:pt>
                <c:pt idx="4">
                  <c:v>1.15</c:v>
                </c:pt>
                <c:pt idx="5">
                  <c:v>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(SEK,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1335</c:v>
                </c:pt>
                <c:pt idx="1">
                  <c:v>1528</c:v>
                </c:pt>
                <c:pt idx="2">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535</c:v>
                </c:pt>
                <c:pt idx="1">
                  <c:v>363</c:v>
                </c:pt>
                <c:pt idx="2">
                  <c:v>675</c:v>
                </c:pt>
                <c:pt idx="3">
                  <c:v>1686</c:v>
                </c:pt>
                <c:pt idx="4">
                  <c:v>182</c:v>
                </c:pt>
                <c:pt idx="5">
                  <c:v>1075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732</c:v>
                </c:pt>
                <c:pt idx="1">
                  <c:v>782</c:v>
                </c:pt>
                <c:pt idx="2">
                  <c:v>876</c:v>
                </c:pt>
                <c:pt idx="3">
                  <c:v>968</c:v>
                </c:pt>
                <c:pt idx="4">
                  <c:v>1059</c:v>
                </c:pt>
                <c:pt idx="5">
                  <c:v>1187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3</c:v>
                </c:pt>
                <c:pt idx="1">
                  <c:v>1</c:v>
                </c:pt>
                <c:pt idx="2">
                  <c:v>4</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Familia Nordström (Skirner AB)</c:v>
                </c:pt>
                <c:pt idx="1">
                  <c:v>Investment AB Latour</c:v>
                </c:pt>
                <c:pt idx="2">
                  <c:v>Fundación J. Gust. Richert</c:v>
                </c:pt>
                <c:pt idx="3">
                  <c:v>Swedbank Robur Fonder</c:v>
                </c:pt>
                <c:pt idx="4">
                  <c:v>SEB Fonder</c:v>
                </c:pt>
                <c:pt idx="5">
                  <c:v>Handelsbanken Fonder</c:v>
                </c:pt>
                <c:pt idx="6">
                  <c:v>Första AP-fonden</c:v>
                </c:pt>
                <c:pt idx="7">
                  <c:v>Autocartera</c:v>
                </c:pt>
              </c:strCache>
            </c:strRef>
          </c:cat>
          <c:val>
            <c:numRef>
              <c:f>Hoja1!$B$2:$B$9</c:f>
              <c:numCache>
                <c:formatCode>0.0"%"</c:formatCode>
                <c:ptCount val="8"/>
                <c:pt idx="0">
                  <c:v>13.9</c:v>
                </c:pt>
                <c:pt idx="1">
                  <c:v>26.9</c:v>
                </c:pt>
                <c:pt idx="2">
                  <c:v>1.7</c:v>
                </c:pt>
                <c:pt idx="3">
                  <c:v>5.7</c:v>
                </c:pt>
                <c:pt idx="4">
                  <c:v>4.8</c:v>
                </c:pt>
                <c:pt idx="5">
                  <c:v>3.9</c:v>
                </c:pt>
                <c:pt idx="6">
                  <c:v>2.4</c:v>
                </c:pt>
                <c:pt idx="7">
                  <c:v>0.55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45</c:v>
                </c:pt>
                <c:pt idx="1">
                  <c:v>0.9</c:v>
                </c:pt>
                <c:pt idx="2">
                  <c:v>8.3</c:v>
                </c:pt>
                <c:pt idx="3">
                  <c:v>83.4</c:v>
                </c:pt>
                <c:pt idx="4">
                  <c:v>25.4</c:v>
                </c:pt>
                <c:pt idx="5">
                  <c:v>12.7</c:v>
                </c:pt>
                <c:pt idx="6">
                  <c:v>-41.3</c:v>
                </c:pt>
                <c:pt idx="7">
                  <c:v>35.3</c:v>
                </c:pt>
                <c:pt idx="8">
                  <c:v>21.9</c:v>
                </c:pt>
                <c:pt idx="9">
                  <c:v>-8.4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6.4</c:v>
                </c:pt>
                <c:pt idx="2">
                  <c:v>-7.7</c:v>
                </c:pt>
                <c:pt idx="3">
                  <c:v>29.6</c:v>
                </c:pt>
                <c:pt idx="4">
                  <c:v>12.9</c:v>
                </c:pt>
                <c:pt idx="5">
                  <c:v>35</c:v>
                </c:pt>
                <c:pt idx="6">
                  <c:v>-24.6</c:v>
                </c:pt>
                <c:pt idx="7">
                  <c:v>15.6</c:v>
                </c:pt>
                <c:pt idx="8">
                  <c:v>5.6</c:v>
                </c:pt>
                <c:pt idx="9">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c:v>
                </c:pt>
                <c:pt idx="1">
                  <c:v>20.5</c:v>
                </c:pt>
                <c:pt idx="2">
                  <c:v>11.7</c:v>
                </c:pt>
                <c:pt idx="3">
                  <c:v>14.3</c:v>
                </c:pt>
                <c:pt idx="4">
                  <c:v>14.5</c:v>
                </c:pt>
                <c:pt idx="5">
                  <c:v>12.7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13.5</c:v>
                </c:pt>
                <c:pt idx="1">
                  <c:v>13.5</c:v>
                </c:pt>
                <c:pt idx="2">
                  <c:v>13.5</c:v>
                </c:pt>
                <c:pt idx="3">
                  <c:v>13.5</c:v>
                </c:pt>
                <c:pt idx="4">
                  <c:v>13.5</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Sweco</c:v>
                </c:pt>
                <c:pt idx="1">
                  <c:v>WSP Global</c:v>
                </c:pt>
                <c:pt idx="2">
                  <c:v>Stantec</c:v>
                </c:pt>
                <c:pt idx="3">
                  <c:v>AECOM</c:v>
                </c:pt>
                <c:pt idx="4">
                  <c:v>Jacobs Solutions</c:v>
                </c:pt>
                <c:pt idx="5">
                  <c:v>Tetra Tech</c:v>
                </c:pt>
                <c:pt idx="6">
                  <c:v>Arcadis</c:v>
                </c:pt>
                <c:pt idx="7">
                  <c:v>AFRY</c:v>
                </c:pt>
                <c:pt idx="8">
                  <c:v>Norconsult</c:v>
                </c:pt>
                <c:pt idx="9">
                  <c:v>Multiconsult</c:v>
                </c:pt>
                <c:pt idx="10">
                  <c:v>Rejlers</c:v>
                </c:pt>
              </c:strCache>
            </c:strRef>
          </c:cat>
          <c:val>
            <c:numRef>
              <c:f>Hoja1!$B$2:$B$12</c:f>
              <c:numCache>
                <c:formatCode>0.0"x"</c:formatCode>
                <c:ptCount val="11"/>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POWER Engineers (EE. UU., redes eléctricas, ≈4.000 empleados)</c:v>
                </c:pt>
                <c:pt idx="1">
                  <c:v>RPS Group (Reino Unido, consultoría ambiental e ingeniería)</c:v>
                </c:pt>
                <c:pt idx="2">
                  <c:v>Trece compras de Sweco en 2025 (Projektengagemang, Fimpec, assar, Volantis…)</c:v>
                </c:pt>
                <c:pt idx="3">
                  <c:v>Sitowise Sverige (≈265 empleados, 26,3 M EUR de ventas, con pérdidas)</c:v>
                </c:pt>
              </c:strCache>
            </c:strRef>
          </c:cat>
          <c:val>
            <c:numRef>
              <c:f>Hoja1!$B$2:$B$5</c:f>
              <c:numCache>
                <c:formatCode>0.0"x"</c:formatCode>
                <c:ptCount val="4"/>
                <c:pt idx="0">
                  <c:v>15.2</c:v>
                </c:pt>
                <c:pt idx="1">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2329</c:v>
                </c:pt>
                <c:pt idx="1">
                  <c:v>2632</c:v>
                </c:pt>
                <c:pt idx="2">
                  <c:v>2742</c:v>
                </c:pt>
                <c:pt idx="3">
                  <c:v>2861</c:v>
                </c:pt>
                <c:pt idx="4">
                  <c:v>2973</c:v>
                </c:pt>
                <c:pt idx="5">
                  <c:v>3063</c:v>
                </c:pt>
                <c:pt idx="6">
                  <c:v>3173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14026</c:v>
                </c:pt>
                <c:pt idx="1">
                  <c:v>34898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132,20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79.64</c:v>
                </c:pt>
                <c:pt idx="1">
                  <c:v>116.57</c:v>
                </c:pt>
                <c:pt idx="2">
                  <c:v>129.56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132,20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(122,00 – 179,80)</c:v>
                </c:pt>
                <c:pt idx="1">
                  <c:v>Precio objetivo de los analistas (133,00 – 200,00)</c:v>
                </c:pt>
                <c:pt idx="2">
                  <c:v>Comparables: PER NTM (71,98 – 105,26)</c:v>
                </c:pt>
                <c:pt idx="3">
                  <c:v>DCF (WACC y g ± 0,5) (98,99 – 141,56)</c:v>
                </c:pt>
                <c:pt idx="4">
                  <c:v>Escenarios (bajista – alcista) (79,64 – 129,56)</c:v>
                </c:pt>
                <c:pt idx="5">
                  <c:v>DCF con la prima implícita del mercado (4,2 %)</c:v>
                </c:pt>
                <c:pt idx="6">
                  <c:v>Precio actual (132,20)</c:v>
                </c:pt>
              </c:strCache>
            </c:strRef>
          </c:cat>
          <c:val>
            <c:numRef>
              <c:f>Hoja1!$B$2:$B$8</c:f>
              <c:numCache>
                <c:formatCode>#,##0</c:formatCode>
                <c:ptCount val="7"/>
                <c:pt idx="0">
                  <c:v>122</c:v>
                </c:pt>
                <c:pt idx="1">
                  <c:v>133</c:v>
                </c:pt>
                <c:pt idx="2">
                  <c:v>71.98</c:v>
                </c:pt>
                <c:pt idx="3">
                  <c:v>98.99</c:v>
                </c:pt>
                <c:pt idx="4">
                  <c:v>79.64</c:v>
                </c:pt>
                <c:pt idx="5">
                  <c:v>134.92</c:v>
                </c:pt>
                <c:pt idx="6">
                  <c:v>131.54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(122,00 – 179,80)</c:v>
                </c:pt>
                <c:pt idx="1">
                  <c:v>Precio objetivo de los analistas (133,00 – 200,00)</c:v>
                </c:pt>
                <c:pt idx="2">
                  <c:v>Comparables: PER NTM (71,98 – 105,26)</c:v>
                </c:pt>
                <c:pt idx="3">
                  <c:v>DCF (WACC y g ± 0,5) (98,99 – 141,56)</c:v>
                </c:pt>
                <c:pt idx="4">
                  <c:v>Escenarios (bajista – alcista) (79,64 – 129,56)</c:v>
                </c:pt>
                <c:pt idx="5">
                  <c:v>DCF con la prima implícita del mercado (4,2 %)</c:v>
                </c:pt>
                <c:pt idx="6">
                  <c:v>Precio actual (132,20)</c:v>
                </c:pt>
              </c:strCache>
            </c:strRef>
          </c:cat>
          <c:val>
            <c:numRef>
              <c:f>Hoja1!$C$2:$C$8</c:f>
              <c:numCache>
                <c:formatCode>#,##0</c:formatCode>
                <c:ptCount val="7"/>
                <c:pt idx="0">
                  <c:v>57.80000000000001</c:v>
                </c:pt>
                <c:pt idx="1">
                  <c:v>67</c:v>
                </c:pt>
                <c:pt idx="2">
                  <c:v>33.28</c:v>
                </c:pt>
                <c:pt idx="3">
                  <c:v>42.57000000000001</c:v>
                </c:pt>
                <c:pt idx="4">
                  <c:v>49.92</c:v>
                </c:pt>
                <c:pt idx="5">
                  <c:v>37.96000000000001</c:v>
                </c:pt>
                <c:pt idx="6">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