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5f3929705e863f242fa337f9d03ca9166323fc7"/>
    <w:p>
      <w:pPr>
        <w:pStyle w:val="Heading1"/>
      </w:pPr>
      <w:r>
        <w:t xml:space="preserve">Credo Technology Group (CRDO): análisis growth, 15-oct-2026</w:t>
      </w:r>
    </w:p>
    <w:p>
      <w:pPr>
        <w:pStyle w:val="FirstParagraph"/>
      </w:pPr>
      <w:r>
        <w:rPr>
          <w:bCs/>
          <w:b/>
        </w:rPr>
        <w:t xml:space="preserve">Señal (método v11, vigente): Vender (no comprar)</w:t>
      </w:r>
      <w:r>
        <w:t xml:space="preserve"> </w:t>
      </w:r>
      <w:r>
        <w:t xml:space="preserve">· Puntuación 66,8/100 · Señales de cambio de tendencia 3/8 · EV/beneficio bruto 18,0x</w:t>
      </w:r>
      <w:r>
        <w:t xml:space="preserve"> </w:t>
      </w:r>
      <w:r>
        <w:t xml:space="preserve">Precio 179,23 USD (cierre del 14-oct) · Objetivo 12 m 154,2 USD (ponderada −14,0 %, base −11,7 %, bajista −63,1 %, alcista +30,7 %) · Compra hasta 132,4 USD</w:t>
      </w:r>
      <w:r>
        <w:t xml:space="preserve"> </w:t>
      </w:r>
      <w:r>
        <w:t xml:space="preserve">Peso orientativo: no entra · Por qué: la ponderada no llega al −10 %; el precio ya paga más de lo que el método espera que valga dentro de un año</w:t>
      </w:r>
      <w:r>
        <w:t xml:space="preserve"> </w:t>
      </w:r>
      <w:r>
        <w:t xml:space="preserve">Método anterior (v9, como referencia): Vender, ponderada −14,0 %, base −11,7 %, bajista −63,1 %, compra hasta 146,9 USD</w:t>
      </w:r>
      <w:r>
        <w:t xml:space="preserve"> </w:t>
      </w:r>
      <w:r>
        <w:t xml:space="preserve">Al precio actual (174,50 USD, negociación fuera de hora del 14-oct, 23:57 UTC; el mercado aún no ha abierto el 15-oct), con el objetivo del informe fijo: ponderada −11,6 %. Sigue en Vender.</w:t>
      </w:r>
    </w:p>
    <w:p>
      <w:pPr>
        <w:pStyle w:val="BlockText"/>
      </w:pPr>
      <w:r>
        <w:rPr>
          <w:bCs/>
          <w:b/>
        </w:rPr>
        <w:t xml:space="preserve">Calculado con el método v11</w:t>
      </w:r>
      <w:r>
        <w:t xml:space="preserve"> </w:t>
      </w:r>
      <w:r>
        <w:t xml:space="preserve">(</w:t>
      </w:r>
      <w:r>
        <w:rPr>
          <w:rStyle w:val="VerbatimChar"/>
        </w:rPr>
        <w:t xml:space="preserve">verticales/growth/metodo.md</w:t>
      </w:r>
      <w:r>
        <w:t xml:space="preserve">) y EV/ventas de los 12 meses siguientes. Credo gana dinero, pero solo desde hace seis trimestres, así que no tiene una historia de EV/EBITDA con la que comparar (apartado 9). Las ventas de cada escenario son las menores entre la regla mecánica y las del informe. En el base manda la mecánica: 3.844 M USD en los 12 meses a julio de 2028 (el informe decía 4.000 M y el consenso del ejercicio a abril de 2028 es de 3.873 M). El múltiplo de hoy (12,1 veces las ventas) baja un 30 % por la desaceleración: 8,5 en el base, 5,1 en el bajista y 11,0 en el alcista.</w:t>
      </w:r>
    </w:p>
    <w:bookmarkStart w:id="20" w:name="resumen-en-lenguaje-llano"/>
    <w:p>
      <w:pPr>
        <w:pStyle w:val="Heading2"/>
      </w:pPr>
      <w:r>
        <w:t xml:space="preserve">Resumen en lenguaje llano</w:t>
      </w:r>
    </w:p>
    <w:p>
      <w:pPr>
        <w:pStyle w:val="FirstParagraph"/>
      </w:pPr>
      <w:r>
        <w:t xml:space="preserve">Credo diseña los chips y fabrica (por encargo) los cables que conectan entre sí los servidores de los centros de datos de IA. Su producto estrella es el cable eléctrico activo (AEC): un cable de cobre con un chip en cada punta que llega más lejos que un cable normal y gasta menos y falla menos que uno óptico. Ahora entra también en la óptica. Crece de forma espectacular: un 115 % en el último trimestre, con un margen bruto del 67 % y un 28 % de caja libre sobre las ventas. El negocio es excelente. El problema es el precio: el mercado ya paga 12 veces las ventas de los próximos 12 meses, y el crecimiento tiene que frenar desde el 82 % hasta algo como el 32 % en dos años. Con esa desaceleración, el método rebaja el múltiplo y el escenario central da una pérdida del 12 %. Además, cuatro clientes son el 84 % de las ventas y los directivos venden acciones todas las semanas. Conclusión:</w:t>
      </w:r>
      <w:r>
        <w:t xml:space="preserve"> </w:t>
      </w:r>
      <w:r>
        <w:rPr>
          <w:bCs/>
          <w:b/>
        </w:rPr>
        <w:t xml:space="preserve">no comprar</w:t>
      </w:r>
      <w:r>
        <w:t xml:space="preserve">. Sería Comprar por debajo de 132 USD con los mismos datos, o si las ventas del ejercicio a abril de 2028 se acercaran a 4.600 M sin que el precio subiera.</w:t>
      </w:r>
    </w:p>
    <w:bookmarkEnd w:id="20"/>
    <w:bookmarkStart w:id="21" w:name="la-tesis-en-cinco-líneas"/>
    <w:p>
      <w:pPr>
        <w:pStyle w:val="Heading2"/>
      </w:pPr>
      <w:r>
        <w:t xml:space="preserve">1. La tesis en cinco líneas</w:t>
      </w:r>
    </w:p>
    <w:p>
      <w:pPr>
        <w:numPr>
          <w:ilvl w:val="0"/>
          <w:numId w:val="1001"/>
        </w:numPr>
        <w:pStyle w:val="Compact"/>
      </w:pPr>
      <w:r>
        <w:t xml:space="preserve">Credo es el líder de los cables eléctricos activos (AEC) para centros de datos de IA, un mercado que prácticamente creó. Vende también chips de conexión (retemporizadores, DSP ópticos) y, desde 2026, transceptores ópticos y chips de fotónica de silicio tras comprar DustPhotonics.</w:t>
      </w:r>
    </w:p>
    <w:p>
      <w:pPr>
        <w:numPr>
          <w:ilvl w:val="0"/>
          <w:numId w:val="1001"/>
        </w:numPr>
        <w:pStyle w:val="Compact"/>
      </w:pPr>
      <w:r>
        <w:t xml:space="preserve">Las ventas se han multiplicado por siete en dos años: 1.591 M USD en los últimos 12 meses, +165 %. La empresa guía «más del 85 %» para el ejercicio a abril de 2027 (antes decía «más del 80 %») y más de 600 M de ventas ópticas.</w:t>
      </w:r>
    </w:p>
    <w:p>
      <w:pPr>
        <w:numPr>
          <w:ilvl w:val="0"/>
          <w:numId w:val="1001"/>
        </w:numPr>
        <w:pStyle w:val="Compact"/>
      </w:pPr>
      <w:r>
        <w:t xml:space="preserve">Gana mucho dinero: margen bruto del 67 %, margen operativo ajustado del 48 % y caja libre de 438 M en 12 meses. No tiene deuda.</w:t>
      </w:r>
    </w:p>
    <w:p>
      <w:pPr>
        <w:numPr>
          <w:ilvl w:val="0"/>
          <w:numId w:val="1001"/>
        </w:numPr>
        <w:pStyle w:val="Compact"/>
      </w:pPr>
      <w:r>
        <w:t xml:space="preserve">Pero el precio ya descuenta mucho: 35.090 M de valor de empresa, 12,1 veces las ventas de los próximos 12 meses, por encima de su mediana de tres años (9,6) y de sus comparables (10). El precio pide un 25 % anual durante 10 años.</w:t>
      </w:r>
    </w:p>
    <w:p>
      <w:pPr>
        <w:numPr>
          <w:ilvl w:val="0"/>
          <w:numId w:val="1001"/>
        </w:numPr>
        <w:pStyle w:val="Compact"/>
      </w:pPr>
      <w:r>
        <w:t xml:space="preserve">Depende de cuatro clientes (84 % de las ventas) y del gasto en IA de los hiperescaladores. La acción es muy volátil: de 88 a 303 USD y vuelta a 179 en seis meses. Vender (o no comprar): a este precio el método espera una pérdida.</w:t>
      </w:r>
    </w:p>
    <w:bookmarkEnd w:id="21"/>
    <w:bookmarkStart w:id="22" w:name="negocio-y-tecnología"/>
    <w:p>
      <w:pPr>
        <w:pStyle w:val="Heading2"/>
      </w:pPr>
      <w:r>
        <w:t xml:space="preserve">2. Negocio y tecnología</w:t>
      </w:r>
    </w:p>
    <w:p>
      <w:pPr>
        <w:pStyle w:val="FirstParagraph"/>
      </w:pPr>
      <w:r>
        <w:t xml:space="preserve">Credo tiene su sede legal en las Islas Caimán y su dirección en San José (California). No tiene fábricas: diseña los chips, los fabrica TSMC y los cables se montan por encargo. El ejercicio fiscal acaba a principios de mayo (FY26 = mayo de 2025 a abril de 2026). Es un solo segmento y no publica ventas por producto [2].</w:t>
      </w:r>
    </w:p>
    <w:p>
      <w:pPr>
        <w:pStyle w:val="BodyText"/>
      </w:pPr>
      <w:r>
        <w:rPr>
          <w:bCs/>
          <w:b/>
        </w:rPr>
        <w:t xml:space="preserve">Qué vende</w:t>
      </w:r>
      <w:r>
        <w:t xml:space="preserve"> </w:t>
      </w:r>
      <w:r>
        <w:t xml:space="preserve">[2][3]:</w:t>
      </w:r>
      <w:r>
        <w:t xml:space="preserve"> </w:t>
      </w:r>
      <w:r>
        <w:t xml:space="preserve">1.</w:t>
      </w:r>
      <w:r>
        <w:t xml:space="preserve"> </w:t>
      </w:r>
      <w:r>
        <w:rPr>
          <w:bCs/>
          <w:b/>
        </w:rPr>
        <w:t xml:space="preserve">Cables eléctricos activos (AEC, marca ZeroFlap)</w:t>
      </w:r>
      <w:r>
        <w:t xml:space="preserve">: la mayor parte de las ventas. Conectan servidores y conmutadores dentro de un rack o entre racks cercanos, a 400G y 800G, y pronto a 1,6T.</w:t>
      </w:r>
      <w:r>
        <w:t xml:space="preserve"> </w:t>
      </w:r>
      <w:r>
        <w:t xml:space="preserve">2.</w:t>
      </w:r>
      <w:r>
        <w:t xml:space="preserve"> </w:t>
      </w:r>
      <w:r>
        <w:rPr>
          <w:bCs/>
          <w:b/>
        </w:rPr>
        <w:t xml:space="preserve">Óptica</w:t>
      </w:r>
      <w:r>
        <w:t xml:space="preserve">: transceptores ZeroFlap, DSP ópticos y, desde la compra de DustPhotonics (mayo de 2026), chips de fotónica de silicio (PIC). Guía más de 600 M en el FY27, más de 100 M en cada una de las tres líneas.</w:t>
      </w:r>
      <w:r>
        <w:t xml:space="preserve"> </w:t>
      </w:r>
      <w:r>
        <w:t xml:space="preserve">3.</w:t>
      </w:r>
      <w:r>
        <w:t xml:space="preserve"> </w:t>
      </w:r>
      <w:r>
        <w:rPr>
          <w:bCs/>
          <w:b/>
        </w:rPr>
        <w:t xml:space="preserve">Retemporizadores</w:t>
      </w:r>
      <w:r>
        <w:t xml:space="preserve"> </w:t>
      </w:r>
      <w:r>
        <w:t xml:space="preserve">de Ethernet y PCIe y chips de conexión entre chips.</w:t>
      </w:r>
      <w:r>
        <w:t xml:space="preserve"> </w:t>
      </w:r>
      <w:r>
        <w:t xml:space="preserve">4.</w:t>
      </w:r>
      <w:r>
        <w:t xml:space="preserve"> </w:t>
      </w:r>
      <w:r>
        <w:rPr>
          <w:bCs/>
          <w:b/>
        </w:rPr>
        <w:t xml:space="preserve">Lo nuevo</w:t>
      </w:r>
      <w:r>
        <w:t xml:space="preserve">: cables activos de LED (ALC), que prometen el alcance de la óptica con el consumo del cobre, y OmniConnect para memoria de IA. Las dos, con ventas en el FY28. El programa PILOT de diagnóstico ayuda a vender.</w:t>
      </w:r>
    </w:p>
    <w:p>
      <w:pPr>
        <w:pStyle w:val="BodyText"/>
      </w:pPr>
      <w:r>
        <w:rPr>
          <w:bCs/>
          <w:b/>
        </w:rPr>
        <w:t xml:space="preserve">Tecnología: 4/5.</w:t>
      </w:r>
      <w:r>
        <w:t xml:space="preserve"> </w:t>
      </w:r>
      <w:r>
        <w:t xml:space="preserve">Su ventaja es el SerDes (el circuito que envía datos a gran velocidad) de bajo consumo, diseñado en procesos de fabricación más baratos que los de la competencia. Con él ha llegado antes que nadie al AEC. Pero Marvell, Broadcom y Astera Labs tienen tecnología comparable y ya ofrecen chips para AEC.</w:t>
      </w:r>
      <w:r>
        <w:t xml:space="preserve"> </w:t>
      </w:r>
      <w:r>
        <w:rPr>
          <w:bCs/>
          <w:b/>
        </w:rPr>
        <w:t xml:space="preserve">Posición: 4/5.</w:t>
      </w:r>
      <w:r>
        <w:t xml:space="preserve"> </w:t>
      </w:r>
      <w:r>
        <w:t xml:space="preserve">Líder claro en AEC con cuota creciente; en óptica es un recién llegado.</w:t>
      </w:r>
    </w:p>
    <w:bookmarkEnd w:id="22"/>
    <w:bookmarkStart w:id="23" w:name="crecimiento"/>
    <w:p>
      <w:pPr>
        <w:pStyle w:val="Heading2"/>
      </w:pPr>
      <w:r>
        <w:t xml:space="preserve">3. Crecimiento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 fiscal</w:t>
            </w:r>
          </w:p>
        </w:tc>
        <w:tc>
          <w:tcPr/>
          <w:p>
            <w:pPr>
              <w:pStyle w:val="Compact"/>
              <w:jc w:val="left"/>
            </w:pPr>
            <w:r>
              <w:t xml:space="preserve">Fin</w:t>
            </w:r>
          </w:p>
        </w:tc>
        <w:tc>
          <w:tcPr/>
          <w:p>
            <w:pPr>
              <w:pStyle w:val="Compact"/>
              <w:jc w:val="left"/>
            </w:pPr>
            <w:r>
              <w:t xml:space="preserve">Ventas (M USD)</w:t>
            </w:r>
          </w:p>
        </w:tc>
        <w:tc>
          <w:tcPr/>
          <w:p>
            <w:pPr>
              <w:pStyle w:val="Compact"/>
              <w:jc w:val="left"/>
            </w:pPr>
            <w:r>
              <w:t xml:space="preserve">Crecimiento interanual</w:t>
            </w:r>
          </w:p>
        </w:tc>
        <w:tc>
          <w:tcPr/>
          <w:p>
            <w:pPr>
              <w:pStyle w:val="Compact"/>
              <w:jc w:val="left"/>
            </w:pPr>
            <w:r>
              <w:t xml:space="preserve">Margen bruto</w:t>
            </w:r>
          </w:p>
        </w:tc>
      </w:tr>
      <w:tr>
        <w:tc>
          <w:tcPr/>
          <w:p>
            <w:pPr>
              <w:pStyle w:val="Compact"/>
              <w:jc w:val="left"/>
            </w:pPr>
            <w:r>
              <w:t xml:space="preserve">1T FY25</w:t>
            </w:r>
          </w:p>
        </w:tc>
        <w:tc>
          <w:tcPr/>
          <w:p>
            <w:pPr>
              <w:pStyle w:val="Compact"/>
              <w:jc w:val="left"/>
            </w:pPr>
            <w:r>
              <w:t xml:space="preserve">ago-2024</w:t>
            </w:r>
          </w:p>
        </w:tc>
        <w:tc>
          <w:tcPr/>
          <w:p>
            <w:pPr>
              <w:pStyle w:val="Compact"/>
              <w:jc w:val="left"/>
            </w:pPr>
            <w:r>
              <w:t xml:space="preserve">59,7</w:t>
            </w:r>
          </w:p>
        </w:tc>
        <w:tc>
          <w:tcPr/>
          <w:p>
            <w:pPr>
              <w:pStyle w:val="Compact"/>
              <w:jc w:val="left"/>
            </w:pPr>
            <w:r>
              <w:t xml:space="preserve">+70,1 %</w:t>
            </w:r>
          </w:p>
        </w:tc>
        <w:tc>
          <w:tcPr/>
          <w:p>
            <w:pPr>
              <w:pStyle w:val="Compact"/>
              <w:jc w:val="left"/>
            </w:pPr>
            <w:r>
              <w:t xml:space="preserve">62,4 %</w:t>
            </w:r>
          </w:p>
        </w:tc>
      </w:tr>
      <w:tr>
        <w:tc>
          <w:tcPr/>
          <w:p>
            <w:pPr>
              <w:pStyle w:val="Compact"/>
              <w:jc w:val="left"/>
            </w:pPr>
            <w:r>
              <w:t xml:space="preserve">2T FY25</w:t>
            </w:r>
          </w:p>
        </w:tc>
        <w:tc>
          <w:tcPr/>
          <w:p>
            <w:pPr>
              <w:pStyle w:val="Compact"/>
              <w:jc w:val="left"/>
            </w:pPr>
            <w:r>
              <w:t xml:space="preserve">nov-2024</w:t>
            </w:r>
          </w:p>
        </w:tc>
        <w:tc>
          <w:tcPr/>
          <w:p>
            <w:pPr>
              <w:pStyle w:val="Compact"/>
              <w:jc w:val="left"/>
            </w:pPr>
            <w:r>
              <w:t xml:space="preserve">72,0</w:t>
            </w:r>
          </w:p>
        </w:tc>
        <w:tc>
          <w:tcPr/>
          <w:p>
            <w:pPr>
              <w:pStyle w:val="Compact"/>
              <w:jc w:val="left"/>
            </w:pPr>
            <w:r>
              <w:t xml:space="preserve">+63,6 %</w:t>
            </w:r>
          </w:p>
        </w:tc>
        <w:tc>
          <w:tcPr/>
          <w:p>
            <w:pPr>
              <w:pStyle w:val="Compact"/>
              <w:jc w:val="left"/>
            </w:pPr>
            <w:r>
              <w:t xml:space="preserve">63,2 %</w:t>
            </w:r>
          </w:p>
        </w:tc>
      </w:tr>
      <w:tr>
        <w:tc>
          <w:tcPr/>
          <w:p>
            <w:pPr>
              <w:pStyle w:val="Compact"/>
              <w:jc w:val="left"/>
            </w:pPr>
            <w:r>
              <w:t xml:space="preserve">3T FY25</w:t>
            </w:r>
          </w:p>
        </w:tc>
        <w:tc>
          <w:tcPr/>
          <w:p>
            <w:pPr>
              <w:pStyle w:val="Compact"/>
              <w:jc w:val="left"/>
            </w:pPr>
            <w:r>
              <w:t xml:space="preserve">feb-2025</w:t>
            </w:r>
          </w:p>
        </w:tc>
        <w:tc>
          <w:tcPr/>
          <w:p>
            <w:pPr>
              <w:pStyle w:val="Compact"/>
              <w:jc w:val="left"/>
            </w:pPr>
            <w:r>
              <w:t xml:space="preserve">135,0</w:t>
            </w:r>
          </w:p>
        </w:tc>
        <w:tc>
          <w:tcPr/>
          <w:p>
            <w:pPr>
              <w:pStyle w:val="Compact"/>
              <w:jc w:val="left"/>
            </w:pPr>
            <w:r>
              <w:t xml:space="preserve">+154,4 %</w:t>
            </w:r>
          </w:p>
        </w:tc>
        <w:tc>
          <w:tcPr/>
          <w:p>
            <w:pPr>
              <w:pStyle w:val="Compact"/>
              <w:jc w:val="left"/>
            </w:pPr>
            <w:r>
              <w:t xml:space="preserve">63,6 %</w:t>
            </w:r>
          </w:p>
        </w:tc>
      </w:tr>
      <w:tr>
        <w:tc>
          <w:tcPr/>
          <w:p>
            <w:pPr>
              <w:pStyle w:val="Compact"/>
              <w:jc w:val="left"/>
            </w:pPr>
            <w:r>
              <w:t xml:space="preserve">4T FY25</w:t>
            </w:r>
          </w:p>
        </w:tc>
        <w:tc>
          <w:tcPr/>
          <w:p>
            <w:pPr>
              <w:pStyle w:val="Compact"/>
              <w:jc w:val="left"/>
            </w:pPr>
            <w:r>
              <w:t xml:space="preserve">may-2025</w:t>
            </w:r>
          </w:p>
        </w:tc>
        <w:tc>
          <w:tcPr/>
          <w:p>
            <w:pPr>
              <w:pStyle w:val="Compact"/>
              <w:jc w:val="left"/>
            </w:pPr>
            <w:r>
              <w:t xml:space="preserve">170,0</w:t>
            </w:r>
          </w:p>
        </w:tc>
        <w:tc>
          <w:tcPr/>
          <w:p>
            <w:pPr>
              <w:pStyle w:val="Compact"/>
              <w:jc w:val="left"/>
            </w:pPr>
            <w:r>
              <w:t xml:space="preserve">+179,7 %</w:t>
            </w:r>
          </w:p>
        </w:tc>
        <w:tc>
          <w:tcPr/>
          <w:p>
            <w:pPr>
              <w:pStyle w:val="Compact"/>
              <w:jc w:val="left"/>
            </w:pPr>
            <w:r>
              <w:t xml:space="preserve">67,2 %</w:t>
            </w:r>
          </w:p>
        </w:tc>
      </w:tr>
      <w:tr>
        <w:tc>
          <w:tcPr/>
          <w:p>
            <w:pPr>
              <w:pStyle w:val="Compact"/>
              <w:jc w:val="left"/>
            </w:pPr>
            <w:r>
              <w:t xml:space="preserve">1T FY26</w:t>
            </w:r>
          </w:p>
        </w:tc>
        <w:tc>
          <w:tcPr/>
          <w:p>
            <w:pPr>
              <w:pStyle w:val="Compact"/>
              <w:jc w:val="left"/>
            </w:pPr>
            <w:r>
              <w:t xml:space="preserve">ago-2025</w:t>
            </w:r>
          </w:p>
        </w:tc>
        <w:tc>
          <w:tcPr/>
          <w:p>
            <w:pPr>
              <w:pStyle w:val="Compact"/>
              <w:jc w:val="left"/>
            </w:pPr>
            <w:r>
              <w:t xml:space="preserve">223,1</w:t>
            </w:r>
          </w:p>
        </w:tc>
        <w:tc>
          <w:tcPr/>
          <w:p>
            <w:pPr>
              <w:pStyle w:val="Compact"/>
              <w:jc w:val="left"/>
            </w:pPr>
            <w:r>
              <w:t xml:space="preserve">+273,6 %</w:t>
            </w:r>
          </w:p>
        </w:tc>
        <w:tc>
          <w:tcPr/>
          <w:p>
            <w:pPr>
              <w:pStyle w:val="Compact"/>
              <w:jc w:val="left"/>
            </w:pPr>
            <w:r>
              <w:t xml:space="preserve">67,4 %</w:t>
            </w:r>
          </w:p>
        </w:tc>
      </w:tr>
      <w:tr>
        <w:tc>
          <w:tcPr/>
          <w:p>
            <w:pPr>
              <w:pStyle w:val="Compact"/>
              <w:jc w:val="left"/>
            </w:pPr>
            <w:r>
              <w:t xml:space="preserve">2T FY26</w:t>
            </w:r>
          </w:p>
        </w:tc>
        <w:tc>
          <w:tcPr/>
          <w:p>
            <w:pPr>
              <w:pStyle w:val="Compact"/>
              <w:jc w:val="left"/>
            </w:pPr>
            <w:r>
              <w:t xml:space="preserve">nov-2025</w:t>
            </w:r>
          </w:p>
        </w:tc>
        <w:tc>
          <w:tcPr/>
          <w:p>
            <w:pPr>
              <w:pStyle w:val="Compact"/>
              <w:jc w:val="left"/>
            </w:pPr>
            <w:r>
              <w:t xml:space="preserve">268,0</w:t>
            </w:r>
          </w:p>
        </w:tc>
        <w:tc>
          <w:tcPr/>
          <w:p>
            <w:pPr>
              <w:pStyle w:val="Compact"/>
              <w:jc w:val="left"/>
            </w:pPr>
            <w:r>
              <w:t xml:space="preserve">+272,1 %</w:t>
            </w:r>
          </w:p>
        </w:tc>
        <w:tc>
          <w:tcPr/>
          <w:p>
            <w:pPr>
              <w:pStyle w:val="Compact"/>
              <w:jc w:val="left"/>
            </w:pPr>
            <w:r>
              <w:t xml:space="preserve">67,5 %</w:t>
            </w:r>
          </w:p>
        </w:tc>
      </w:tr>
      <w:tr>
        <w:tc>
          <w:tcPr/>
          <w:p>
            <w:pPr>
              <w:pStyle w:val="Compact"/>
              <w:jc w:val="left"/>
            </w:pPr>
            <w:r>
              <w:t xml:space="preserve">3T FY26</w:t>
            </w:r>
          </w:p>
        </w:tc>
        <w:tc>
          <w:tcPr/>
          <w:p>
            <w:pPr>
              <w:pStyle w:val="Compact"/>
              <w:jc w:val="left"/>
            </w:pPr>
            <w:r>
              <w:t xml:space="preserve">ene-2026</w:t>
            </w:r>
          </w:p>
        </w:tc>
        <w:tc>
          <w:tcPr/>
          <w:p>
            <w:pPr>
              <w:pStyle w:val="Compact"/>
              <w:jc w:val="left"/>
            </w:pPr>
            <w:r>
              <w:t xml:space="preserve">407,0</w:t>
            </w:r>
          </w:p>
        </w:tc>
        <w:tc>
          <w:tcPr/>
          <w:p>
            <w:pPr>
              <w:pStyle w:val="Compact"/>
              <w:jc w:val="left"/>
            </w:pPr>
            <w:r>
              <w:t xml:space="preserve">+201,5 %</w:t>
            </w:r>
          </w:p>
        </w:tc>
        <w:tc>
          <w:tcPr/>
          <w:p>
            <w:pPr>
              <w:pStyle w:val="Compact"/>
              <w:jc w:val="left"/>
            </w:pPr>
            <w:r>
              <w:t xml:space="preserve">68,5 %</w:t>
            </w:r>
          </w:p>
        </w:tc>
      </w:tr>
      <w:tr>
        <w:tc>
          <w:tcPr/>
          <w:p>
            <w:pPr>
              <w:pStyle w:val="Compact"/>
              <w:jc w:val="left"/>
            </w:pPr>
            <w:r>
              <w:t xml:space="preserve">4T FY26</w:t>
            </w:r>
          </w:p>
        </w:tc>
        <w:tc>
          <w:tcPr/>
          <w:p>
            <w:pPr>
              <w:pStyle w:val="Compact"/>
              <w:jc w:val="left"/>
            </w:pPr>
            <w:r>
              <w:t xml:space="preserve">may-2026</w:t>
            </w:r>
          </w:p>
        </w:tc>
        <w:tc>
          <w:tcPr/>
          <w:p>
            <w:pPr>
              <w:pStyle w:val="Compact"/>
              <w:jc w:val="left"/>
            </w:pPr>
            <w:r>
              <w:t xml:space="preserve">437,0</w:t>
            </w:r>
          </w:p>
        </w:tc>
        <w:tc>
          <w:tcPr/>
          <w:p>
            <w:pPr>
              <w:pStyle w:val="Compact"/>
              <w:jc w:val="left"/>
            </w:pPr>
            <w:r>
              <w:t xml:space="preserve">+157,0 %</w:t>
            </w:r>
          </w:p>
        </w:tc>
        <w:tc>
          <w:tcPr/>
          <w:p>
            <w:pPr>
              <w:pStyle w:val="Compact"/>
              <w:jc w:val="left"/>
            </w:pPr>
            <w:r>
              <w:t xml:space="preserve">68,2 %</w:t>
            </w:r>
          </w:p>
        </w:tc>
      </w:tr>
      <w:tr>
        <w:tc>
          <w:tcPr/>
          <w:p>
            <w:pPr>
              <w:pStyle w:val="Compact"/>
              <w:jc w:val="left"/>
            </w:pPr>
            <w:r>
              <w:t xml:space="preserve">1T FY27</w:t>
            </w:r>
          </w:p>
        </w:tc>
        <w:tc>
          <w:tcPr/>
          <w:p>
            <w:pPr>
              <w:pStyle w:val="Compact"/>
              <w:jc w:val="left"/>
            </w:pPr>
            <w:r>
              <w:t xml:space="preserve">ago-2026</w:t>
            </w:r>
          </w:p>
        </w:tc>
        <w:tc>
          <w:tcPr/>
          <w:p>
            <w:pPr>
              <w:pStyle w:val="Compact"/>
              <w:jc w:val="left"/>
            </w:pPr>
            <w:r>
              <w:t xml:space="preserve">479,0</w:t>
            </w:r>
          </w:p>
        </w:tc>
        <w:tc>
          <w:tcPr/>
          <w:p>
            <w:pPr>
              <w:pStyle w:val="Compact"/>
              <w:jc w:val="left"/>
            </w:pPr>
            <w:r>
              <w:t xml:space="preserve">+114,7 %</w:t>
            </w:r>
          </w:p>
        </w:tc>
        <w:tc>
          <w:tcPr/>
          <w:p>
            <w:pPr>
              <w:pStyle w:val="Compact"/>
              <w:jc w:val="left"/>
            </w:pPr>
            <w:r>
              <w:t xml:space="preserve">64,5 %</w:t>
            </w:r>
          </w:p>
        </w:tc>
      </w:tr>
      <w:tr>
        <w:tc>
          <w:tcPr/>
          <w:p>
            <w:pPr>
              <w:pStyle w:val="Compact"/>
              <w:jc w:val="left"/>
            </w:pPr>
            <w:r>
              <w:t xml:space="preserve">Guía 2T FY27</w:t>
            </w:r>
          </w:p>
        </w:tc>
        <w:tc>
          <w:tcPr/>
          <w:p>
            <w:pPr>
              <w:pStyle w:val="Compact"/>
              <w:jc w:val="left"/>
            </w:pPr>
            <w:r>
              <w:t xml:space="preserve">oct-2026</w:t>
            </w:r>
          </w:p>
        </w:tc>
        <w:tc>
          <w:tcPr/>
          <w:p>
            <w:pPr>
              <w:pStyle w:val="Compact"/>
              <w:jc w:val="left"/>
            </w:pPr>
            <w:r>
              <w:t xml:space="preserve">525-535</w:t>
            </w:r>
          </w:p>
        </w:tc>
        <w:tc>
          <w:tcPr/>
          <w:p>
            <w:pPr>
              <w:pStyle w:val="Compact"/>
              <w:jc w:val="left"/>
            </w:pPr>
            <w:r>
              <w:t xml:space="preserve">+98 % en el punto medio</w:t>
            </w:r>
          </w:p>
        </w:tc>
        <w:tc>
          <w:tcPr/>
          <w:p>
            <w:pPr>
              <w:pStyle w:val="Compact"/>
              <w:jc w:val="left"/>
            </w:pPr>
            <w:r>
              <w:t xml:space="preserve">67-69 % ajustado</w:t>
            </w:r>
          </w:p>
        </w:tc>
      </w:tr>
    </w:tbl>
    <w:p>
      <w:pPr>
        <w:pStyle w:val="BodyText"/>
      </w:pPr>
      <w:r>
        <w:t xml:space="preserve">Fuentes: [1][2]. Margen bruto contable; en el 1T FY27 baja por la amortización de lo comprado (el ajustado es del 68,0 %).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 fiscal (a abril o mayo)</w:t>
            </w:r>
          </w:p>
        </w:tc>
        <w:tc>
          <w:tcPr/>
          <w:p>
            <w:pPr>
              <w:pStyle w:val="Compact"/>
              <w:jc w:val="left"/>
            </w:pPr>
            <w:r>
              <w:t xml:space="preserve">Ventas (M USD)</w:t>
            </w:r>
          </w:p>
        </w:tc>
        <w:tc>
          <w:tcPr/>
          <w:p>
            <w:pPr>
              <w:pStyle w:val="Compact"/>
              <w:jc w:val="left"/>
            </w:pPr>
            <w:r>
              <w:t xml:space="preserve">Crecimiento</w:t>
            </w:r>
          </w:p>
        </w:tc>
      </w:tr>
      <w:tr>
        <w:tc>
          <w:tcPr/>
          <w:p>
            <w:pPr>
              <w:pStyle w:val="Compact"/>
              <w:jc w:val="left"/>
            </w:pPr>
            <w:r>
              <w:t xml:space="preserve">FY24</w:t>
            </w:r>
          </w:p>
        </w:tc>
        <w:tc>
          <w:tcPr/>
          <w:p>
            <w:pPr>
              <w:pStyle w:val="Compact"/>
              <w:jc w:val="left"/>
            </w:pPr>
            <w:r>
              <w:t xml:space="preserve">193,0</w:t>
            </w:r>
          </w:p>
        </w:tc>
        <w:tc>
          <w:tcPr/>
          <w:p>
            <w:pPr>
              <w:pStyle w:val="Compact"/>
              <w:jc w:val="left"/>
            </w:pPr>
            <w:r>
              <w:t xml:space="preserve">—</w:t>
            </w:r>
          </w:p>
        </w:tc>
      </w:tr>
      <w:tr>
        <w:tc>
          <w:tcPr/>
          <w:p>
            <w:pPr>
              <w:pStyle w:val="Compact"/>
              <w:jc w:val="left"/>
            </w:pPr>
            <w:r>
              <w:t xml:space="preserve">FY25</w:t>
            </w:r>
          </w:p>
        </w:tc>
        <w:tc>
          <w:tcPr/>
          <w:p>
            <w:pPr>
              <w:pStyle w:val="Compact"/>
              <w:jc w:val="left"/>
            </w:pPr>
            <w:r>
              <w:t xml:space="preserve">436,8</w:t>
            </w:r>
          </w:p>
        </w:tc>
        <w:tc>
          <w:tcPr/>
          <w:p>
            <w:pPr>
              <w:pStyle w:val="Compact"/>
              <w:jc w:val="left"/>
            </w:pPr>
            <w:r>
              <w:t xml:space="preserve">+126 %</w:t>
            </w:r>
          </w:p>
        </w:tc>
      </w:tr>
      <w:tr>
        <w:tc>
          <w:tcPr/>
          <w:p>
            <w:pPr>
              <w:pStyle w:val="Compact"/>
              <w:jc w:val="left"/>
            </w:pPr>
            <w:r>
              <w:t xml:space="preserve">FY26</w:t>
            </w:r>
          </w:p>
        </w:tc>
        <w:tc>
          <w:tcPr/>
          <w:p>
            <w:pPr>
              <w:pStyle w:val="Compact"/>
              <w:jc w:val="left"/>
            </w:pPr>
            <w:r>
              <w:t xml:space="preserve">1.335,1</w:t>
            </w:r>
          </w:p>
        </w:tc>
        <w:tc>
          <w:tcPr/>
          <w:p>
            <w:pPr>
              <w:pStyle w:val="Compact"/>
              <w:jc w:val="left"/>
            </w:pPr>
            <w:r>
              <w:t xml:space="preserve">+206 %</w:t>
            </w:r>
          </w:p>
        </w:tc>
      </w:tr>
      <w:tr>
        <w:tc>
          <w:tcPr/>
          <w:p>
            <w:pPr>
              <w:pStyle w:val="Compact"/>
              <w:jc w:val="left"/>
            </w:pPr>
            <w:r>
              <w:t xml:space="preserve">FY27 (guía: más del 85 %; consenso)</w:t>
            </w:r>
          </w:p>
        </w:tc>
        <w:tc>
          <w:tcPr/>
          <w:p>
            <w:pPr>
              <w:pStyle w:val="Compact"/>
              <w:jc w:val="left"/>
            </w:pPr>
            <w:r>
              <w:t xml:space="preserve">2.502</w:t>
            </w:r>
          </w:p>
        </w:tc>
        <w:tc>
          <w:tcPr/>
          <w:p>
            <w:pPr>
              <w:pStyle w:val="Compact"/>
              <w:jc w:val="left"/>
            </w:pPr>
            <w:r>
              <w:t xml:space="preserve">+87 %</w:t>
            </w:r>
          </w:p>
        </w:tc>
      </w:tr>
      <w:tr>
        <w:tc>
          <w:tcPr/>
          <w:p>
            <w:pPr>
              <w:pStyle w:val="Compact"/>
              <w:jc w:val="left"/>
            </w:pPr>
            <w:r>
              <w:t xml:space="preserve">FY28 (consenso)</w:t>
            </w:r>
          </w:p>
        </w:tc>
        <w:tc>
          <w:tcPr/>
          <w:p>
            <w:pPr>
              <w:pStyle w:val="Compact"/>
              <w:jc w:val="left"/>
            </w:pPr>
            <w:r>
              <w:t xml:space="preserve">3.873</w:t>
            </w:r>
          </w:p>
        </w:tc>
        <w:tc>
          <w:tcPr/>
          <w:p>
            <w:pPr>
              <w:pStyle w:val="Compact"/>
              <w:jc w:val="left"/>
            </w:pPr>
            <w:r>
              <w:t xml:space="preserve">+55 %</w:t>
            </w:r>
          </w:p>
        </w:tc>
      </w:tr>
    </w:tbl>
    <w:p>
      <w:pPr>
        <w:numPr>
          <w:ilvl w:val="0"/>
          <w:numId w:val="1002"/>
        </w:numPr>
        <w:pStyle w:val="Compact"/>
      </w:pPr>
      <w:r>
        <w:rPr>
          <w:bCs/>
          <w:b/>
        </w:rPr>
        <w:t xml:space="preserve">Ventas de los últimos 12 meses</w:t>
      </w:r>
      <w:r>
        <w:t xml:space="preserve">: 1.591,0 M USD,</w:t>
      </w:r>
      <w:r>
        <w:t xml:space="preserve"> </w:t>
      </w:r>
      <w:r>
        <w:rPr>
          <w:bCs/>
          <w:b/>
        </w:rPr>
        <w:t xml:space="preserve">+165 %</w:t>
      </w:r>
      <w:r>
        <w:t xml:space="preserve">.</w:t>
      </w:r>
      <w:r>
        <w:t xml:space="preserve"> </w:t>
      </w:r>
      <w:r>
        <w:rPr>
          <w:bCs/>
          <w:b/>
        </w:rPr>
        <w:t xml:space="preserve">Crecimiento anual compuesto propio a 2 años</w:t>
      </w:r>
      <w:r>
        <w:t xml:space="preserve">:</w:t>
      </w:r>
      <w:r>
        <w:t xml:space="preserve"> </w:t>
      </w:r>
      <w:r>
        <w:rPr>
          <w:bCs/>
          <w:b/>
        </w:rPr>
        <w:t xml:space="preserve">170 %</w:t>
      </w:r>
      <w:r>
        <w:t xml:space="preserve">.</w:t>
      </w:r>
    </w:p>
    <w:p>
      <w:pPr>
        <w:numPr>
          <w:ilvl w:val="0"/>
          <w:numId w:val="1002"/>
        </w:numPr>
        <w:pStyle w:val="Compact"/>
      </w:pPr>
      <w:r>
        <w:rPr>
          <w:bCs/>
          <w:b/>
        </w:rPr>
        <w:t xml:space="preserve">Aceleración</w:t>
      </w:r>
      <w:r>
        <w:t xml:space="preserve">: el último trimestre creció un 114,7 %, frente a una media del 226 % en los cuatro anteriores:</w:t>
      </w:r>
      <w:r>
        <w:t xml:space="preserve"> </w:t>
      </w:r>
      <w:r>
        <w:rPr>
          <w:bCs/>
          <w:b/>
        </w:rPr>
        <w:t xml:space="preserve">−111 puntos</w:t>
      </w:r>
      <w:r>
        <w:t xml:space="preserve">. Es la desaceleración natural de una base que se ha multiplicado, pero el método la cuenta.</w:t>
      </w:r>
    </w:p>
    <w:p>
      <w:pPr>
        <w:numPr>
          <w:ilvl w:val="0"/>
          <w:numId w:val="1002"/>
        </w:numPr>
        <w:pStyle w:val="Compact"/>
      </w:pPr>
      <w:r>
        <w:rPr>
          <w:bCs/>
          <w:b/>
        </w:rPr>
        <w:t xml:space="preserve">Guía</w:t>
      </w:r>
      <w:r>
        <w:t xml:space="preserve">: anual, «más del 85 %» para el FY27 (subida en septiembre desde «más del 80 %»). Se usa el 85 %. Bate su guía trimestral por 26 puntos de media en los cuatro últimos trimestres, aunque en los dos últimos solo por 4 [1][3].</w:t>
      </w:r>
    </w:p>
    <w:p>
      <w:pPr>
        <w:numPr>
          <w:ilvl w:val="0"/>
          <w:numId w:val="1002"/>
        </w:numPr>
        <w:pStyle w:val="Compact"/>
      </w:pPr>
      <w:r>
        <w:rPr>
          <w:bCs/>
          <w:b/>
        </w:rPr>
        <w:t xml:space="preserve">Compras de empresas</w:t>
      </w:r>
      <w:r>
        <w:t xml:space="preserve">: DustPhotonics (1.300 M), Comira (35 M) e Hyperlume (92 M). No movieron las ventas pasadas (el 10-Q dice que no son materiales), pero los PIC de DustPhotonics aportarán más de 100 M en el FY27. Estimo que el crecimiento orgánico de los 12 meses siguientes es del 75 %, frente al 82,5 % total. La candidata v12, que usa esa cifra, da lo mismo que v11, porque la proyección ya parte del tope del 60 % y la rebaja del múltiplo ya está en su máximo del 30 %.</w:t>
      </w:r>
    </w:p>
    <w:bookmarkEnd w:id="23"/>
    <w:bookmarkStart w:id="24" w:name="mercado-y-competencia"/>
    <w:p>
      <w:pPr>
        <w:pStyle w:val="Heading2"/>
      </w:pPr>
      <w:r>
        <w:t xml:space="preserve">4. Mercado y competencia</w:t>
      </w:r>
    </w:p>
    <w:p>
      <w:pPr>
        <w:numPr>
          <w:ilvl w:val="0"/>
          <w:numId w:val="1003"/>
        </w:numPr>
        <w:pStyle w:val="Compact"/>
      </w:pPr>
      <w:r>
        <w:rPr>
          <w:bCs/>
          <w:b/>
        </w:rPr>
        <w:t xml:space="preserve">Mercado alcanzable</w:t>
      </w:r>
      <w:r>
        <w:t xml:space="preserve">:</w:t>
      </w:r>
      <w:r>
        <w:t xml:space="preserve"> </w:t>
      </w:r>
      <w:r>
        <w:rPr>
          <w:bCs/>
          <w:b/>
        </w:rPr>
        <w:t xml:space="preserve">unos 25.000 M USD en 2028</w:t>
      </w:r>
      <w:r>
        <w:t xml:space="preserve">. Es una estimación propia y en parte de memoria [12]: cables activos, DSP ópticos, PIC de fotónica de silicio, retemporizadores y transceptores para centros de datos de IA. La empresa cita un mercado de PIC de 6.000 M en 2030 [4].</w:t>
      </w:r>
    </w:p>
    <w:p>
      <w:pPr>
        <w:numPr>
          <w:ilvl w:val="0"/>
          <w:numId w:val="1003"/>
        </w:numPr>
        <w:pStyle w:val="Compact"/>
      </w:pPr>
      <w:r>
        <w:rPr>
          <w:bCs/>
          <w:b/>
        </w:rPr>
        <w:t xml:space="preserve">Penetración</w:t>
      </w:r>
      <w:r>
        <w:t xml:space="preserve">: 1.591 / 25.000 =</w:t>
      </w:r>
      <w:r>
        <w:t xml:space="preserve"> </w:t>
      </w:r>
      <w:r>
        <w:rPr>
          <w:bCs/>
          <w:b/>
        </w:rPr>
        <w:t xml:space="preserve">6,4 %</w:t>
      </w:r>
      <w:r>
        <w:t xml:space="preserve">.</w:t>
      </w:r>
    </w:p>
    <w:p>
      <w:pPr>
        <w:numPr>
          <w:ilvl w:val="0"/>
          <w:numId w:val="1003"/>
        </w:numPr>
        <w:pStyle w:val="Compact"/>
      </w:pPr>
      <w:r>
        <w:rPr>
          <w:bCs/>
          <w:b/>
        </w:rPr>
        <w:t xml:space="preserve">Rivales</w:t>
      </w:r>
      <w:r>
        <w:t xml:space="preserve">: Marvell y Broadcom (chips para AEC y DSP ópticos), Astera Labs (módulos para cables inteligentes y retemporizadores PCIe), los fabricantes de cables (Amphenol, TE, Molex) y los fabricantes chinos. En óptica, Coherent, Lumentum, Innolight y Eoptolink.</w:t>
      </w:r>
    </w:p>
    <w:p>
      <w:pPr>
        <w:numPr>
          <w:ilvl w:val="0"/>
          <w:numId w:val="1003"/>
        </w:numPr>
        <w:pStyle w:val="Compact"/>
      </w:pPr>
      <w:r>
        <w:rPr>
          <w:bCs/>
          <w:b/>
        </w:rPr>
        <w:t xml:space="preserve">Por qué gana</w:t>
      </w:r>
      <w:r>
        <w:t xml:space="preserve">: llegó antes, su SerDes gasta menos, vende el cable entero (no solo el chip) y su fiabilidad («ZeroFlap», sin cortes de enlace) es lo que más valoran los hiperescaladores.</w:t>
      </w:r>
    </w:p>
    <w:p>
      <w:pPr>
        <w:numPr>
          <w:ilvl w:val="0"/>
          <w:numId w:val="1003"/>
        </w:numPr>
        <w:pStyle w:val="Compact"/>
      </w:pPr>
      <w:r>
        <w:rPr>
          <w:bCs/>
          <w:b/>
        </w:rPr>
        <w:t xml:space="preserve">Por qué puede perder</w:t>
      </w:r>
      <w:r>
        <w:t xml:space="preserve">: si la óptica junto al chip (CPO) o los cables de LED de otros llegan antes, el cobre pierde terreno. Además, los hiperescaladores pueden encargar a otros (Marvell, Astera) o diseñar sus propios cables para pagar menos.</w:t>
      </w:r>
    </w:p>
    <w:bookmarkEnd w:id="24"/>
    <w:bookmarkStart w:id="25"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Sí</w:t>
            </w:r>
          </w:p>
        </w:tc>
        <w:tc>
          <w:tcPr/>
          <w:p>
            <w:pPr>
              <w:pStyle w:val="Compact"/>
              <w:jc w:val="left"/>
            </w:pPr>
            <w:r>
              <w:t xml:space="preserve">El BPA del FY28 sube de 8,97 a 9,69 USD en 90 días (16 revisiones al alza y 1 a la baja en 30 días). La empresa subió la guía del FY27 al 85 %. Pero los precios objetivo bajaron tras el 2-sep (BofA de 340 a 275 USD).</w:t>
            </w:r>
          </w:p>
        </w:tc>
        <w:tc>
          <w:tcPr/>
          <w:p>
            <w:pPr>
              <w:pStyle w:val="Compact"/>
              <w:jc w:val="left"/>
            </w:pPr>
            <w:r>
              <w:t xml:space="preserve">[6]</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179,23 USD frente a una media de 179,89 USD: justo debajo. La media sube.</w:t>
            </w:r>
          </w:p>
        </w:tc>
        <w:tc>
          <w:tcPr/>
          <w:p>
            <w:pPr>
              <w:pStyle w:val="Compact"/>
              <w:jc w:val="left"/>
            </w:pPr>
            <w:r>
              <w:t xml:space="preserve">[7]</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+12,4 % frente a +16,0 % del Nasdaq-100 y +29,5 % de los semiconductores.</w:t>
            </w:r>
          </w:p>
        </w:tc>
        <w:tc>
          <w:tcPr/>
          <w:p>
            <w:pPr>
              <w:pStyle w:val="Compact"/>
              <w:jc w:val="left"/>
            </w:pPr>
            <w:r>
              <w:t xml:space="preserve">[7]</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Sí</w:t>
            </w:r>
          </w:p>
        </w:tc>
        <w:tc>
          <w:tcPr/>
          <w:p>
            <w:pPr>
              <w:pStyle w:val="Compact"/>
              <w:jc w:val="left"/>
            </w:pPr>
            <w:r>
              <w:t xml:space="preserve">EV/ventas de 12,1x frente a ~7,4x en el mínimo del 30-mar: +63 %.</w:t>
            </w:r>
          </w:p>
        </w:tc>
        <w:tc>
          <w:tcPr/>
          <w:p>
            <w:pPr>
              <w:pStyle w:val="Compact"/>
              <w:jc w:val="left"/>
            </w:pPr>
            <w:r>
              <w:t xml:space="preserve">[7][10]</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Ya era rentable. El margen operativo contable baja del 27,2 % al 25,2 % y el de caja libre del 23 % al 17 %.</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Empeora: −20 % el 2-sep pese a batir, y −19 % en cinco sesiones hasta el 14-oct, con todo el sector.</w:t>
            </w:r>
          </w:p>
        </w:tc>
        <w:tc>
          <w:tcPr/>
          <w:p>
            <w:pPr>
              <w:pStyle w:val="Compact"/>
              <w:jc w:val="left"/>
            </w:pPr>
            <w:r>
              <w:t xml:space="preserve">[8][9]</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Ninguna compra. Los cofundadores y el consejero delegado venden cada pocas semanas.</w:t>
            </w:r>
          </w:p>
        </w:tc>
        <w:tc>
          <w:tcPr/>
          <w:p>
            <w:pPr>
              <w:pStyle w:val="Compact"/>
              <w:jc w:val="left"/>
            </w:pPr>
            <w:r>
              <w:t xml:space="preserve">[6][11]</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Resultados del 2T hacia el 1-dic, aceleración prometida para la segunda mitad del FY27, primer DSP de 1,6T y cables de LED en el OCP.</w:t>
            </w:r>
          </w:p>
        </w:tc>
        <w:tc>
          <w:tcPr/>
          <w:p>
            <w:pPr>
              <w:pStyle w:val="Compact"/>
              <w:jc w:val="left"/>
            </w:pPr>
            <w:r>
              <w:t xml:space="preserve">[3]</w:t>
            </w:r>
          </w:p>
        </w:tc>
      </w:tr>
    </w:tbl>
    <w:p>
      <w:pPr>
        <w:pStyle w:val="BodyText"/>
      </w:pPr>
      <w:r>
        <w:rPr>
          <w:bCs/>
          <w:b/>
        </w:rPr>
        <w:t xml:space="preserve">Euforia: no.</w:t>
      </w:r>
      <w:r>
        <w:t xml:space="preserve"> </w:t>
      </w:r>
      <w:r>
        <w:t xml:space="preserve">Sube un 38,1 % en 12 meses (de 129,75 a 179,23 USD) con un EV/beneficio bruto de 18,0x, lejos del veto (150 % con más de 20x). La euforia fue en junio: de 88 USD (30-mar) a 303 USD (22-jun), más del triple en tres meses.</w:t>
      </w:r>
    </w:p>
    <w:bookmarkEnd w:id="25"/>
    <w:bookmarkStart w:id="26"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w:t>
      </w:r>
      <w:r>
        <w:t xml:space="preserve">:</w:t>
      </w:r>
      <w:r>
        <w:t xml:space="preserve"> </w:t>
      </w:r>
      <w:r>
        <w:rPr>
          <w:bCs/>
          <w:b/>
        </w:rPr>
        <w:t xml:space="preserve">67,1 %</w:t>
      </w:r>
      <w:r>
        <w:t xml:space="preserve"> </w:t>
      </w:r>
      <w:r>
        <w:t xml:space="preserve">en 12 meses (contable). Guía del 67-69 % ajustado para el 2T, parecido al del FY26.</w:t>
      </w:r>
    </w:p>
    <w:p>
      <w:pPr>
        <w:numPr>
          <w:ilvl w:val="0"/>
          <w:numId w:val="1004"/>
        </w:numPr>
        <w:pStyle w:val="Compact"/>
      </w:pPr>
      <w:r>
        <w:rPr>
          <w:bCs/>
          <w:b/>
        </w:rPr>
        <w:t xml:space="preserve">Margen operativo</w:t>
      </w:r>
      <w:r>
        <w:t xml:space="preserve">: 25,2 % contable y 48,2 % ajustado en el 1T FY27. La diferencia son los pagos en acciones (88 M en el trimestre) y la amortización de lo comprado. Los gastos ajustados subirán un 55 % en el FY27.</w:t>
      </w:r>
    </w:p>
    <w:p>
      <w:pPr>
        <w:numPr>
          <w:ilvl w:val="0"/>
          <w:numId w:val="1004"/>
        </w:numPr>
        <w:pStyle w:val="Compact"/>
      </w:pPr>
      <w:r>
        <w:rPr>
          <w:bCs/>
          <w:b/>
        </w:rPr>
        <w:t xml:space="preserve">Caja libre</w:t>
      </w:r>
      <w:r>
        <w:t xml:space="preserve">:</w:t>
      </w:r>
      <w:r>
        <w:t xml:space="preserve"> </w:t>
      </w:r>
      <w:r>
        <w:rPr>
          <w:bCs/>
          <w:b/>
        </w:rPr>
        <w:t xml:space="preserve">438 M USD en 12 meses (27,6 % de las ventas)</w:t>
      </w:r>
      <w:r>
        <w:t xml:space="preserve">, frente a 29 M en el FY25. Es caja libre creciente. Las existencias suben deprisa (de 117 a 313 M en un año) para la segunda mitad del año.</w:t>
      </w:r>
    </w:p>
    <w:p>
      <w:pPr>
        <w:numPr>
          <w:ilvl w:val="0"/>
          <w:numId w:val="1004"/>
        </w:numPr>
        <w:pStyle w:val="Compact"/>
      </w:pPr>
      <w:r>
        <w:rPr>
          <w:bCs/>
          <w:b/>
        </w:rPr>
        <w:t xml:space="preserve">Regla del 40</w:t>
      </w:r>
      <w:r>
        <w:t xml:space="preserve">: 165 + 28 =</w:t>
      </w:r>
      <w:r>
        <w:t xml:space="preserve"> </w:t>
      </w:r>
      <w:r>
        <w:rPr>
          <w:bCs/>
          <w:b/>
        </w:rPr>
        <w:t xml:space="preserve">193</w:t>
      </w:r>
      <w:r>
        <w:t xml:space="preserve">. De las más altas del repo.</w:t>
      </w:r>
    </w:p>
    <w:p>
      <w:pPr>
        <w:numPr>
          <w:ilvl w:val="0"/>
          <w:numId w:val="1004"/>
        </w:numPr>
        <w:pStyle w:val="Compact"/>
      </w:pPr>
      <w:r>
        <w:rPr>
          <w:bCs/>
          <w:b/>
        </w:rPr>
        <w:t xml:space="preserve">Impuestos</w:t>
      </w:r>
      <w:r>
        <w:t xml:space="preserve">: tipo efectivo cercano a cero (−0,5 % en el 1T). Si cambiara, el beneficio neto bajaría; por eso se valora sobre ventas, que van antes de impuestos.</w:t>
      </w:r>
    </w:p>
    <w:bookmarkEnd w:id="26"/>
    <w:bookmarkStart w:id="27" w:name="caja-deuda-y-dilución"/>
    <w:p>
      <w:pPr>
        <w:pStyle w:val="Heading2"/>
      </w:pPr>
      <w:r>
        <w:t xml:space="preserve">7. Caja, deuda y dilución</w:t>
      </w:r>
    </w:p>
    <w:p>
      <w:pPr>
        <w:numPr>
          <w:ilvl w:val="0"/>
          <w:numId w:val="1005"/>
        </w:numPr>
        <w:pStyle w:val="Compact"/>
      </w:pPr>
      <w:r>
        <w:rPr>
          <w:bCs/>
          <w:b/>
        </w:rPr>
        <w:t xml:space="preserve">Caja e inversiones a corto</w:t>
      </w:r>
      <w:r>
        <w:t xml:space="preserve">:</w:t>
      </w:r>
      <w:r>
        <w:t xml:space="preserve"> </w:t>
      </w:r>
      <w:r>
        <w:rPr>
          <w:bCs/>
          <w:b/>
        </w:rPr>
        <w:t xml:space="preserve">764,3 M USD</w:t>
      </w:r>
      <w:r>
        <w:t xml:space="preserve"> </w:t>
      </w:r>
      <w:r>
        <w:t xml:space="preserve">a 1-ago, sin deuda financiera. Bajó desde 1.443 M porque pagó 736 M en efectivo por DustPhotonics. Quedan 10 M de pago aplazado en efectivo (puestos como deuda) y 300 M en acciones [2].</w:t>
      </w:r>
    </w:p>
    <w:p>
      <w:pPr>
        <w:numPr>
          <w:ilvl w:val="0"/>
          <w:numId w:val="1005"/>
        </w:numPr>
        <w:pStyle w:val="Compact"/>
      </w:pPr>
      <w:r>
        <w:rPr>
          <w:bCs/>
          <w:b/>
        </w:rPr>
        <w:t xml:space="preserve">Pista</w:t>
      </w:r>
      <w:r>
        <w:t xml:space="preserve">: la caja libre es positiva; no quema caja.</w:t>
      </w:r>
    </w:p>
    <w:p>
      <w:pPr>
        <w:numPr>
          <w:ilvl w:val="0"/>
          <w:numId w:val="1005"/>
        </w:numPr>
        <w:pStyle w:val="Compact"/>
      </w:pPr>
      <w:r>
        <w:rPr>
          <w:bCs/>
          <w:b/>
        </w:rPr>
        <w:t xml:space="preserve">Dilución</w:t>
      </w:r>
      <w:r>
        <w:t xml:space="preserve">:</w:t>
      </w:r>
      <w:r>
        <w:t xml:space="preserve"> </w:t>
      </w:r>
      <w:r>
        <w:rPr>
          <w:bCs/>
          <w:b/>
        </w:rPr>
        <w:t xml:space="preserve">+5,3 % en 12 meses</w:t>
      </w:r>
      <w:r>
        <w:t xml:space="preserve"> </w:t>
      </w:r>
      <w:r>
        <w:t xml:space="preserve">(acciones diluidas medias de 184,6 a 194,4 M). La empresa guía ~200 M para el 2T, que es lo que usa el informe. Prevista para los próximos 12 meses: ~3,5 %.</w:t>
      </w:r>
    </w:p>
    <w:p>
      <w:pPr>
        <w:numPr>
          <w:ilvl w:val="0"/>
          <w:numId w:val="1005"/>
        </w:numPr>
        <w:pStyle w:val="Compact"/>
      </w:pPr>
      <w:r>
        <w:rPr>
          <w:bCs/>
          <w:b/>
        </w:rPr>
        <w:t xml:space="preserve">Pagos en acciones</w:t>
      </w:r>
      <w:r>
        <w:t xml:space="preserve">: 235 M USD en 12 meses,</w:t>
      </w:r>
      <w:r>
        <w:t xml:space="preserve"> </w:t>
      </w:r>
      <w:r>
        <w:rPr>
          <w:bCs/>
          <w:b/>
        </w:rPr>
        <w:t xml:space="preserve">14,8 % de las ventas</w:t>
      </w:r>
      <w:r>
        <w:t xml:space="preserve">, justo debajo de la línea roja del 15 %. Pero suben: 18,4 % en el 1T FY27 y ~20 % guiado para el 2T. Es el coste oculto de la caja libre.</w:t>
      </w:r>
    </w:p>
    <w:bookmarkEnd w:id="27"/>
    <w:bookmarkStart w:id="28" w:name="dirección-y-ejecución"/>
    <w:p>
      <w:pPr>
        <w:pStyle w:val="Heading2"/>
      </w:pPr>
      <w:r>
        <w:t xml:space="preserve">8. Dirección y ejecución</w:t>
      </w:r>
    </w:p>
    <w:p>
      <w:pPr>
        <w:numPr>
          <w:ilvl w:val="0"/>
          <w:numId w:val="1006"/>
        </w:numPr>
        <w:pStyle w:val="Compact"/>
      </w:pPr>
      <w:r>
        <w:rPr>
          <w:bCs/>
          <w:b/>
        </w:rPr>
        <w:t xml:space="preserve">Historial (5/5)</w:t>
      </w:r>
      <w:r>
        <w:t xml:space="preserve">: ha batido su guía trimestral en todos los trimestres revisados (por 46 y 50 puntos de crecimiento en el 2T y 3T FY26, y por 4 en los dos últimos) y ha subido la guía anual [1][3].</w:t>
      </w:r>
    </w:p>
    <w:p>
      <w:pPr>
        <w:numPr>
          <w:ilvl w:val="0"/>
          <w:numId w:val="1006"/>
        </w:numPr>
        <w:pStyle w:val="Compact"/>
      </w:pPr>
      <w:r>
        <w:rPr>
          <w:bCs/>
          <w:b/>
        </w:rPr>
        <w:t xml:space="preserve">Dirección (3/5)</w:t>
      </w:r>
      <w:r>
        <w:t xml:space="preserve">: Bill Brennan es consejero delegado desde 2013 (de memoria). Los cofundadores Chi Fung Cheng (director técnico) y Yat Tung Lam (director de operaciones) siguen en la empresa; los directivos tienen un 9 % del capital. Le restan las ventas constantes de acciones de los directivos (el director técnico vende unas 27.500 acciones casi cada semana; el de operaciones vendió más de 200.000 en verano), la compra cara de DustPhotonics (1.300 M por una empresa sin ventas materiales) y que los pagos en acciones crezcan más que las ventas [2][11].</w:t>
      </w:r>
    </w:p>
    <w:bookmarkEnd w:id="28"/>
    <w:bookmarkStart w:id="29" w:name="valoración"/>
    <w:p>
      <w:pPr>
        <w:pStyle w:val="Heading2"/>
      </w:pPr>
      <w:r>
        <w:t xml:space="preserve">9. Valoración</w:t>
      </w:r>
    </w:p>
    <w:p>
      <w:pPr>
        <w:pStyle w:val="FirstParagraph"/>
      </w:pPr>
      <w:r>
        <w:rPr>
          <w:bCs/>
          <w:b/>
        </w:rPr>
        <w:t xml:space="preserve">Ejercicio objetivo</w:t>
      </w:r>
      <w:r>
        <w:t xml:space="preserve">: los 12 meses a julio de 2028, dos años después de los 12 meses a julio de 2026.</w:t>
      </w:r>
      <w:r>
        <w:t xml:space="preserve"> </w:t>
      </w:r>
      <w:r>
        <w:rPr>
          <w:bCs/>
          <w:b/>
        </w:rPr>
        <w:t xml:space="preserve">Métrica</w:t>
      </w:r>
      <w:r>
        <w:t xml:space="preserve">: EV/ventas de los 12 meses siguientes. Credo gana dinero, pero solo desde el 3T FY25: no hay tres años de EV/EBITDA con los que comparar, y con un crecimiento del 115 % el EBITDA de hoy dice poco del de dentro de dos años. Contraste: EV/EBITDA ajustado de los 12 meses siguientes de ~24x (estimación propia).</w:t>
      </w:r>
    </w:p>
    <w:p>
      <w:pPr>
        <w:numPr>
          <w:ilvl w:val="0"/>
          <w:numId w:val="1007"/>
        </w:numPr>
        <w:pStyle w:val="Compact"/>
      </w:pPr>
      <w:r>
        <w:rPr>
          <w:bCs/>
          <w:b/>
        </w:rPr>
        <w:t xml:space="preserve">EV de hoy</w:t>
      </w:r>
      <w:r>
        <w:t xml:space="preserve">: 179,23 × 200 + 10 − 764,3 =</w:t>
      </w:r>
      <w:r>
        <w:t xml:space="preserve"> </w:t>
      </w:r>
      <w:r>
        <w:rPr>
          <w:bCs/>
          <w:b/>
        </w:rPr>
        <w:t xml:space="preserve">35.090 M USD</w:t>
      </w:r>
      <w:r>
        <w:t xml:space="preserve">.</w:t>
      </w:r>
    </w:p>
    <w:p>
      <w:pPr>
        <w:numPr>
          <w:ilvl w:val="0"/>
          <w:numId w:val="1007"/>
        </w:numPr>
        <w:pStyle w:val="Compact"/>
      </w:pPr>
      <w:r>
        <w:rPr>
          <w:bCs/>
          <w:b/>
        </w:rPr>
        <w:t xml:space="preserve">Ventas de los 12 meses siguientes</w:t>
      </w:r>
      <w:r>
        <w:t xml:space="preserve"> </w:t>
      </w:r>
      <w:r>
        <w:t xml:space="preserve">(agosto de 2026 a julio de 2027):</w:t>
      </w:r>
      <w:r>
        <w:t xml:space="preserve"> </w:t>
      </w:r>
      <w:r>
        <w:rPr>
          <w:bCs/>
          <w:b/>
        </w:rPr>
        <w:t xml:space="preserve">2.903 M</w:t>
      </w:r>
      <w:r>
        <w:t xml:space="preserve"> </w:t>
      </w:r>
      <w:r>
        <w:t xml:space="preserve">(consenso por trimestres, +82,5 %) [6].</w:t>
      </w:r>
      <w:r>
        <w:t xml:space="preserve"> </w:t>
      </w:r>
      <w:r>
        <w:rPr>
          <w:bCs/>
          <w:b/>
        </w:rPr>
        <w:t xml:space="preserve">EV/ventas 12,1x</w:t>
      </w:r>
      <w:r>
        <w:t xml:space="preserve">;</w:t>
      </w:r>
      <w:r>
        <w:t xml:space="preserve"> </w:t>
      </w:r>
      <w:r>
        <w:rPr>
          <w:bCs/>
          <w:b/>
        </w:rPr>
        <w:t xml:space="preserve">EV/beneficio bruto 18,0x</w:t>
      </w:r>
      <w:r>
        <w:t xml:space="preserve">;</w:t>
      </w:r>
      <w:r>
        <w:t xml:space="preserve"> </w:t>
      </w:r>
      <w:r>
        <w:rPr>
          <w:bCs/>
          <w:b/>
        </w:rPr>
        <w:t xml:space="preserve">PER ajustado</w:t>
      </w:r>
      <w:r>
        <w:t xml:space="preserve"> </w:t>
      </w:r>
      <w:r>
        <w:t xml:space="preserve">de unas 24 veces (BPA de los 12 meses siguientes de unos 7,4 USD, estimación propia con el consenso trimestral).</w:t>
      </w:r>
    </w:p>
    <w:p>
      <w:pPr>
        <w:numPr>
          <w:ilvl w:val="0"/>
          <w:numId w:val="1007"/>
        </w:numPr>
        <w:pStyle w:val="Compact"/>
      </w:pPr>
      <w:r>
        <w:rPr>
          <w:bCs/>
          <w:b/>
        </w:rPr>
        <w:t xml:space="preserve">Mediana de 3 años: ~9,6x</w:t>
      </w:r>
      <w:r>
        <w:t xml:space="preserve">;</w:t>
      </w:r>
      <w:r>
        <w:t xml:space="preserve"> </w:t>
      </w:r>
      <w:r>
        <w:rPr>
          <w:bCs/>
          <w:b/>
        </w:rPr>
        <w:t xml:space="preserve">mínimo ~5,6x</w:t>
      </w:r>
      <w:r>
        <w:t xml:space="preserve"> </w:t>
      </w:r>
      <w:r>
        <w:t xml:space="preserve">(abril de 2024). Son estimaciones propias con las ventas reales de los 12 meses siguientes, no con el consenso de cada fecha [10].</w:t>
      </w:r>
    </w:p>
    <w:p>
      <w:pPr>
        <w:numPr>
          <w:ilvl w:val="0"/>
          <w:numId w:val="1007"/>
        </w:numPr>
        <w:pStyle w:val="Compact"/>
      </w:pPr>
      <w:r>
        <w:rPr>
          <w:bCs/>
          <w:b/>
        </w:rPr>
        <w:t xml:space="preserve">Comparables: ~10x</w:t>
      </w:r>
      <w:r>
        <w:t xml:space="preserve"> </w:t>
      </w:r>
      <w:r>
        <w:t xml:space="preserve">(Astera Labs ~18x, Marvell ~11,5x, Broadcom ~10x, Lumentum ~9x, Coherent ~4x; con el consenso de Yahoo).</w:t>
      </w:r>
    </w:p>
    <w:p>
      <w:pPr>
        <w:numPr>
          <w:ilvl w:val="0"/>
          <w:numId w:val="1007"/>
        </w:numPr>
        <w:pStyle w:val="Compact"/>
      </w:pPr>
      <w:r>
        <w:rPr>
          <w:bCs/>
          <w:b/>
        </w:rPr>
        <w:t xml:space="preserve">Desaceleración</w:t>
      </w:r>
      <w:r>
        <w:t xml:space="preserve">: del 82,5 % de los 12 meses siguientes al 32,4 % del año objetivo → factor 0,70 (la rebaja máxima).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12 m a jul-2028 (M USD)</w:t>
            </w:r>
          </w:p>
        </w:tc>
        <w:tc>
          <w:tcPr/>
          <w:p>
            <w:pPr>
              <w:pStyle w:val="Compact"/>
              <w:jc w:val="left"/>
            </w:pPr>
            <w:r>
              <w:t xml:space="preserve">Supuesto</w:t>
            </w:r>
          </w:p>
        </w:tc>
        <w:tc>
          <w:tcPr/>
          <w:p>
            <w:pPr>
              <w:pStyle w:val="Compact"/>
              <w:jc w:val="left"/>
            </w:pPr>
            <w:r>
              <w:t xml:space="preserve">Múltiplo EV/ventas</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2.596</w:t>
            </w:r>
          </w:p>
        </w:tc>
        <w:tc>
          <w:tcPr/>
          <w:p>
            <w:pPr>
              <w:pStyle w:val="Compact"/>
              <w:jc w:val="left"/>
            </w:pPr>
            <w:r>
              <w:t xml:space="preserve">La IA frena: +30 % en los próximos 12 meses y +26 % el siguiente (mecánica; el informe decía 3.000)</w:t>
            </w:r>
          </w:p>
        </w:tc>
        <w:tc>
          <w:tcPr/>
          <w:p>
            <w:pPr>
              <w:pStyle w:val="Compact"/>
              <w:jc w:val="left"/>
            </w:pPr>
            <w:r>
              <w:t xml:space="preserve">5,1x</w:t>
            </w:r>
          </w:p>
        </w:tc>
        <w:tc>
          <w:tcPr/>
          <w:p>
            <w:pPr>
              <w:pStyle w:val="Compact"/>
              <w:jc w:val="left"/>
            </w:pPr>
            <w:r>
              <w:t xml:space="preserve">66,2</w:t>
            </w:r>
          </w:p>
        </w:tc>
        <w:tc>
          <w:tcPr/>
          <w:p>
            <w:pPr>
              <w:pStyle w:val="Compact"/>
              <w:jc w:val="left"/>
            </w:pPr>
            <w:r>
              <w:t xml:space="preserve">−63,1 %</w:t>
            </w:r>
          </w:p>
        </w:tc>
      </w:tr>
      <w:tr>
        <w:tc>
          <w:tcPr/>
          <w:p>
            <w:pPr>
              <w:pStyle w:val="Compact"/>
              <w:jc w:val="left"/>
            </w:pPr>
            <w:r>
              <w:t xml:space="preserve">Base (50 %)</w:t>
            </w:r>
          </w:p>
        </w:tc>
        <w:tc>
          <w:tcPr/>
          <w:p>
            <w:pPr>
              <w:pStyle w:val="Compact"/>
              <w:jc w:val="left"/>
            </w:pPr>
            <w:r>
              <w:t xml:space="preserve">3.844</w:t>
            </w:r>
          </w:p>
        </w:tc>
        <w:tc>
          <w:tcPr/>
          <w:p>
            <w:pPr>
              <w:pStyle w:val="Compact"/>
              <w:jc w:val="left"/>
            </w:pPr>
            <w:r>
              <w:t xml:space="preserve">+60 % y +51 % (mecánica; el informe decía 4.000; consenso del FY28, 3.873)</w:t>
            </w:r>
          </w:p>
        </w:tc>
        <w:tc>
          <w:tcPr/>
          <w:p>
            <w:pPr>
              <w:pStyle w:val="Compact"/>
              <w:jc w:val="left"/>
            </w:pPr>
            <w:r>
              <w:t xml:space="preserve">8,5x</w:t>
            </w:r>
          </w:p>
        </w:tc>
        <w:tc>
          <w:tcPr/>
          <w:p>
            <w:pPr>
              <w:pStyle w:val="Compact"/>
              <w:jc w:val="left"/>
            </w:pPr>
            <w:r>
              <w:t xml:space="preserve">158,2</w:t>
            </w:r>
          </w:p>
        </w:tc>
        <w:tc>
          <w:tcPr/>
          <w:p>
            <w:pPr>
              <w:pStyle w:val="Compact"/>
              <w:jc w:val="left"/>
            </w:pPr>
            <w:r>
              <w:t xml:space="preserve">−11,7 %</w:t>
            </w:r>
          </w:p>
        </w:tc>
      </w:tr>
      <w:tr>
        <w:tc>
          <w:tcPr/>
          <w:p>
            <w:pPr>
              <w:pStyle w:val="Compact"/>
              <w:jc w:val="left"/>
            </w:pPr>
            <w:r>
              <w:t xml:space="preserve">Alcista (25 %)</w:t>
            </w:r>
          </w:p>
        </w:tc>
        <w:tc>
          <w:tcPr/>
          <w:p>
            <w:pPr>
              <w:pStyle w:val="Compact"/>
              <w:jc w:val="left"/>
            </w:pPr>
            <w:r>
              <w:t xml:space="preserve">4.411</w:t>
            </w:r>
          </w:p>
        </w:tc>
        <w:tc>
          <w:tcPr/>
          <w:p>
            <w:pPr>
              <w:pStyle w:val="Compact"/>
              <w:jc w:val="left"/>
            </w:pPr>
            <w:r>
              <w:t xml:space="preserve">+72 % y +61 % (mecánica; el informe decía 4.600)</w:t>
            </w:r>
          </w:p>
        </w:tc>
        <w:tc>
          <w:tcPr/>
          <w:p>
            <w:pPr>
              <w:pStyle w:val="Compact"/>
              <w:jc w:val="left"/>
            </w:pPr>
            <w:r>
              <w:t xml:space="preserve">11,0x</w:t>
            </w:r>
          </w:p>
        </w:tc>
        <w:tc>
          <w:tcPr/>
          <w:p>
            <w:pPr>
              <w:pStyle w:val="Compact"/>
              <w:jc w:val="left"/>
            </w:pPr>
            <w:r>
              <w:t xml:space="preserve">234,2</w:t>
            </w:r>
          </w:p>
        </w:tc>
        <w:tc>
          <w:tcPr/>
          <w:p>
            <w:pPr>
              <w:pStyle w:val="Compact"/>
              <w:jc w:val="left"/>
            </w:pPr>
            <w:r>
              <w:t xml:space="preserve">+30,7 %</w:t>
            </w:r>
          </w:p>
        </w:tc>
      </w:tr>
      <w:tr>
        <w:tc>
          <w:tcPr/>
          <w:p>
            <w:pPr>
              <w:pStyle w:val="Compact"/>
              <w:jc w:val="left"/>
            </w:pPr>
            <w:r>
              <w:rPr>
                <w:bCs/>
                <w:b/>
              </w:rPr>
              <w:t xml:space="preserve">Ponderado</w:t>
            </w:r>
          </w:p>
        </w:tc>
        <w:tc>
          <w:tcPr/>
          <w:p>
            <w:pPr>
              <w:pStyle w:val="Compact"/>
            </w:pPr>
          </w:p>
        </w:tc>
        <w:tc>
          <w:tcPr/>
          <w:p>
            <w:pPr>
              <w:pStyle w:val="Compact"/>
            </w:pPr>
          </w:p>
        </w:tc>
        <w:tc>
          <w:tcPr/>
          <w:p>
            <w:pPr>
              <w:pStyle w:val="Compact"/>
            </w:pPr>
          </w:p>
        </w:tc>
        <w:tc>
          <w:tcPr/>
          <w:p>
            <w:pPr>
              <w:pStyle w:val="Compact"/>
              <w:jc w:val="left"/>
            </w:pPr>
            <w:r>
              <w:rPr>
                <w:bCs/>
                <w:b/>
              </w:rPr>
              <w:t xml:space="preserve">154,2</w:t>
            </w:r>
          </w:p>
        </w:tc>
        <w:tc>
          <w:tcPr/>
          <w:p>
            <w:pPr>
              <w:pStyle w:val="Compact"/>
              <w:jc w:val="left"/>
            </w:pPr>
            <w:r>
              <w:rPr>
                <w:bCs/>
                <w:b/>
              </w:rPr>
              <w:t xml:space="preserve">−14,0 %</w:t>
            </w:r>
          </w:p>
        </w:tc>
      </w:tr>
    </w:tbl>
    <w:p>
      <w:pPr>
        <w:pStyle w:val="BodyText"/>
      </w:pPr>
      <w:r>
        <w:t xml:space="preserve">Sin dividendo.</w:t>
      </w:r>
      <w:r>
        <w:t xml:space="preserve"> </w:t>
      </w:r>
      <w:r>
        <w:rPr>
          <w:bCs/>
          <w:b/>
        </w:rPr>
        <w:t xml:space="preserve">Asimetría</w:t>
      </w:r>
      <w:r>
        <w:t xml:space="preserve">: 0,5.</w:t>
      </w:r>
      <w:r>
        <w:t xml:space="preserve"> </w:t>
      </w:r>
      <w:r>
        <w:rPr>
          <w:bCs/>
          <w:b/>
        </w:rPr>
        <w:t xml:space="preserve">Precio máximo de compra: 132,4 USD</w:t>
      </w:r>
      <w:r>
        <w:t xml:space="preserve">, que fija la condición de bajista no peor que −50 % (la de ponderada ≥ 5 % daría ~147 USD). El tope de 35 veces el beneficio bruto queda muy por encima.</w:t>
      </w:r>
    </w:p>
    <w:p>
      <w:pPr>
        <w:pStyle w:val="BodyText"/>
      </w:pPr>
      <w:r>
        <w:rPr>
          <w:bCs/>
          <w:b/>
        </w:rPr>
        <w:t xml:space="preserve">Consenso</w:t>
      </w:r>
      <w:r>
        <w:t xml:space="preserve">: ventas del FY28 de 3.873 M (el base del método está un 1 % por debajo) y precio objetivo medio de 279 USD (20 analistas, de 185 a 315) [6]. Los analistas aplican múltiplos de 15 a 20 veces las ventas, sin rebaja por la desaceleración.</w:t>
      </w:r>
    </w:p>
    <w:p>
      <w:pPr>
        <w:pStyle w:val="BodyText"/>
      </w:pPr>
      <w:r>
        <w:rPr>
          <w:bCs/>
          <w:b/>
        </w:rPr>
        <w:t xml:space="preserve">DCF inverso</w:t>
      </w:r>
      <w:r>
        <w:t xml:space="preserve">: con un margen de caja libre maduro del 30 %, un coste del capital del 10 % y un 3 % de crecimiento final, el precio de hoy descuenta un</w:t>
      </w:r>
      <w:r>
        <w:t xml:space="preserve"> </w:t>
      </w:r>
      <w:r>
        <w:rPr>
          <w:bCs/>
          <w:b/>
        </w:rPr>
        <w:t xml:space="preserve">25 % anual durante 10 años</w:t>
      </w:r>
      <w:r>
        <w:t xml:space="preserve">. Es posible si la IA sigue invirtiendo, pero deja poco margen.</w:t>
      </w:r>
    </w:p>
    <w:p>
      <w:pPr>
        <w:pStyle w:val="BodyText"/>
      </w:pPr>
      <w:r>
        <w:rPr>
          <w:bCs/>
          <w:b/>
        </w:rPr>
        <w:t xml:space="preserve">Contraste y sensibilidad</w:t>
      </w:r>
      <w:r>
        <w:t xml:space="preserve"> </w:t>
      </w:r>
      <w:r>
        <w:t xml:space="preserve">(mismo código, sin cambiarlo):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Variante</w:t>
            </w:r>
          </w:p>
        </w:tc>
        <w:tc>
          <w:tcPr/>
          <w:p>
            <w:pPr>
              <w:pStyle w:val="Compact"/>
              <w:jc w:val="left"/>
            </w:pPr>
            <w:r>
              <w:t xml:space="preserve">Ponderada</w:t>
            </w:r>
          </w:p>
        </w:tc>
        <w:tc>
          <w:tcPr/>
          <w:p>
            <w:pPr>
              <w:pStyle w:val="Compact"/>
              <w:jc w:val="left"/>
            </w:pPr>
            <w:r>
              <w:t xml:space="preserve">Base</w:t>
            </w:r>
          </w:p>
        </w:tc>
        <w:tc>
          <w:tcPr/>
          <w:p>
            <w:pPr>
              <w:pStyle w:val="Compact"/>
              <w:jc w:val="left"/>
            </w:pPr>
            <w:r>
              <w:t xml:space="preserve">Bajista</w:t>
            </w:r>
          </w:p>
        </w:tc>
        <w:tc>
          <w:tcPr/>
          <w:p>
            <w:pPr>
              <w:pStyle w:val="Compact"/>
              <w:jc w:val="left"/>
            </w:pPr>
            <w:r>
              <w:t xml:space="preserve">Señal</w:t>
            </w:r>
          </w:p>
        </w:tc>
        <w:tc>
          <w:tcPr/>
          <w:p>
            <w:pPr>
              <w:pStyle w:val="Compact"/>
              <w:jc w:val="left"/>
            </w:pPr>
            <w:r>
              <w:t xml:space="preserve">Compra hasta</w:t>
            </w:r>
          </w:p>
        </w:tc>
      </w:tr>
      <w:tr>
        <w:tc>
          <w:tcPr/>
          <w:p>
            <w:pPr>
              <w:pStyle w:val="Compact"/>
              <w:jc w:val="left"/>
            </w:pPr>
            <w:r>
              <w:rPr>
                <w:bCs/>
                <w:b/>
              </w:rPr>
              <w:t xml:space="preserve">v11 vigente (la que manda)</w:t>
            </w:r>
          </w:p>
        </w:tc>
        <w:tc>
          <w:tcPr/>
          <w:p>
            <w:pPr>
              <w:pStyle w:val="Compact"/>
              <w:jc w:val="left"/>
            </w:pPr>
            <w:r>
              <w:t xml:space="preserve">−14,0 %</w:t>
            </w:r>
          </w:p>
        </w:tc>
        <w:tc>
          <w:tcPr/>
          <w:p>
            <w:pPr>
              <w:pStyle w:val="Compact"/>
              <w:jc w:val="left"/>
            </w:pPr>
            <w:r>
              <w:t xml:space="preserve">−11,7 %</w:t>
            </w:r>
          </w:p>
        </w:tc>
        <w:tc>
          <w:tcPr/>
          <w:p>
            <w:pPr>
              <w:pStyle w:val="Compact"/>
              <w:jc w:val="left"/>
            </w:pPr>
            <w:r>
              <w:t xml:space="preserve">−63,1 %</w:t>
            </w:r>
          </w:p>
        </w:tc>
        <w:tc>
          <w:tcPr/>
          <w:p>
            <w:pPr>
              <w:pStyle w:val="Compact"/>
              <w:jc w:val="left"/>
            </w:pPr>
            <w:r>
              <w:t xml:space="preserve">Vender</w:t>
            </w:r>
          </w:p>
        </w:tc>
        <w:tc>
          <w:tcPr/>
          <w:p>
            <w:pPr>
              <w:pStyle w:val="Compact"/>
              <w:jc w:val="left"/>
            </w:pPr>
            <w:r>
              <w:t xml:space="preserve">132,4</w:t>
            </w:r>
          </w:p>
        </w:tc>
      </w:tr>
      <w:tr>
        <w:tc>
          <w:tcPr/>
          <w:p>
            <w:pPr>
              <w:pStyle w:val="Compact"/>
              <w:jc w:val="left"/>
            </w:pPr>
            <w:r>
              <w:t xml:space="preserve">v9 (referencia)</w:t>
            </w:r>
          </w:p>
        </w:tc>
        <w:tc>
          <w:tcPr/>
          <w:p>
            <w:pPr>
              <w:pStyle w:val="Compact"/>
              <w:jc w:val="left"/>
            </w:pPr>
            <w:r>
              <w:t xml:space="preserve">−14,0 %</w:t>
            </w:r>
          </w:p>
        </w:tc>
        <w:tc>
          <w:tcPr/>
          <w:p>
            <w:pPr>
              <w:pStyle w:val="Compact"/>
              <w:jc w:val="left"/>
            </w:pPr>
            <w:r>
              <w:t xml:space="preserve">−11,7 %</w:t>
            </w:r>
          </w:p>
        </w:tc>
        <w:tc>
          <w:tcPr/>
          <w:p>
            <w:pPr>
              <w:pStyle w:val="Compact"/>
              <w:jc w:val="left"/>
            </w:pPr>
            <w:r>
              <w:t xml:space="preserve">−63,1 %</w:t>
            </w:r>
          </w:p>
        </w:tc>
        <w:tc>
          <w:tcPr/>
          <w:p>
            <w:pPr>
              <w:pStyle w:val="Compact"/>
              <w:jc w:val="left"/>
            </w:pPr>
            <w:r>
              <w:t xml:space="preserve">Vender</w:t>
            </w:r>
          </w:p>
        </w:tc>
        <w:tc>
          <w:tcPr/>
          <w:p>
            <w:pPr>
              <w:pStyle w:val="Compact"/>
              <w:jc w:val="left"/>
            </w:pPr>
            <w:r>
              <w:t xml:space="preserve">146,9</w:t>
            </w:r>
          </w:p>
        </w:tc>
      </w:tr>
      <w:tr>
        <w:tc>
          <w:tcPr/>
          <w:p>
            <w:pPr>
              <w:pStyle w:val="Compact"/>
              <w:jc w:val="left"/>
            </w:pPr>
            <w:r>
              <w:t xml:space="preserve">v12 (candidata: orgánico del 75 %)</w:t>
            </w:r>
          </w:p>
        </w:tc>
        <w:tc>
          <w:tcPr/>
          <w:p>
            <w:pPr>
              <w:pStyle w:val="Compact"/>
              <w:jc w:val="left"/>
            </w:pPr>
            <w:r>
              <w:t xml:space="preserve">−14,0 %</w:t>
            </w:r>
          </w:p>
        </w:tc>
        <w:tc>
          <w:tcPr/>
          <w:p>
            <w:pPr>
              <w:pStyle w:val="Compact"/>
              <w:jc w:val="left"/>
            </w:pPr>
            <w:r>
              <w:t xml:space="preserve">−11,7 %</w:t>
            </w:r>
          </w:p>
        </w:tc>
        <w:tc>
          <w:tcPr/>
          <w:p>
            <w:pPr>
              <w:pStyle w:val="Compact"/>
              <w:jc w:val="left"/>
            </w:pPr>
            <w:r>
              <w:t xml:space="preserve">−63,1 %</w:t>
            </w:r>
          </w:p>
        </w:tc>
        <w:tc>
          <w:tcPr/>
          <w:p>
            <w:pPr>
              <w:pStyle w:val="Compact"/>
              <w:jc w:val="left"/>
            </w:pPr>
            <w:r>
              <w:t xml:space="preserve">Vender</w:t>
            </w:r>
          </w:p>
        </w:tc>
        <w:tc>
          <w:tcPr/>
          <w:p>
            <w:pPr>
              <w:pStyle w:val="Compact"/>
              <w:jc w:val="left"/>
            </w:pPr>
            <w:r>
              <w:t xml:space="preserve">132,4</w:t>
            </w:r>
          </w:p>
        </w:tc>
      </w:tr>
      <w:tr>
        <w:tc>
          <w:tcPr/>
          <w:p>
            <w:pPr>
              <w:pStyle w:val="Compact"/>
              <w:jc w:val="left"/>
            </w:pPr>
            <w:r>
              <w:t xml:space="preserve">v14 (candidata: dilución prevista del 3,5 %; sin producto dominante ni decisión regulatoria)</w:t>
            </w:r>
          </w:p>
        </w:tc>
        <w:tc>
          <w:tcPr/>
          <w:p>
            <w:pPr>
              <w:pStyle w:val="Compact"/>
              <w:jc w:val="left"/>
            </w:pPr>
            <w:r>
              <w:t xml:space="preserve">−12,5 %</w:t>
            </w:r>
          </w:p>
        </w:tc>
        <w:tc>
          <w:tcPr/>
          <w:p>
            <w:pPr>
              <w:pStyle w:val="Compact"/>
              <w:jc w:val="left"/>
            </w:pPr>
            <w:r>
              <w:t xml:space="preserve">−10,2 %</w:t>
            </w:r>
          </w:p>
        </w:tc>
        <w:tc>
          <w:tcPr/>
          <w:p>
            <w:pPr>
              <w:pStyle w:val="Compact"/>
              <w:jc w:val="left"/>
            </w:pPr>
            <w:r>
              <w:t xml:space="preserve">−62,4 %</w:t>
            </w:r>
          </w:p>
        </w:tc>
        <w:tc>
          <w:tcPr/>
          <w:p>
            <w:pPr>
              <w:pStyle w:val="Compact"/>
              <w:jc w:val="left"/>
            </w:pPr>
            <w:r>
              <w:t xml:space="preserve">Vender</w:t>
            </w:r>
          </w:p>
        </w:tc>
        <w:tc>
          <w:tcPr/>
          <w:p>
            <w:pPr>
              <w:pStyle w:val="Compact"/>
              <w:jc w:val="left"/>
            </w:pPr>
            <w:r>
              <w:t xml:space="preserve">134,7</w:t>
            </w:r>
          </w:p>
        </w:tc>
      </w:tr>
      <w:tr>
        <w:tc>
          <w:tcPr/>
          <w:p>
            <w:pPr>
              <w:pStyle w:val="Compact"/>
              <w:jc w:val="left"/>
            </w:pPr>
            <w:r>
              <w:t xml:space="preserve">Ventas del informe (robustez)</w:t>
            </w:r>
          </w:p>
        </w:tc>
        <w:tc>
          <w:tcPr/>
          <w:p>
            <w:pPr>
              <w:pStyle w:val="Compact"/>
              <w:jc w:val="left"/>
            </w:pPr>
            <w:r>
              <w:t xml:space="preserve">−9,3 %</w:t>
            </w:r>
          </w:p>
        </w:tc>
        <w:tc>
          <w:tcPr/>
          <w:p>
            <w:pPr>
              <w:pStyle w:val="Compact"/>
              <w:jc w:val="left"/>
            </w:pPr>
            <w:r>
              <w:t xml:space="preserve">−8,2 %</w:t>
            </w:r>
          </w:p>
        </w:tc>
        <w:tc>
          <w:tcPr/>
          <w:p>
            <w:pPr>
              <w:pStyle w:val="Compact"/>
              <w:jc w:val="left"/>
            </w:pPr>
            <w:r>
              <w:t xml:space="preserve">—</w:t>
            </w:r>
          </w:p>
        </w:tc>
        <w:tc>
          <w:tcPr/>
          <w:p>
            <w:pPr>
              <w:pStyle w:val="Compact"/>
              <w:jc w:val="left"/>
            </w:pPr>
            <w:r>
              <w:t xml:space="preserve">Mantener</w:t>
            </w:r>
          </w:p>
        </w:tc>
        <w:tc>
          <w:tcPr/>
          <w:p>
            <w:pPr>
              <w:pStyle w:val="Compact"/>
              <w:jc w:val="left"/>
            </w:pPr>
            <w:r>
              <w:t xml:space="preserve">—</w:t>
            </w:r>
          </w:p>
        </w:tc>
      </w:tr>
      <w:tr>
        <w:tc>
          <w:tcPr/>
          <w:p>
            <w:pPr>
              <w:pStyle w:val="Compact"/>
              <w:jc w:val="left"/>
            </w:pPr>
            <w:r>
              <w:t xml:space="preserve">Probabilidades 35/50/15 (robustez)</w:t>
            </w:r>
          </w:p>
        </w:tc>
        <w:tc>
          <w:tcPr/>
          <w:p>
            <w:pPr>
              <w:pStyle w:val="Compact"/>
              <w:jc w:val="left"/>
            </w:pPr>
            <w:r>
              <w:t xml:space="preserve">−23,3 %</w:t>
            </w:r>
          </w:p>
        </w:tc>
        <w:tc>
          <w:tcPr/>
          <w:p>
            <w:pPr>
              <w:pStyle w:val="Compact"/>
              <w:jc w:val="left"/>
            </w:pPr>
            <w:r>
              <w:t xml:space="preserve">−11,7 %</w:t>
            </w:r>
          </w:p>
        </w:tc>
        <w:tc>
          <w:tcPr/>
          <w:p>
            <w:pPr>
              <w:pStyle w:val="Compact"/>
              <w:jc w:val="left"/>
            </w:pPr>
            <w:r>
              <w:t xml:space="preserve">—</w:t>
            </w:r>
          </w:p>
        </w:tc>
        <w:tc>
          <w:tcPr/>
          <w:p>
            <w:pPr>
              <w:pStyle w:val="Compact"/>
              <w:jc w:val="left"/>
            </w:pPr>
            <w:r>
              <w:t xml:space="preserve">Vender</w:t>
            </w:r>
          </w:p>
        </w:tc>
        <w:tc>
          <w:tcPr/>
          <w:p>
            <w:pPr>
              <w:pStyle w:val="Compact"/>
              <w:jc w:val="left"/>
            </w:pPr>
            <w:r>
              <w:t xml:space="preserve">—</w:t>
            </w:r>
          </w:p>
        </w:tc>
      </w:tr>
      <w:tr>
        <w:tc>
          <w:tcPr/>
          <w:p>
            <w:pPr>
              <w:pStyle w:val="Compact"/>
              <w:jc w:val="left"/>
            </w:pPr>
            <w:r>
              <w:t xml:space="preserve">Precio actual, 174,50 USD, con el objetivo fijo</w:t>
            </w:r>
          </w:p>
        </w:tc>
        <w:tc>
          <w:tcPr/>
          <w:p>
            <w:pPr>
              <w:pStyle w:val="Compact"/>
              <w:jc w:val="left"/>
            </w:pPr>
            <w:r>
              <w:rPr>
                <w:bCs/>
                <w:b/>
              </w:rPr>
              <w:t xml:space="preserve">−11,6 %</w:t>
            </w:r>
          </w:p>
        </w:tc>
        <w:tc>
          <w:tcPr/>
          <w:p>
            <w:pPr>
              <w:pStyle w:val="Compact"/>
              <w:jc w:val="left"/>
            </w:pPr>
            <w:r>
              <w:t xml:space="preserve">−9,3 %</w:t>
            </w:r>
          </w:p>
        </w:tc>
        <w:tc>
          <w:tcPr/>
          <w:p>
            <w:pPr>
              <w:pStyle w:val="Compact"/>
              <w:jc w:val="left"/>
            </w:pPr>
            <w:r>
              <w:t xml:space="preserve">−62,1 %</w:t>
            </w:r>
          </w:p>
        </w:tc>
        <w:tc>
          <w:tcPr/>
          <w:p>
            <w:pPr>
              <w:pStyle w:val="Compact"/>
              <w:jc w:val="left"/>
            </w:pPr>
            <w:r>
              <w:t xml:space="preserve">Vender</w:t>
            </w:r>
          </w:p>
        </w:tc>
        <w:tc>
          <w:tcPr/>
          <w:p>
            <w:pPr>
              <w:pStyle w:val="Compact"/>
              <w:jc w:val="left"/>
            </w:pPr>
            <w:r>
              <w:t xml:space="preserve">132,4</w:t>
            </w:r>
          </w:p>
        </w:tc>
      </w:tr>
    </w:tbl>
    <w:bookmarkEnd w:id="29"/>
    <w:bookmarkStart w:id="30" w:name="foros-y-sentimiento"/>
    <w:p>
      <w:pPr>
        <w:pStyle w:val="Heading2"/>
      </w:pPr>
      <w:r>
        <w:t xml:space="preserve">10. Foros y sentimiento</w:t>
      </w:r>
    </w:p>
    <w:p>
      <w:pPr>
        <w:numPr>
          <w:ilvl w:val="0"/>
          <w:numId w:val="1008"/>
        </w:numPr>
        <w:pStyle w:val="Compact"/>
      </w:pPr>
      <w:r>
        <w:rPr>
          <w:bCs/>
          <w:b/>
        </w:rPr>
        <w:t xml:space="preserve">Prensa financiera</w:t>
      </w:r>
      <w:r>
        <w:t xml:space="preserve">: tras los resultados de junio y de septiembre, la acción cayó a pesar de batir: «Why Credo Technology sank this week» (Motley Fool, −29,5 % en la semana del 1T FY27), «Credo Technology stock drops 9% despite top and bottom line Q1 beat» (TIKR). La explicación más repetida: la acción había subido mucho antes y un margen bruto una décima por debajo de lo esperado no bastaba [8].</w:t>
      </w:r>
    </w:p>
    <w:p>
      <w:pPr>
        <w:numPr>
          <w:ilvl w:val="0"/>
          <w:numId w:val="1008"/>
        </w:numPr>
        <w:pStyle w:val="Compact"/>
      </w:pPr>
      <w:r>
        <w:rPr>
          <w:bCs/>
          <w:b/>
        </w:rPr>
        <w:t xml:space="preserve">Analistas</w:t>
      </w:r>
      <w:r>
        <w:t xml:space="preserve">: 19 de 20 recomiendan comprar, con un objetivo medio de 279 USD, un 56 % sobre el cierre. Pero en septiembre casi todos recortaron el objetivo [6].</w:t>
      </w:r>
    </w:p>
    <w:p>
      <w:pPr>
        <w:numPr>
          <w:ilvl w:val="0"/>
          <w:numId w:val="1008"/>
        </w:numPr>
        <w:pStyle w:val="Compact"/>
      </w:pPr>
      <w:r>
        <w:rPr>
          <w:bCs/>
          <w:b/>
        </w:rPr>
        <w:t xml:space="preserve">Foros</w:t>
      </w:r>
      <w:r>
        <w:t xml:space="preserve">: Stocktwits estaba «extremadamente alcista» antes de los resultados de junio. En Seeking Alpha y Substack dominan las tesis alcistas («la plataforma de conexión de la IA»), con alguna duda sobre la amenaza de la óptica (LionHQ). En Reddit, Rankia e Investing.com ES no encontré hilos recientes indexados; es una laguna [9].</w:t>
      </w:r>
    </w:p>
    <w:p>
      <w:pPr>
        <w:numPr>
          <w:ilvl w:val="0"/>
          <w:numId w:val="1008"/>
        </w:numPr>
        <w:pStyle w:val="Compact"/>
      </w:pPr>
      <w:r>
        <w:rPr>
          <w:bCs/>
          <w:b/>
        </w:rPr>
        <w:t xml:space="preserve">Lectura</w:t>
      </w:r>
      <w:r>
        <w:t xml:space="preserve">: el sentimiento ha pasado de eufórico en junio a nervioso. La caída del 14-oct (−9,6 %) fue de todo el sector de conectividad para IA (Astera −7,7 %, Marvell −8,7 %, Lumentum −9,3 %), no de Credo en particular. No hay euforia que vete, pero tampoco un giro a mejor.</w:t>
      </w:r>
    </w:p>
    <w:p>
      <w:pPr>
        <w:numPr>
          <w:ilvl w:val="0"/>
          <w:numId w:val="1008"/>
        </w:numPr>
        <w:pStyle w:val="Compact"/>
      </w:pPr>
      <w:r>
        <w:rPr>
          <w:bCs/>
          <w:b/>
        </w:rPr>
        <w:t xml:space="preserve">Riesgo de la IA para el negocio</w:t>
      </w:r>
      <w:r>
        <w:t xml:space="preserve">: bajo como amenaza directa, porque la IA no sustituye un chip de conexión. Muy alto como dependencia: casi todas las ventas vienen de centros de datos de IA, y unos pocos hiperescaladores deciden. El riesgo técnico es que la óptica junto al chip (CPO) o los cables de LED de otros sustituyan al cobre. Credo cubre esa salida con la óptica y los ALC, pero ahí no es líder.</w:t>
      </w:r>
    </w:p>
    <w:bookmarkEnd w:id="30"/>
    <w:bookmarkStart w:id="31" w:name="riesgos-y-qué-rompería-la-tesis"/>
    <w:p>
      <w:pPr>
        <w:pStyle w:val="Heading2"/>
      </w:pPr>
      <w:r>
        <w:t xml:space="preserve">11. Riesgos y qué rompería la tesis</w:t>
      </w:r>
    </w:p>
    <w:p>
      <w:pPr>
        <w:numPr>
          <w:ilvl w:val="0"/>
          <w:numId w:val="1009"/>
        </w:numPr>
        <w:pStyle w:val="Compact"/>
      </w:pPr>
      <w:r>
        <w:rPr>
          <w:bCs/>
          <w:b/>
        </w:rPr>
        <w:t xml:space="preserve">Clientes muy concentrados</w:t>
      </w:r>
      <w:r>
        <w:t xml:space="preserve">: por cliente final, el mayor es el 33 % de las ventas del trimestre y los dos mayores, el 61 %. Los cuatro mayores suman el 84 %. Perder uno costaría entre un 10 % y un 33 % de las ventas.</w:t>
      </w:r>
    </w:p>
    <w:p>
      <w:pPr>
        <w:numPr>
          <w:ilvl w:val="0"/>
          <w:numId w:val="1009"/>
        </w:numPr>
        <w:pStyle w:val="Compact"/>
      </w:pPr>
      <w:r>
        <w:rPr>
          <w:bCs/>
          <w:b/>
        </w:rPr>
        <w:t xml:space="preserve">Desaceleración y múltiplo</w:t>
      </w:r>
      <w:r>
        <w:t xml:space="preserve">: el precio necesita que el crecimiento siga muy alto. Si el FY28 crece un 30 % en lugar de un 55 %, el múltiplo bajaría a la vez que las ventas.</w:t>
      </w:r>
    </w:p>
    <w:p>
      <w:pPr>
        <w:numPr>
          <w:ilvl w:val="0"/>
          <w:numId w:val="1009"/>
        </w:numPr>
        <w:pStyle w:val="Compact"/>
      </w:pPr>
      <w:r>
        <w:rPr>
          <w:bCs/>
          <w:b/>
        </w:rPr>
        <w:t xml:space="preserve">Competencia</w:t>
      </w:r>
      <w:r>
        <w:t xml:space="preserve">: Marvell, Broadcom y Astera Labs entran en AEC; los hiperescaladores pueden pedir precios más bajos.</w:t>
      </w:r>
    </w:p>
    <w:p>
      <w:pPr>
        <w:numPr>
          <w:ilvl w:val="0"/>
          <w:numId w:val="1009"/>
        </w:numPr>
        <w:pStyle w:val="Compact"/>
      </w:pPr>
      <w:r>
        <w:rPr>
          <w:bCs/>
          <w:b/>
        </w:rPr>
        <w:t xml:space="preserve">Pagos en acciones</w:t>
      </w:r>
      <w:r>
        <w:t xml:space="preserve">: del 15 % al 20 % de las ventas. La caja libre real para el accionista es menor de lo que parece.</w:t>
      </w:r>
    </w:p>
    <w:p>
      <w:pPr>
        <w:numPr>
          <w:ilvl w:val="0"/>
          <w:numId w:val="1009"/>
        </w:numPr>
        <w:pStyle w:val="Compact"/>
      </w:pPr>
      <w:r>
        <w:rPr>
          <w:bCs/>
          <w:b/>
        </w:rPr>
        <w:t xml:space="preserve">Compras caras</w:t>
      </w:r>
      <w:r>
        <w:t xml:space="preserve">: 1.300 M por DustPhotonics, con 300 M aún por pagar en acciones si cumple objetivos.</w:t>
      </w:r>
    </w:p>
    <w:p>
      <w:pPr>
        <w:numPr>
          <w:ilvl w:val="0"/>
          <w:numId w:val="1009"/>
        </w:numPr>
        <w:pStyle w:val="Compact"/>
      </w:pPr>
      <w:r>
        <w:rPr>
          <w:bCs/>
          <w:b/>
        </w:rPr>
        <w:t xml:space="preserve">Ventas de los directivos</w:t>
      </w:r>
      <w:r>
        <w:t xml:space="preserve">: constantes y por importes altos.</w:t>
      </w:r>
    </w:p>
    <w:p>
      <w:pPr>
        <w:numPr>
          <w:ilvl w:val="0"/>
          <w:numId w:val="1009"/>
        </w:numPr>
        <w:pStyle w:val="Compact"/>
      </w:pPr>
      <w:r>
        <w:rPr>
          <w:bCs/>
          <w:b/>
        </w:rPr>
        <w:t xml:space="preserve">Aranceles</w:t>
      </w:r>
      <w:r>
        <w:t xml:space="preserve">: la empresa dice que su guía depende de un régimen de aranceles «cambiante».</w:t>
      </w:r>
    </w:p>
    <w:p>
      <w:pPr>
        <w:pStyle w:val="FirstParagraph"/>
      </w:pPr>
      <w:r>
        <w:rPr>
          <w:bCs/>
          <w:b/>
        </w:rPr>
        <w:t xml:space="preserve">Señales de venta concretas</w:t>
      </w:r>
      <w:r>
        <w:t xml:space="preserve"> </w:t>
      </w:r>
      <w:r>
        <w:t xml:space="preserve">(si se tuviera): crecimiento por debajo del 50 % en el 2T o 3T FY27, perder a un cliente de más del 10 %, que el margen bruto ajustado baje del 63 % o que las ventas ópticas no lleguen a 600 M en el FY27.</w:t>
      </w:r>
    </w:p>
    <w:p>
      <w:pPr>
        <w:pStyle w:val="BodyText"/>
      </w:pPr>
      <w:r>
        <w:rPr>
          <w:bCs/>
          <w:b/>
        </w:rPr>
        <w:t xml:space="preserve">Robustez</w:t>
      </w:r>
      <w:r>
        <w:t xml:space="preserve"> </w:t>
      </w:r>
      <w:r>
        <w:t xml:space="preserve">(</w:t>
      </w:r>
      <w:r>
        <w:rPr>
          <w:rStyle w:val="VerbatimChar"/>
        </w:rPr>
        <w:t xml:space="preserve">node herramientas/robustez-growth.mjs credo-2026-10-15 --precios</w:t>
      </w:r>
      <w:r>
        <w:t xml:space="preserve">).</w:t>
      </w:r>
      <w:r>
        <w:t xml:space="preserve"> </w:t>
      </w:r>
      <w:r>
        <w:rPr>
          <w:bCs/>
          <w:b/>
        </w:rPr>
        <w:t xml:space="preserve">Veredicto: FRÁGIL; señal robusta: Vender.</w:t>
      </w:r>
      <w:r>
        <w:t xml:space="preserve"> </w:t>
      </w:r>
      <w:r>
        <w:t xml:space="preserve">«Frágil» quiere decir que una variante cambia la señal, no que se acerque a Comprar: con las ventas del informe (4.000 M en el base) la ponderada sube al −9,3 % y pasa a Mantener. Ninguna variante da Comprar. Las probabilidades más prudentes la empeoran al −23,3 %.</w:t>
      </w:r>
      <w:r>
        <w:t xml:space="preserve"> </w:t>
      </w:r>
      <w:r>
        <w:t xml:space="preserve">-</w:t>
      </w:r>
      <w:r>
        <w:t xml:space="preserve"> </w:t>
      </w:r>
      <w:r>
        <w:rPr>
          <w:bCs/>
          <w:b/>
        </w:rPr>
        <w:t xml:space="preserve">Alerta de</w:t>
      </w:r>
      <w:r>
        <w:rPr>
          <w:bCs/>
          <w:b/>
        </w:rPr>
        <w:t xml:space="preserve"> </w:t>
      </w:r>
      <w:r>
        <w:rPr>
          <w:rStyle w:val="VerbatimChar"/>
          <w:bCs/>
          <w:b/>
        </w:rPr>
        <w:t xml:space="preserve">calc.alertas</w:t>
      </w:r>
      <w:r>
        <w:rPr>
          <w:bCs/>
          <w:b/>
        </w:rPr>
        <w:t xml:space="preserve">: «Exceso sobre la guía de 25,9 pp: el recorte por la guía casi no actúa».</w:t>
      </w:r>
      <w:r>
        <w:t xml:space="preserve"> </w:t>
      </w:r>
      <w:r>
        <w:t xml:space="preserve">El exceso medio viene de dos trimestres de 2025 en los que la empresa batió por casi 50 puntos; en los dos últimos, solo por 4.</w:t>
      </w:r>
      <w:r>
        <w:t xml:space="preserve"> </w:t>
      </w:r>
      <w:r>
        <w:rPr>
          <w:bCs/>
          <w:b/>
        </w:rPr>
        <w:t xml:space="preserve">No debilita la señal</w:t>
      </w:r>
      <w:r>
        <w:t xml:space="preserve">: aunque el exceso fuera 0, guía (85 %) sigue por encima del tope del 60 % de la proyección mecánica, así que el recorte no actuaría de ninguna manera. Y la proyección base (3.844 M) queda un 1 % por debajo del consenso.</w:t>
      </w:r>
      <w:r>
        <w:t xml:space="preserve"> </w:t>
      </w:r>
      <w:r>
        <w:t xml:space="preserve">-</w:t>
      </w:r>
      <w:r>
        <w:t xml:space="preserve"> </w:t>
      </w:r>
      <w:r>
        <w:rPr>
          <w:bCs/>
          <w:b/>
        </w:rPr>
        <w:t xml:space="preserve">Alerta de</w:t>
      </w:r>
      <w:r>
        <w:rPr>
          <w:bCs/>
          <w:b/>
        </w:rPr>
        <w:t xml:space="preserve"> </w:t>
      </w:r>
      <w:r>
        <w:rPr>
          <w:rStyle w:val="VerbatimChar"/>
          <w:bCs/>
          <w:b/>
        </w:rPr>
        <w:t xml:space="preserve">calc.alertas</w:t>
      </w:r>
      <w:r>
        <w:rPr>
          <w:bCs/>
          <w:b/>
        </w:rPr>
        <w:t xml:space="preserve">: «Dos clientes suman el 61 % de las ventas».</w:t>
      </w:r>
      <w:r>
        <w:t xml:space="preserve"> </w:t>
      </w:r>
      <w:r>
        <w:rPr>
          <w:bCs/>
          <w:b/>
        </w:rPr>
        <w:t xml:space="preserve">Refuerza la señal</w:t>
      </w:r>
      <w:r>
        <w:t xml:space="preserve">: el método no puntúa la concentración, y aquí es extrema. Es una razón más para no pagar un múltiplo alto, no para comprar.</w:t>
      </w:r>
      <w:r>
        <w:t xml:space="preserve"> </w:t>
      </w:r>
      <w:r>
        <w:t xml:space="preserve">-</w:t>
      </w:r>
      <w:r>
        <w:t xml:space="preserve"> </w:t>
      </w:r>
      <w:r>
        <w:rPr>
          <w:bCs/>
          <w:b/>
        </w:rPr>
        <w:t xml:space="preserve">G2 (el objetivo se mueve con el precio)</w:t>
      </w:r>
      <w:r>
        <w:t xml:space="preserve">: al precio actual se deja fijo el objetivo de 154,2 USD: −11,6 % a 174,50 USD. El límite sigue en 132,4 USD.</w:t>
      </w:r>
      <w:r>
        <w:t xml:space="preserve"> </w:t>
      </w:r>
      <w:r>
        <w:t xml:space="preserve">-</w:t>
      </w:r>
      <w:r>
        <w:t xml:space="preserve"> </w:t>
      </w:r>
      <w:r>
        <w:rPr>
          <w:bCs/>
          <w:b/>
        </w:rPr>
        <w:t xml:space="preserve">G6 (bajista del −63 %)</w:t>
      </w:r>
      <w:r>
        <w:t xml:space="preserve">: muy por debajo del −50 % que pide el método. Ojo: el bajista mecánico supone que las ventas de los próximos 12 meses crecen solo un 30 %, cuando la empresa guía un 85 % para el ejercicio en curso. Es duro, pero con ventas del informe (3.000 M) el bajista seguiría cerca del −57 %.</w:t>
      </w:r>
    </w:p>
    <w:p>
      <w:pPr>
        <w:pStyle w:val="BodyText"/>
      </w:pPr>
      <w:r>
        <w:rPr>
          <w:bCs/>
          <w:b/>
        </w:rPr>
        <w:t xml:space="preserve">Filtro previo</w:t>
      </w:r>
      <w:r>
        <w:t xml:space="preserve"> </w:t>
      </w:r>
      <w:r>
        <w:t xml:space="preserve">(</w:t>
      </w:r>
      <w:r>
        <w:rPr>
          <w:rStyle w:val="VerbatimChar"/>
        </w:rPr>
        <w:t xml:space="preserve">verticales/growth/filtro-previo.md</w:t>
      </w:r>
      <w:r>
        <w:t xml:space="preserve">): con los datos completos, Credo pasa las cuatro pruebas. A, crecimiento de 12 meses del 165 % (orgánico). B, no aplica: no se valora por EBITDA porque no tiene historia. C, el mayor cliente es el 33 %, por debajo del 40 % (aunque los dos mayores suman el 61 %). D, el precio descuenta un 25 % anual, solo 0,15 veces el crecimiento actual.</w:t>
      </w:r>
      <w:r>
        <w:t xml:space="preserve"> </w:t>
      </w:r>
      <w:r>
        <w:rPr>
          <w:bCs/>
          <w:b/>
        </w:rPr>
        <w:t xml:space="preserve">Aun así da Vender</w:t>
      </w:r>
      <w:r>
        <w:t xml:space="preserve">: la prueba D divide por el crecimiento de hoy (165 %), y el que el método usa para valorar es el del año objetivo (32 %). Ver «Mejora de método».</w:t>
      </w:r>
    </w:p>
    <w:bookmarkEnd w:id="31"/>
    <w:bookmarkStart w:id="32" w:name="catalizadores-con-fecha"/>
    <w:p>
      <w:pPr>
        <w:pStyle w:val="Heading2"/>
      </w:pPr>
      <w:r>
        <w:t xml:space="preserve">12. Catalizadores con fecha</w:t>
      </w:r>
    </w:p>
    <w:p>
      <w:pPr>
        <w:numPr>
          <w:ilvl w:val="0"/>
          <w:numId w:val="1010"/>
        </w:numPr>
        <w:pStyle w:val="Compact"/>
      </w:pPr>
      <w:r>
        <w:rPr>
          <w:bCs/>
          <w:b/>
        </w:rPr>
        <w:t xml:space="preserve">~1-dic-2026</w:t>
      </w:r>
      <w:r>
        <w:t xml:space="preserve"> </w:t>
      </w:r>
      <w:r>
        <w:t xml:space="preserve">(fecha estimada, sin confirmar): resultados del 2T FY27 y guía del 3T. Dirá si llega la aceleración prometida para la segunda mitad y cómo van la óptica y los clientes nuevos.</w:t>
      </w:r>
    </w:p>
    <w:p>
      <w:pPr>
        <w:numPr>
          <w:ilvl w:val="0"/>
          <w:numId w:val="1010"/>
        </w:numPr>
        <w:pStyle w:val="Compact"/>
      </w:pPr>
      <w:r>
        <w:rPr>
          <w:bCs/>
          <w:b/>
        </w:rPr>
        <w:t xml:space="preserve">Octubre de 2026</w:t>
      </w:r>
      <w:r>
        <w:t xml:space="preserve">: demostraciones de los cables de LED (ALC) en el OCP Global Summit.</w:t>
      </w:r>
    </w:p>
    <w:p>
      <w:pPr>
        <w:numPr>
          <w:ilvl w:val="0"/>
          <w:numId w:val="1010"/>
        </w:numPr>
        <w:pStyle w:val="Compact"/>
      </w:pPr>
      <w:r>
        <w:rPr>
          <w:bCs/>
          <w:b/>
        </w:rPr>
        <w:t xml:space="preserve">Segunda mitad del FY27 (noviembre de 2026 a abril de 2027)</w:t>
      </w:r>
      <w:r>
        <w:t xml:space="preserve">: primeras ventas del DSP de 1,6T y arranque de dos grandes diseños de PIC.</w:t>
      </w:r>
    </w:p>
    <w:p>
      <w:pPr>
        <w:numPr>
          <w:ilvl w:val="0"/>
          <w:numId w:val="1010"/>
        </w:numPr>
        <w:pStyle w:val="Compact"/>
      </w:pPr>
      <w:r>
        <w:rPr>
          <w:bCs/>
          <w:b/>
        </w:rPr>
        <w:t xml:space="preserve">Riesgo con fecha</w:t>
      </w:r>
      <w:r>
        <w:t xml:space="preserve">: resultados de Nvidia (finales de noviembre) y presupuestos de inversión de los hiperescaladores para 2027 (enero y febrero).</w:t>
      </w:r>
    </w:p>
    <w:bookmarkEnd w:id="32"/>
    <w:bookmarkStart w:id="33" w:name="encaje-en-cartera"/>
    <w:p>
      <w:pPr>
        <w:pStyle w:val="Heading2"/>
      </w:pPr>
      <w:r>
        <w:t xml:space="preserve">13. Encaje en cartera</w:t>
      </w:r>
    </w:p>
    <w:p>
      <w:pPr>
        <w:numPr>
          <w:ilvl w:val="0"/>
          <w:numId w:val="1011"/>
        </w:numPr>
        <w:pStyle w:val="Compact"/>
      </w:pPr>
      <w:r>
        <w:rPr>
          <w:bCs/>
          <w:b/>
        </w:rPr>
        <w:t xml:space="preserve">Bolsillo growth: LLENO</w:t>
      </w:r>
      <w:r>
        <w:t xml:space="preserve"> </w:t>
      </w:r>
      <w:r>
        <w:t xml:space="preserve">(~20 %): Nu (+22 %), Axon (+35 %), Shopify (+19 %), Snowflake (+16 %) y Samsara (+17 %), al precio actual con v11 [cartera-growth.md]. Sin liquidez libre: solo cabe sustituir.</w:t>
      </w:r>
    </w:p>
    <w:p>
      <w:pPr>
        <w:numPr>
          <w:ilvl w:val="0"/>
          <w:numId w:val="1011"/>
        </w:numPr>
        <w:pStyle w:val="Compact"/>
      </w:pPr>
      <w:r>
        <w:rPr>
          <w:bCs/>
          <w:b/>
        </w:rPr>
        <w:t xml:space="preserve">Credo no sustituye a ninguna</w:t>
      </w:r>
      <w:r>
        <w:t xml:space="preserve">: es Vender (ponderada −14,0 % al cierre del 14-oct y −11,6 % al precio actual con el objetivo fijo). Las cinco de la cartera tienen rentabilidad esperada positiva.</w:t>
      </w:r>
    </w:p>
    <w:p>
      <w:pPr>
        <w:numPr>
          <w:ilvl w:val="0"/>
          <w:numId w:val="1011"/>
        </w:numPr>
        <w:pStyle w:val="Compact"/>
      </w:pPr>
      <w:r>
        <w:rPr>
          <w:bCs/>
          <w:b/>
        </w:rPr>
        <w:t xml:space="preserve">Suplentes</w:t>
      </w:r>
      <w:r>
        <w:t xml:space="preserve">: no entra en la lista (MongoDB, Toast, Zscaler, dLocal, Dexcom, argenx, Datadog, Saab, Natera, Ypsomed), porque todas son Comprar. Queda en</w:t>
      </w:r>
      <w:r>
        <w:t xml:space="preserve"> </w:t>
      </w:r>
      <w:r>
        <w:rPr>
          <w:bCs/>
          <w:b/>
        </w:rPr>
        <w:t xml:space="preserve">No comprar</w:t>
      </w:r>
      <w:r>
        <w:t xml:space="preserve">, junto a Celestica, otra empresa de infraestructura de IA cara frente a su desaceleración. Pasaría a Comprar por debajo de 132 USD (un 26 % menos que el cierre) con los mismos datos.</w:t>
      </w:r>
    </w:p>
    <w:p>
      <w:pPr>
        <w:numPr>
          <w:ilvl w:val="0"/>
          <w:numId w:val="1011"/>
        </w:numPr>
        <w:pStyle w:val="Compact"/>
      </w:pPr>
      <w:r>
        <w:rPr>
          <w:bCs/>
          <w:b/>
        </w:rPr>
        <w:t xml:space="preserve">Exposición a IA</w:t>
      </w:r>
      <w:r>
        <w:t xml:space="preserve">: con Alphabet vendida mañana (que no cuenta como exposición a IA de la cartera), la IA del bolsillo growth queda en Snowflake, por los datos. Credo añadiría la parte física (conexión dentro de los centros de datos), que la cartera no tiene. Es un argumento de diversificación, pero no basta para saltarse la regla.</w:t>
      </w:r>
    </w:p>
    <w:p>
      <w:pPr>
        <w:numPr>
          <w:ilvl w:val="0"/>
          <w:numId w:val="1011"/>
        </w:numPr>
        <w:pStyle w:val="Compact"/>
      </w:pPr>
      <w:r>
        <w:rPr>
          <w:bCs/>
          <w:b/>
        </w:rPr>
        <w:t xml:space="preserve">Preferencias de</w:t>
      </w:r>
      <w:r>
        <w:rPr>
          <w:bCs/>
          <w:b/>
        </w:rPr>
        <w:t xml:space="preserve"> </w:t>
      </w:r>
      <w:r>
        <w:rPr>
          <w:rStyle w:val="VerbatimChar"/>
          <w:bCs/>
          <w:b/>
        </w:rPr>
        <w:t xml:space="preserve">MEMORIA.md</w:t>
      </w:r>
      <w:r>
        <w:t xml:space="preserve">: cumple (no es juego, ni comercio minorista, ni ninguna de las excluidas). Si un día entrara, sería con convicción baja (3,5 %), en dos tramos.</w:t>
      </w:r>
    </w:p>
    <w:p>
      <w:pPr>
        <w:numPr>
          <w:ilvl w:val="0"/>
          <w:numId w:val="1011"/>
        </w:numPr>
        <w:pStyle w:val="Compact"/>
      </w:pPr>
      <w:r>
        <w:t xml:space="preserve">No hay órdenes: regla dura del usuario (no se emite ninguna orden salvo que él la pida explícitamente en el chat y la confirme).</w:t>
      </w:r>
    </w:p>
    <w:bookmarkEnd w:id="33"/>
    <w:bookmarkStart w:id="34"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16,7</w:t>
            </w:r>
          </w:p>
        </w:tc>
        <w:tc>
          <w:tcPr/>
          <w:p>
            <w:pPr>
              <w:pStyle w:val="Compact"/>
              <w:jc w:val="left"/>
            </w:pPr>
            <w:r>
              <w:t xml:space="preserve">25</w:t>
            </w:r>
          </w:p>
        </w:tc>
        <w:tc>
          <w:tcPr/>
          <w:p>
            <w:pPr>
              <w:pStyle w:val="Compact"/>
              <w:jc w:val="left"/>
            </w:pPr>
            <w:r>
              <w:t xml:space="preserve">+165 % en 12 meses y 170 % compuesto, pero desacelera 111 puntos</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c>
          <w:tcPr/>
          <w:p>
            <w:pPr>
              <w:pStyle w:val="Compact"/>
              <w:jc w:val="left"/>
            </w:pPr>
            <w:r>
              <w:t xml:space="preserve">Penetración del 6,4 %; tecnología 4, posición 4</w:t>
            </w:r>
          </w:p>
        </w:tc>
      </w:tr>
      <w:tr>
        <w:tc>
          <w:tcPr/>
          <w:p>
            <w:pPr>
              <w:pStyle w:val="Compact"/>
              <w:jc w:val="left"/>
            </w:pPr>
            <w:r>
              <w:t xml:space="preserve">C. Cambio de tendencia</w:t>
            </w:r>
          </w:p>
        </w:tc>
        <w:tc>
          <w:tcPr/>
          <w:p>
            <w:pPr>
              <w:pStyle w:val="Compact"/>
              <w:jc w:val="left"/>
            </w:pPr>
            <w:r>
              <w:t xml:space="preserve">7,5</w:t>
            </w:r>
          </w:p>
        </w:tc>
        <w:tc>
          <w:tcPr/>
          <w:p>
            <w:pPr>
              <w:pStyle w:val="Compact"/>
              <w:jc w:val="left"/>
            </w:pPr>
            <w:r>
              <w:t xml:space="preserve">20</w:t>
            </w:r>
          </w:p>
        </w:tc>
        <w:tc>
          <w:tcPr/>
          <w:p>
            <w:pPr>
              <w:pStyle w:val="Compact"/>
              <w:jc w:val="left"/>
            </w:pPr>
            <w:r>
              <w:t xml:space="preserve">3 de 8 (revisiones, múltiplo, catalizador)</w:t>
            </w:r>
          </w:p>
        </w:tc>
      </w:tr>
      <w:tr>
        <w:tc>
          <w:tcPr/>
          <w:p>
            <w:pPr>
              <w:pStyle w:val="Compact"/>
              <w:jc w:val="left"/>
            </w:pPr>
            <w:r>
              <w:t xml:space="preserve">D. Economía unitaria</w:t>
            </w:r>
          </w:p>
        </w:tc>
        <w:tc>
          <w:tcPr/>
          <w:p>
            <w:pPr>
              <w:pStyle w:val="Compact"/>
              <w:jc w:val="left"/>
            </w:pPr>
            <w:r>
              <w:t xml:space="preserve">14,0</w:t>
            </w:r>
          </w:p>
        </w:tc>
        <w:tc>
          <w:tcPr/>
          <w:p>
            <w:pPr>
              <w:pStyle w:val="Compact"/>
              <w:jc w:val="left"/>
            </w:pPr>
            <w:r>
              <w:t xml:space="preserve">15</w:t>
            </w:r>
          </w:p>
        </w:tc>
        <w:tc>
          <w:tcPr/>
          <w:p>
            <w:pPr>
              <w:pStyle w:val="Compact"/>
              <w:jc w:val="left"/>
            </w:pPr>
            <w:r>
              <w:t xml:space="preserve">Margen bruto del 67 %, regla del 40 de 193, caja libre creciente</w:t>
            </w:r>
          </w:p>
        </w:tc>
      </w:tr>
      <w:tr>
        <w:tc>
          <w:tcPr/>
          <w:p>
            <w:pPr>
              <w:pStyle w:val="Compact"/>
              <w:jc w:val="left"/>
            </w:pPr>
            <w:r>
              <w:t xml:space="preserve">E. Caja y dilución</w:t>
            </w:r>
          </w:p>
        </w:tc>
        <w:tc>
          <w:tcPr/>
          <w:p>
            <w:pPr>
              <w:pStyle w:val="Compact"/>
              <w:jc w:val="left"/>
            </w:pPr>
            <w:r>
              <w:t xml:space="preserve">6,0</w:t>
            </w:r>
          </w:p>
        </w:tc>
        <w:tc>
          <w:tcPr/>
          <w:p>
            <w:pPr>
              <w:pStyle w:val="Compact"/>
              <w:jc w:val="left"/>
            </w:pPr>
            <w:r>
              <w:t xml:space="preserve">10</w:t>
            </w:r>
          </w:p>
        </w:tc>
        <w:tc>
          <w:tcPr/>
          <w:p>
            <w:pPr>
              <w:pStyle w:val="Compact"/>
              <w:jc w:val="left"/>
            </w:pPr>
            <w:r>
              <w:t xml:space="preserve">Caja libre positiva; dilución del 5,3 %</w:t>
            </w:r>
          </w:p>
        </w:tc>
      </w:tr>
      <w:tr>
        <w:tc>
          <w:tcPr/>
          <w:p>
            <w:pPr>
              <w:pStyle w:val="Compact"/>
              <w:jc w:val="left"/>
            </w:pPr>
            <w:r>
              <w:t xml:space="preserve">F. Ejecución y dirección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Historial 5, dirección 3</w:t>
            </w:r>
          </w:p>
        </w:tc>
      </w:tr>
      <w:tr>
        <w:tc>
          <w:tcPr/>
          <w:p>
            <w:pPr>
              <w:pStyle w:val="Compact"/>
              <w:jc w:val="left"/>
            </w:pPr>
            <w:r>
              <w:rPr>
                <w:bCs/>
                <w:b/>
              </w:rPr>
              <w:t xml:space="preserve">Total</w:t>
            </w:r>
          </w:p>
        </w:tc>
        <w:tc>
          <w:tcPr/>
          <w:p>
            <w:pPr>
              <w:pStyle w:val="Compact"/>
              <w:jc w:val="left"/>
            </w:pPr>
            <w:r>
              <w:rPr>
                <w:bCs/>
                <w:b/>
              </w:rPr>
              <w:t xml:space="preserve">66,8</w:t>
            </w:r>
          </w:p>
        </w:tc>
        <w:tc>
          <w:tcPr/>
          <w:p>
            <w:pPr>
              <w:pStyle w:val="Compact"/>
              <w:jc w:val="left"/>
            </w:pPr>
            <w:r>
              <w:t xml:space="preserve">100</w:t>
            </w:r>
          </w:p>
        </w:tc>
        <w:tc>
          <w:tcPr/>
          <w:p>
            <w:pPr>
              <w:pStyle w:val="Compact"/>
              <w:jc w:val="left"/>
            </w:pPr>
            <w:r>
              <w:t xml:space="preserve">Por encima del mínimo de 60; lo que falla es el precio</w:t>
            </w:r>
          </w:p>
        </w:tc>
      </w:tr>
    </w:tbl>
    <w:bookmarkEnd w:id="34"/>
    <w:bookmarkStart w:id="35" w:name="mejora-de-método-propuesta"/>
    <w:p>
      <w:pPr>
        <w:pStyle w:val="Heading2"/>
      </w:pPr>
      <w:r>
        <w:t xml:space="preserve">Mejora de método propuesta</w:t>
      </w:r>
    </w:p>
    <w:p>
      <w:pPr>
        <w:numPr>
          <w:ilvl w:val="0"/>
          <w:numId w:val="1012"/>
        </w:numPr>
        <w:pStyle w:val="Compact"/>
      </w:pPr>
      <w:r>
        <w:rPr>
          <w:bCs/>
          <w:b/>
        </w:rPr>
        <w:t xml:space="preserve">Prueba D del filtro previo con el crecimiento del año objetivo.</w:t>
      </w:r>
      <w:r>
        <w:t xml:space="preserve"> </w:t>
      </w:r>
      <w:r>
        <w:t xml:space="preserve">Credo pasó el filtro porque la prueba D divide el crecimiento que descuenta el precio (25 %) por el de los últimos 12 meses (165 %), pero el motor valora con el crecimiento del año objetivo (32 %) y rebaja el múltiplo hasta un 30 %. Con 25 / 32 = 0,77 estaría al borde del 0,8. Propuesta: en la prueba D, cuando el crecimiento pasa del 60 % (el tope de la proyección), dividir por el menor entre el de 12 meses y el consenso del segundo año. Se valida con las próximas tandas, como el resto del filtro.</w:t>
      </w:r>
    </w:p>
    <w:p>
      <w:pPr>
        <w:numPr>
          <w:ilvl w:val="0"/>
          <w:numId w:val="1012"/>
        </w:numPr>
        <w:pStyle w:val="Compact"/>
      </w:pPr>
      <w:r>
        <w:rPr>
          <w:bCs/>
          <w:b/>
        </w:rPr>
        <w:t xml:space="preserve">Bajista mecánico por debajo de la guía del año en curso.</w:t>
      </w:r>
      <w:r>
        <w:t xml:space="preserve"> </w:t>
      </w:r>
      <w:r>
        <w:t xml:space="preserve">El bajista supone un 30 % para los próximos 12 meses cuando la empresa guía un 85 % para el ejercicio en curso, con un trimestre ya cobrado. No propongo cambiarlo (sería menos prudente y no hay casos en el backtest), pero conviene anotarlo como alerta: «bajista de 12 meses por debajo de la mitad de la guía anual».</w:t>
      </w:r>
    </w:p>
    <w:bookmarkEnd w:id="35"/>
    <w:bookmarkStart w:id="36" w:name="fuentes"/>
    <w:p>
      <w:pPr>
        <w:pStyle w:val="Heading2"/>
      </w:pPr>
      <w:r>
        <w:t xml:space="preserve">Fuentes</w:t>
      </w:r>
    </w:p>
    <w:p>
      <w:pPr>
        <w:pStyle w:val="FirstParagraph"/>
      </w:pPr>
      <w:r>
        <w:t xml:space="preserve">[1] Credo, nota de resultados del 1T FY27 (8-K, ex. 99.1, 1-sep-2026, SEC EDGAR) y notas del 4T FY26 (1-jun-2026), 3T FY26 (2-mar-2026), 1T FY26 (3-sep-2025) y aviso previo del 9-feb-2026.</w:t>
      </w:r>
      <w:r>
        <w:t xml:space="preserve"> </w:t>
      </w:r>
      <w:r>
        <w:t xml:space="preserve">[2] Credo, 10-Q del 1T FY27 (2-sep-2026), 10-K del FY26 (15-jun-2026) y XBRL companyfacts de la SEC: cuentas trimestrales, clientes por encima del 10 %, compras de DustPhotonics, Comira e Hyperlume, flujo de caja y pagos en acciones.</w:t>
      </w:r>
      <w:r>
        <w:t xml:space="preserve"> </w:t>
      </w:r>
      <w:r>
        <w:t xml:space="preserve">[3] Credo, conferencia de resultados del 1T FY27 (1-sep-2026; transcripción en The Motley Fool, 8-sep-2026).</w:t>
      </w:r>
      <w:r>
        <w:t xml:space="preserve"> </w:t>
      </w:r>
      <w:r>
        <w:t xml:space="preserve">[4] Credo, 8-K del 13-abr-2026 (acuerdo para comprar DustPhotonics).</w:t>
      </w:r>
      <w:r>
        <w:t xml:space="preserve"> </w:t>
      </w:r>
      <w:r>
        <w:t xml:space="preserve">[5] Nasdaq.com (Zacks): previsiones y precio objetivo, 15-oct-2026.</w:t>
      </w:r>
      <w:r>
        <w:t xml:space="preserve"> </w:t>
      </w:r>
      <w:r>
        <w:t xml:space="preserve">[6] Yahoo Finance (quoteSummary), 15-oct-2026: consenso de ventas y BPA, tendencia de las estimaciones, recomendaciones, precios objetivo, operaciones de directivos e institucionales.</w:t>
      </w:r>
      <w:r>
        <w:t xml:space="preserve"> </w:t>
      </w:r>
      <w:r>
        <w:t xml:space="preserve">[7] Yahoo Finance chart API (CRDO, QQQ, SOXX, ^GSPC) y Nasdaq.com (histórico): cierre del 14-oct de 179,225 USD en ambas; último precio fuera de hora de 174,50 USD (14-oct, 23:57 UTC).</w:t>
      </w:r>
      <w:r>
        <w:t xml:space="preserve"> </w:t>
      </w:r>
      <w:r>
        <w:t xml:space="preserve">[8] The Motley Fool, TIKR, Stocktwits, Weiss Ratings y Nasdaq/Zacks (junio a octubre de 2026).</w:t>
      </w:r>
      <w:r>
        <w:t xml:space="preserve"> </w:t>
      </w:r>
      <w:r>
        <w:t xml:space="preserve">[9] Stocktwits, Seeking Alpha, LionHQ y Substack; Reddit, Rankia e Investing.com ES sin hilos recientes indexados.</w:t>
      </w:r>
      <w:r>
        <w:t xml:space="preserve"> </w:t>
      </w:r>
      <w:r>
        <w:t xml:space="preserve">[10] Cálculo propio con el XBRL y los precios: EV/ventas histórico y de comparables (aproximados).</w:t>
      </w:r>
      <w:r>
        <w:t xml:space="preserve"> </w:t>
      </w:r>
      <w:r>
        <w:t xml:space="preserve">[11] SEC EDGAR, formularios 4 y 144 de Credo (junio a octubre de 2026).</w:t>
      </w:r>
      <w:r>
        <w:t xml:space="preserve"> </w:t>
      </w:r>
      <w:r>
        <w:t xml:space="preserve">[12] Mercado alcanzable: estimación propia y en parte de memoria (LightCounting, 650 Group, la propia empresa).</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2026-10-15T06:44:54Z</dcterms:created>
  <dcterms:modified xsi:type="dcterms:W3CDTF">2026-10-15T06:44:54Z</dcterms:modified>
</cp:coreProperties>
</file>

<file path=docProps/custom.xml><?xml version="1.0" encoding="utf-8"?>
<Properties xmlns="http://schemas.openxmlformats.org/officeDocument/2006/custom-properties" xmlns:vt="http://schemas.openxmlformats.org/officeDocument/2006/docPropsVTypes"/>
</file>