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ubrik-rbrk-análisis-growth-15-oct-2026"/>
    <w:p>
      <w:pPr>
        <w:pStyle w:val="Heading1"/>
      </w:pPr>
      <w:r>
        <w:t xml:space="preserve">Rubrik (RBRK): análisis growth, 15-oct-2026</w:t>
      </w:r>
    </w:p>
    <w:p>
      <w:pPr>
        <w:pStyle w:val="FirstParagraph"/>
      </w:pPr>
      <w:r>
        <w:rPr>
          <w:bCs/>
          <w:b/>
        </w:rPr>
        <w:t xml:space="preserve">Señal (método vigente v11): Comprar (convicción media)</w:t>
      </w:r>
      <w:r>
        <w:t xml:space="preserve"> </w:t>
      </w:r>
      <w:r>
        <w:t xml:space="preserve">· Puntuación 79,3/100 · Señales de cambio de tendencia 6/8 · EV/beneficio bruto 17,9 veces</w:t>
      </w:r>
      <w:r>
        <w:t xml:space="preserve"> </w:t>
      </w:r>
      <w:r>
        <w:t xml:space="preserve">Precio 113,90 USD (cierre del 14-oct) · Objetivo 12 m 129,8 USD · Ponderada +13,9 % · Base +14,2 % · Bajista −38,2 % · Alcista +65,5 % · Compra hasta 123,6 USD</w:t>
      </w:r>
      <w:r>
        <w:t xml:space="preserve"> </w:t>
      </w:r>
      <w:r>
        <w:t xml:space="preserve">Con la v9 (referencia): Comprar (media), ponderada +27,5 %, base +31 %, bajista −37 %, compra hasta 138,3 USD</w:t>
      </w:r>
      <w:r>
        <w:t xml:space="preserve"> </w:t>
      </w:r>
      <w:r>
        <w:t xml:space="preserve">Precio actual: 111,52 USD (fuera de hora, 14-oct a las 23:49 UTC); con el objetivo fijo, ponderada +16,4 %</w:t>
      </w:r>
      <w:r>
        <w:t xml:space="preserve"> </w:t>
      </w:r>
      <w:r>
        <w:t xml:space="preserve">Peso orientativo: 4 % por la regla, pero</w:t>
      </w:r>
      <w:r>
        <w:t xml:space="preserve"> </w:t>
      </w:r>
      <w:r>
        <w:rPr>
          <w:bCs/>
          <w:b/>
        </w:rPr>
        <w:t xml:space="preserve">hoy no entra</w:t>
      </w:r>
      <w:r>
        <w:t xml:space="preserve">: el bolsillo growth está lleno y no supera a ninguna de las cinco (sección 13). Queda como</w:t>
      </w:r>
      <w:r>
        <w:t xml:space="preserve"> </w:t>
      </w:r>
      <w:r>
        <w:rPr>
          <w:bCs/>
          <w:b/>
        </w:rPr>
        <w:t xml:space="preserve">cuarta suplente</w:t>
      </w:r>
      <w:r>
        <w:t xml:space="preserve">.</w:t>
      </w:r>
      <w:r>
        <w:t xml:space="preserve"> </w:t>
      </w:r>
      <w:r>
        <w:t xml:space="preserve">Prueba de robustez:</w:t>
      </w:r>
      <w:r>
        <w:t xml:space="preserve"> </w:t>
      </w:r>
      <w:r>
        <w:rPr>
          <w:bCs/>
          <w:b/>
        </w:rPr>
        <w:t xml:space="preserve">SÓLIDA</w:t>
      </w:r>
      <w:r>
        <w:t xml:space="preserve">, Comprar con cautela y en dos tramos.</w:t>
      </w:r>
      <w:r>
        <w:t xml:space="preserve"> </w:t>
      </w:r>
      <w:r>
        <w:t xml:space="preserve">Filtro previo: las cuatro pruebas se confirman con los datos completos (sección 9).</w:t>
      </w:r>
    </w:p>
    <w:bookmarkStart w:id="20" w:name="la-tesis-en-cinco-líneas"/>
    <w:p>
      <w:pPr>
        <w:pStyle w:val="Heading2"/>
      </w:pPr>
      <w:r>
        <w:t xml:space="preserve">1. La tesis en cinco líneas</w:t>
      </w:r>
    </w:p>
    <w:p>
      <w:pPr>
        <w:numPr>
          <w:ilvl w:val="0"/>
          <w:numId w:val="1001"/>
        </w:numPr>
        <w:pStyle w:val="Compact"/>
      </w:pPr>
      <w:r>
        <w:t xml:space="preserve">Rubrik protege los datos de las empresas y los recupera limpios tras un ciberataque. Factura 1.542 M USD en 12 meses, crece un 42 %, tiene un margen bruto del 80 % y ya genera caja: FCF del 19 % de las ventas.</w:t>
      </w:r>
    </w:p>
    <w:p>
      <w:pPr>
        <w:numPr>
          <w:ilvl w:val="0"/>
          <w:numId w:val="1001"/>
        </w:numPr>
        <w:pStyle w:val="Compact"/>
      </w:pPr>
      <w:r>
        <w:t xml:space="preserve">La IA le da viento a favor por dos lados. Los ataques hechos con IA obligan a poder recuperar en minutos, y los agentes de IA de las empresas necesitan vigilancia y un botón de «deshacer», que es su producto nuevo (Agent Cloud).</w:t>
      </w:r>
    </w:p>
    <w:p>
      <w:pPr>
        <w:numPr>
          <w:ilvl w:val="0"/>
          <w:numId w:val="1001"/>
        </w:numPr>
        <w:pStyle w:val="Compact"/>
      </w:pPr>
      <w:r>
        <w:t xml:space="preserve">El crecimiento frena: la guía del segundo semestre es del 20 %. Pero Rubrik ha batido su propia guía trimestral por 11 puntos de media en el último año, y las ventas sin el efecto contable de los «derechos materiales» crecieron un 43 % en el último trimestre.</w:t>
      </w:r>
    </w:p>
    <w:p>
      <w:pPr>
        <w:numPr>
          <w:ilvl w:val="0"/>
          <w:numId w:val="1001"/>
        </w:numPr>
        <w:pStyle w:val="Compact"/>
      </w:pPr>
      <w:r>
        <w:t xml:space="preserve">La acción ha subido un 137 % en 6 meses y cotiza a 14,4 veces las ventas de los próximos 12 meses, por encima de su mediana desde la salida a bolsa (9,9 veces). Aun así, el precio solo exige crecer un 22 % al año durante 10 años, la mitad de lo que crece hoy.</w:t>
      </w:r>
    </w:p>
    <w:p>
      <w:pPr>
        <w:numPr>
          <w:ilvl w:val="0"/>
          <w:numId w:val="1001"/>
        </w:numPr>
        <w:pStyle w:val="Compact"/>
      </w:pPr>
      <w:r>
        <w:t xml:space="preserve">La regla da Comprar (media) con un margen corto: +13,9 %. No mejora a ninguna de las cinco growth de la cartera, así que queda de suplente, con entrada en dos tramos por debajo de 123,6 USD.</w:t>
      </w:r>
    </w:p>
    <w:bookmarkEnd w:id="20"/>
    <w:bookmarkStart w:id="21" w:name="negocio-y-tecnología"/>
    <w:p>
      <w:pPr>
        <w:pStyle w:val="Heading2"/>
      </w:pPr>
      <w:r>
        <w:t xml:space="preserve">2. Negocio y tecnología</w:t>
      </w:r>
    </w:p>
    <w:p>
      <w:pPr>
        <w:pStyle w:val="FirstParagraph"/>
      </w:pPr>
      <w:r>
        <w:t xml:space="preserve">Rubrik nació en 2014 como copia de seguridad para centros de datos y se ha convertido en una plataforma de</w:t>
      </w:r>
      <w:r>
        <w:t xml:space="preserve"> </w:t>
      </w:r>
      <w:r>
        <w:rPr>
          <w:bCs/>
          <w:b/>
        </w:rPr>
        <w:t xml:space="preserve">resiliencia ante ciberataques</w:t>
      </w:r>
      <w:r>
        <w:t xml:space="preserve">: guarda copias que no se pueden borrar ni cifrar, detecta qué datos se han tocado y recupera la empresa entera (datos, identidades, redes) a un punto limpio. Vende en la nube (Rubrik Security Cloud, el 89 % del ARR) y a empresas medianas y grandes, casi todo a través de distribuidores y revendedores [1][3].</w:t>
      </w:r>
    </w:p>
    <w:p>
      <w:pPr>
        <w:pStyle w:val="BodyText"/>
      </w:pPr>
      <w:r>
        <w:t xml:space="preserve">Lo nuevo:</w:t>
      </w:r>
      <w:r>
        <w:t xml:space="preserve"> </w:t>
      </w:r>
      <w:r>
        <w:rPr>
          <w:bCs/>
          <w:b/>
        </w:rPr>
        <w:t xml:space="preserve">resiliencia de identidad</w:t>
      </w:r>
      <w:r>
        <w:t xml:space="preserve"> </w:t>
      </w:r>
      <w:r>
        <w:t xml:space="preserve">(recuperar el directorio de usuarios tras un ataque; compró Strata.io en 2026),</w:t>
      </w:r>
      <w:r>
        <w:t xml:space="preserve"> </w:t>
      </w:r>
      <w:r>
        <w:rPr>
          <w:bCs/>
          <w:b/>
        </w:rPr>
        <w:t xml:space="preserve">Rubrik Agent Cloud</w:t>
      </w:r>
      <w:r>
        <w:t xml:space="preserve"> </w:t>
      </w:r>
      <w:r>
        <w:t xml:space="preserve">(vigilar, limitar y deshacer lo que hacen los agentes de IA de una empresa, con una versión para Claude Code y una alianza con Cognizant, Deloitte, HCLTech, NTT DATA y Wipro) y</w:t>
      </w:r>
      <w:r>
        <w:t xml:space="preserve"> </w:t>
      </w:r>
      <w:r>
        <w:rPr>
          <w:bCs/>
          <w:b/>
        </w:rPr>
        <w:t xml:space="preserve">Annapurna</w:t>
      </w:r>
      <w:r>
        <w:t xml:space="preserve"> </w:t>
      </w:r>
      <w:r>
        <w:t xml:space="preserve">(preparar los datos no estructurados de una empresa para la IA) [1].</w:t>
      </w:r>
    </w:p>
    <w:p>
      <w:pPr>
        <w:pStyle w:val="BodyText"/>
      </w:pPr>
      <w:r>
        <w:rPr>
          <w:bCs/>
          <w:b/>
        </w:rPr>
        <w:t xml:space="preserve">Tecnología 4/5</w:t>
      </w:r>
      <w:r>
        <w:t xml:space="preserve">: arquitectura propia, sin copias que se puedan modificar, y siete años seguidos como líder del cuadrante de Gartner. Pero Cohesity-Veritas, Commvault y Veeam ofrecen alternativas serias.</w:t>
      </w:r>
      <w:r>
        <w:t xml:space="preserve"> </w:t>
      </w:r>
      <w:r>
        <w:rPr>
          <w:bCs/>
          <w:b/>
        </w:rPr>
        <w:t xml:space="preserve">Posición 4/5</w:t>
      </w:r>
      <w:r>
        <w:t xml:space="preserve">: entre los tres primeros del mercado y ganando cuota, aunque no es el líder en ventas.</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 (ejercicio, cierre)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1T26 (abr-25)</w:t>
            </w:r>
          </w:p>
        </w:tc>
        <w:tc>
          <w:tcPr/>
          <w:p>
            <w:pPr>
              <w:pStyle w:val="Compact"/>
              <w:jc w:val="left"/>
            </w:pPr>
            <w:r>
              <w:t xml:space="preserve">278,5</w:t>
            </w:r>
          </w:p>
        </w:tc>
        <w:tc>
          <w:tcPr/>
          <w:p>
            <w:pPr>
              <w:pStyle w:val="Compact"/>
              <w:jc w:val="left"/>
            </w:pPr>
            <w:r>
              <w:t xml:space="preserve">48,7 %</w:t>
            </w:r>
          </w:p>
        </w:tc>
      </w:tr>
      <w:tr>
        <w:tc>
          <w:tcPr/>
          <w:p>
            <w:pPr>
              <w:pStyle w:val="Compact"/>
              <w:jc w:val="left"/>
            </w:pPr>
            <w:r>
              <w:t xml:space="preserve">2T26 (jul-25)</w:t>
            </w:r>
          </w:p>
        </w:tc>
        <w:tc>
          <w:tcPr/>
          <w:p>
            <w:pPr>
              <w:pStyle w:val="Compact"/>
              <w:jc w:val="left"/>
            </w:pPr>
            <w:r>
              <w:t xml:space="preserve">309,9</w:t>
            </w:r>
          </w:p>
        </w:tc>
        <w:tc>
          <w:tcPr/>
          <w:p>
            <w:pPr>
              <w:pStyle w:val="Compact"/>
              <w:jc w:val="left"/>
            </w:pPr>
            <w:r>
              <w:t xml:space="preserve">51,2 %</w:t>
            </w:r>
          </w:p>
        </w:tc>
      </w:tr>
      <w:tr>
        <w:tc>
          <w:tcPr/>
          <w:p>
            <w:pPr>
              <w:pStyle w:val="Compact"/>
              <w:jc w:val="left"/>
            </w:pPr>
            <w:r>
              <w:t xml:space="preserve">3T26 (oct-25)</w:t>
            </w:r>
          </w:p>
        </w:tc>
        <w:tc>
          <w:tcPr/>
          <w:p>
            <w:pPr>
              <w:pStyle w:val="Compact"/>
              <w:jc w:val="left"/>
            </w:pPr>
            <w:r>
              <w:t xml:space="preserve">350,2</w:t>
            </w:r>
          </w:p>
        </w:tc>
        <w:tc>
          <w:tcPr/>
          <w:p>
            <w:pPr>
              <w:pStyle w:val="Compact"/>
              <w:jc w:val="left"/>
            </w:pPr>
            <w:r>
              <w:t xml:space="preserve">48,3 %</w:t>
            </w:r>
          </w:p>
        </w:tc>
      </w:tr>
      <w:tr>
        <w:tc>
          <w:tcPr/>
          <w:p>
            <w:pPr>
              <w:pStyle w:val="Compact"/>
              <w:jc w:val="left"/>
            </w:pPr>
            <w:r>
              <w:t xml:space="preserve">4T26 (ene-26)</w:t>
            </w:r>
          </w:p>
        </w:tc>
        <w:tc>
          <w:tcPr/>
          <w:p>
            <w:pPr>
              <w:pStyle w:val="Compact"/>
              <w:jc w:val="left"/>
            </w:pPr>
            <w:r>
              <w:t xml:space="preserve">377,7</w:t>
            </w:r>
          </w:p>
        </w:tc>
        <w:tc>
          <w:tcPr/>
          <w:p>
            <w:pPr>
              <w:pStyle w:val="Compact"/>
              <w:jc w:val="left"/>
            </w:pPr>
            <w:r>
              <w:t xml:space="preserve">46,3 %</w:t>
            </w:r>
          </w:p>
        </w:tc>
      </w:tr>
      <w:tr>
        <w:tc>
          <w:tcPr/>
          <w:p>
            <w:pPr>
              <w:pStyle w:val="Compact"/>
              <w:jc w:val="left"/>
            </w:pPr>
            <w:r>
              <w:t xml:space="preserve">1T27 (abr-26)</w:t>
            </w:r>
          </w:p>
        </w:tc>
        <w:tc>
          <w:tcPr/>
          <w:p>
            <w:pPr>
              <w:pStyle w:val="Compact"/>
              <w:jc w:val="left"/>
            </w:pPr>
            <w:r>
              <w:t xml:space="preserve">387,1</w:t>
            </w:r>
          </w:p>
        </w:tc>
        <w:tc>
          <w:tcPr/>
          <w:p>
            <w:pPr>
              <w:pStyle w:val="Compact"/>
              <w:jc w:val="left"/>
            </w:pPr>
            <w:r>
              <w:t xml:space="preserve">39,0 %</w:t>
            </w:r>
          </w:p>
        </w:tc>
      </w:tr>
      <w:tr>
        <w:tc>
          <w:tcPr/>
          <w:p>
            <w:pPr>
              <w:pStyle w:val="Compact"/>
              <w:jc w:val="left"/>
            </w:pPr>
            <w:r>
              <w:t xml:space="preserve">2T27 (jul-26)</w:t>
            </w:r>
          </w:p>
        </w:tc>
        <w:tc>
          <w:tcPr/>
          <w:p>
            <w:pPr>
              <w:pStyle w:val="Compact"/>
              <w:jc w:val="left"/>
            </w:pPr>
            <w:r>
              <w:t xml:space="preserve">427,3</w:t>
            </w:r>
          </w:p>
        </w:tc>
        <w:tc>
          <w:tcPr/>
          <w:p>
            <w:pPr>
              <w:pStyle w:val="Compact"/>
              <w:jc w:val="left"/>
            </w:pPr>
            <w:r>
              <w:t xml:space="preserve">37,9 %</w:t>
            </w:r>
          </w:p>
        </w:tc>
      </w:tr>
      <w:tr>
        <w:tc>
          <w:tcPr/>
          <w:p>
            <w:pPr>
              <w:pStyle w:val="Compact"/>
              <w:jc w:val="left"/>
            </w:pPr>
            <w:r>
              <w:t xml:space="preserve">Guía 3T27 (oct-26)</w:t>
            </w:r>
          </w:p>
        </w:tc>
        <w:tc>
          <w:tcPr/>
          <w:p>
            <w:pPr>
              <w:pStyle w:val="Compact"/>
              <w:jc w:val="left"/>
            </w:pPr>
            <w:r>
              <w:t xml:space="preserve">429-431</w:t>
            </w:r>
          </w:p>
        </w:tc>
        <w:tc>
          <w:tcPr/>
          <w:p>
            <w:pPr>
              <w:pStyle w:val="Compact"/>
              <w:jc w:val="left"/>
            </w:pPr>
            <w:r>
              <w:t xml:space="preserve">22,8 %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 (cierre en enero)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2024</w:t>
            </w:r>
          </w:p>
        </w:tc>
        <w:tc>
          <w:tcPr/>
          <w:p>
            <w:pPr>
              <w:pStyle w:val="Compact"/>
              <w:jc w:val="left"/>
            </w:pPr>
            <w:r>
              <w:t xml:space="preserve">627,9</w:t>
            </w:r>
          </w:p>
        </w:tc>
        <w:tc>
          <w:tcPr/>
          <w:p>
            <w:pPr>
              <w:pStyle w:val="Compact"/>
              <w:jc w:val="left"/>
            </w:pPr>
            <w:r>
              <w:t xml:space="preserve">5 %</w:t>
            </w:r>
          </w:p>
        </w:tc>
      </w:tr>
      <w:tr>
        <w:tc>
          <w:tcPr/>
          <w:p>
            <w:pPr>
              <w:pStyle w:val="Compact"/>
              <w:jc w:val="left"/>
            </w:pPr>
            <w:r>
              <w:t xml:space="preserve">2025</w:t>
            </w:r>
          </w:p>
        </w:tc>
        <w:tc>
          <w:tcPr/>
          <w:p>
            <w:pPr>
              <w:pStyle w:val="Compact"/>
              <w:jc w:val="left"/>
            </w:pPr>
            <w:r>
              <w:t xml:space="preserve">886,5</w:t>
            </w:r>
          </w:p>
        </w:tc>
        <w:tc>
          <w:tcPr/>
          <w:p>
            <w:pPr>
              <w:pStyle w:val="Compact"/>
              <w:jc w:val="left"/>
            </w:pPr>
            <w:r>
              <w:t xml:space="preserve">41 %</w:t>
            </w:r>
          </w:p>
        </w:tc>
      </w:tr>
      <w:tr>
        <w:tc>
          <w:tcPr/>
          <w:p>
            <w:pPr>
              <w:pStyle w:val="Compact"/>
              <w:jc w:val="left"/>
            </w:pPr>
            <w:r>
              <w:t xml:space="preserve">2026</w:t>
            </w:r>
          </w:p>
        </w:tc>
        <w:tc>
          <w:tcPr/>
          <w:p>
            <w:pPr>
              <w:pStyle w:val="Compact"/>
              <w:jc w:val="left"/>
            </w:pPr>
            <w:r>
              <w:t xml:space="preserve">1.316,2</w:t>
            </w:r>
          </w:p>
        </w:tc>
        <w:tc>
          <w:tcPr/>
          <w:p>
            <w:pPr>
              <w:pStyle w:val="Compact"/>
              <w:jc w:val="left"/>
            </w:pPr>
            <w:r>
              <w:t xml:space="preserve">48 %</w:t>
            </w:r>
          </w:p>
        </w:tc>
      </w:tr>
      <w:tr>
        <w:tc>
          <w:tcPr/>
          <w:p>
            <w:pPr>
              <w:pStyle w:val="Compact"/>
              <w:jc w:val="left"/>
            </w:pPr>
            <w:r>
              <w:t xml:space="preserve">2027, guía</w:t>
            </w:r>
          </w:p>
        </w:tc>
        <w:tc>
          <w:tcPr/>
          <w:p>
            <w:pPr>
              <w:pStyle w:val="Compact"/>
              <w:jc w:val="left"/>
            </w:pPr>
            <w:r>
              <w:t xml:space="preserve">1.689</w:t>
            </w:r>
          </w:p>
        </w:tc>
        <w:tc>
          <w:tcPr/>
          <w:p>
            <w:pPr>
              <w:pStyle w:val="Compact"/>
              <w:jc w:val="left"/>
            </w:pPr>
            <w:r>
              <w:t xml:space="preserve">28 %</w:t>
            </w:r>
          </w:p>
        </w:tc>
      </w:tr>
    </w:tbl>
    <w:p>
      <w:pPr>
        <w:pStyle w:val="BodyText"/>
      </w:pPr>
      <w:r>
        <w:t xml:space="preserve">Fuentes: [1][2][4]. El ejercicio 2024 crece poco por el paso de licencias a suscripción.</w:t>
      </w:r>
    </w:p>
    <w:p>
      <w:pPr>
        <w:numPr>
          <w:ilvl w:val="0"/>
          <w:numId w:val="1002"/>
        </w:numPr>
        <w:pStyle w:val="Compact"/>
      </w:pPr>
      <w:r>
        <w:rPr>
          <w:bCs/>
          <w:b/>
        </w:rPr>
        <w:t xml:space="preserve">12 meses</w:t>
      </w:r>
      <w:r>
        <w:t xml:space="preserve">: +42,4 %.</w:t>
      </w:r>
      <w:r>
        <w:t xml:space="preserve"> </w:t>
      </w:r>
      <w:r>
        <w:rPr>
          <w:bCs/>
          <w:b/>
        </w:rPr>
        <w:t xml:space="preserve">CAGR a 2 años</w:t>
      </w:r>
      <w:r>
        <w:t xml:space="preserve">: +45,1 %.</w:t>
      </w:r>
      <w:r>
        <w:t xml:space="preserve"> </w:t>
      </w:r>
      <w:r>
        <w:rPr>
          <w:bCs/>
          <w:b/>
        </w:rPr>
        <w:t xml:space="preserve">Aceleración</w:t>
      </w:r>
      <w:r>
        <w:t xml:space="preserve">: −8,3 puntos (37,9 % frente a una media del 46,2 % en los cuatro trimestres anteriores).</w:t>
      </w:r>
    </w:p>
    <w:p>
      <w:pPr>
        <w:numPr>
          <w:ilvl w:val="0"/>
          <w:numId w:val="1002"/>
        </w:numPr>
        <w:pStyle w:val="Compact"/>
      </w:pPr>
      <w:r>
        <w:rPr>
          <w:bCs/>
          <w:b/>
        </w:rPr>
        <w:t xml:space="preserve">ARR de suscripción</w:t>
      </w:r>
      <w:r>
        <w:t xml:space="preserve">: 1.661 M USD, +33 %.</w:t>
      </w:r>
      <w:r>
        <w:t xml:space="preserve"> </w:t>
      </w:r>
      <w:r>
        <w:rPr>
          <w:bCs/>
          <w:b/>
        </w:rPr>
        <w:t xml:space="preserve">ARR en la nube</w:t>
      </w:r>
      <w:r>
        <w:t xml:space="preserve">: 1.483 M, +39 %.</w:t>
      </w:r>
      <w:r>
        <w:t xml:space="preserve"> </w:t>
      </w:r>
      <w:r>
        <w:rPr>
          <w:bCs/>
          <w:b/>
        </w:rPr>
        <w:t xml:space="preserve">Retención neta</w:t>
      </w:r>
      <w:r>
        <w:t xml:space="preserve">: más del 119 % (más del 120 % hace un año) [3].</w:t>
      </w:r>
    </w:p>
    <w:p>
      <w:pPr>
        <w:numPr>
          <w:ilvl w:val="0"/>
          <w:numId w:val="1002"/>
        </w:numPr>
        <w:pStyle w:val="Compact"/>
      </w:pPr>
      <w:r>
        <w:rPr>
          <w:bCs/>
          <w:b/>
        </w:rPr>
        <w:t xml:space="preserve">Guía</w:t>
      </w:r>
      <w:r>
        <w:t xml:space="preserve">: ventas del ejercicio 1.685-1.693 M, subida tres veces este año. El segundo semestre implícito crece un 20,2 %. Rubrik bate su guía trimestral por 11,1 puntos de media (12,8, 13,8, 7,6 y 10,1 puntos en los últimos cuatro trimestres). La guía del semestre lleva además menos ingresos por derechos materiales: 4,7 M en el 2T27 frente a 14,2 M un año antes [1][2].</w:t>
      </w:r>
    </w:p>
    <w:p>
      <w:pPr>
        <w:numPr>
          <w:ilvl w:val="0"/>
          <w:numId w:val="1002"/>
        </w:numPr>
        <w:pStyle w:val="Compact"/>
      </w:pPr>
      <w:r>
        <w:rPr>
          <w:bCs/>
          <w:b/>
        </w:rPr>
        <w:t xml:space="preserve">Lo que preocupó al mercado</w:t>
      </w:r>
      <w:r>
        <w:t xml:space="preserve">: el ARR nuevo en la nube, sin migraciones, creció solo un 20 %. La acción cayó un 13 % el día después de los resultados [9].</w:t>
      </w:r>
    </w:p>
    <w:p>
      <w:pPr>
        <w:numPr>
          <w:ilvl w:val="0"/>
          <w:numId w:val="1002"/>
        </w:numPr>
        <w:pStyle w:val="Compact"/>
      </w:pPr>
      <w:r>
        <w:rPr>
          <w:bCs/>
          <w:b/>
        </w:rPr>
        <w:t xml:space="preserve">Compras</w:t>
      </w:r>
      <w:r>
        <w:t xml:space="preserve">: dos pequeñas en junio por 27,2 M USD. No mueven el crecimiento más de 2 puntos, así que no hace falta separar el crecimiento orgánico. La v12 da lo mismo que la v11 [3].</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unos 35.000 M USD en 2028 (copias y recuperación, seguridad de datos e identidad; estimación propia, de memoria, a partir de los ~53.000 M que Rubrik citaba en su folleto de 2024) [14].</w:t>
      </w:r>
      <w:r>
        <w:t xml:space="preserve"> </w:t>
      </w:r>
      <w:r>
        <w:rPr>
          <w:bCs/>
          <w:b/>
        </w:rPr>
        <w:t xml:space="preserve">Penetración</w:t>
      </w:r>
      <w:r>
        <w:t xml:space="preserve">: 4,4 %.</w:t>
      </w:r>
    </w:p>
    <w:p>
      <w:pPr>
        <w:numPr>
          <w:ilvl w:val="0"/>
          <w:numId w:val="1003"/>
        </w:numPr>
        <w:pStyle w:val="Compact"/>
      </w:pPr>
      <w:r>
        <w:rPr>
          <w:bCs/>
          <w:b/>
        </w:rPr>
        <w:t xml:space="preserve">Rivales</w:t>
      </w:r>
      <w:r>
        <w:t xml:space="preserve">: Cohesity (fusionada con la parte de protección de datos de Veritas; privada), Veeam (privada), Commvault (+20 %, 4,8 veces las ventas) y las copias propias de AWS, Microsoft y Google. En seguridad, CrowdStrike, Zscaler y Palo Alto rodean el terreno, pero no hacen copias.</w:t>
      </w:r>
    </w:p>
    <w:p>
      <w:pPr>
        <w:numPr>
          <w:ilvl w:val="0"/>
          <w:numId w:val="1003"/>
        </w:numPr>
        <w:pStyle w:val="Compact"/>
      </w:pPr>
      <w:r>
        <w:rPr>
          <w:bCs/>
          <w:b/>
        </w:rPr>
        <w:t xml:space="preserve">Por qué gana</w:t>
      </w:r>
      <w:r>
        <w:t xml:space="preserve">: nació en la nube, sus copias no se pueden alterar y añade servicios encima de los mismos datos (identidad, seguridad de datos, agentes). Los clientes que pagan más de 100.000 USD al año suben un 23 %, hasta 3.084 [1].</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Guía de ventas del año subida dos veces (+5,1 % en el punto medio); precio objetivo medio de 94,0 a 114,4 USD en 3 meses</w:t>
            </w:r>
          </w:p>
        </w:tc>
        <w:tc>
          <w:tcPr/>
          <w:p>
            <w:pPr>
              <w:pStyle w:val="Compact"/>
              <w:jc w:val="left"/>
            </w:pPr>
            <w:r>
              <w:t xml:space="preserve">[1][2][8]</w:t>
            </w:r>
          </w:p>
        </w:tc>
      </w:tr>
      <w:tr>
        <w:tc>
          <w:tcPr/>
          <w:p>
            <w:pPr>
              <w:pStyle w:val="Compact"/>
              <w:jc w:val="left"/>
            </w:pPr>
            <w:r>
              <w:t xml:space="preserve">2. Precio sobre la media de 200 sesiones</w:t>
            </w:r>
          </w:p>
        </w:tc>
        <w:tc>
          <w:tcPr/>
          <w:p>
            <w:pPr>
              <w:pStyle w:val="Compact"/>
              <w:jc w:val="left"/>
            </w:pPr>
            <w:r>
              <w:t xml:space="preserve">Sí</w:t>
            </w:r>
          </w:p>
        </w:tc>
        <w:tc>
          <w:tcPr/>
          <w:p>
            <w:pPr>
              <w:pStyle w:val="Compact"/>
              <w:jc w:val="left"/>
            </w:pPr>
            <w:r>
              <w:t xml:space="preserve">113,90 frente a 73,6 USD; la media sube desde el verano</w:t>
            </w:r>
          </w:p>
        </w:tc>
        <w:tc>
          <w:tcPr/>
          <w:p>
            <w:pPr>
              <w:pStyle w:val="Compact"/>
              <w:jc w:val="left"/>
            </w:pPr>
            <w:r>
              <w:t xml:space="preserve">[6]</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+137 % frente a +16 % del Nasdaq-100</w:t>
            </w:r>
          </w:p>
        </w:tc>
        <w:tc>
          <w:tcPr/>
          <w:p>
            <w:pPr>
              <w:pStyle w:val="Compact"/>
              <w:jc w:val="left"/>
            </w:pPr>
            <w:r>
              <w:t xml:space="preserve">[6]</w:t>
            </w:r>
          </w:p>
        </w:tc>
      </w:tr>
      <w:tr>
        <w:tc>
          <w:tcPr/>
          <w:p>
            <w:pPr>
              <w:pStyle w:val="Compact"/>
              <w:jc w:val="left"/>
            </w:pPr>
            <w:r>
              <w:t xml:space="preserve">4. Mejora del múltiplo</w:t>
            </w:r>
          </w:p>
        </w:tc>
        <w:tc>
          <w:tcPr/>
          <w:p>
            <w:pPr>
              <w:pStyle w:val="Compact"/>
              <w:jc w:val="left"/>
            </w:pPr>
            <w:r>
              <w:t xml:space="preserve">Sí</w:t>
            </w:r>
          </w:p>
        </w:tc>
        <w:tc>
          <w:tcPr/>
          <w:p>
            <w:pPr>
              <w:pStyle w:val="Compact"/>
              <w:jc w:val="left"/>
            </w:pPr>
            <w:r>
              <w:t xml:space="preserve">De 5,7 veces (10-abr) a 14,4 veces las ventas siguientes</w:t>
            </w:r>
          </w:p>
        </w:tc>
        <w:tc>
          <w:tcPr/>
          <w:p>
            <w:pPr>
              <w:pStyle w:val="Compact"/>
              <w:jc w:val="left"/>
            </w:pPr>
            <w:r>
              <w:t xml:space="preserve">[6][12]</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Beneficio operativo no GAAP de 33,5 M USD frente a una pérdida de 4,4 M; margen GAAP 13,7 puntos mejor</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Mejoró, pero ya es eufórico: +15 % en un día por el «miedo» a los ataques con IA y el precio ya está en el objetivo de los analistas</w:t>
            </w:r>
          </w:p>
        </w:tc>
        <w:tc>
          <w:tcPr/>
          <w:p>
            <w:pPr>
              <w:pStyle w:val="Compact"/>
              <w:jc w:val="left"/>
            </w:pPr>
            <w:r>
              <w:t xml:space="preserve">[9][10][11]</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Una compra de 0,5 M USD frente a unos 67 M de ventas de directivos; entran Fidelity y AQR, gestores grandes, no inversores de referencia</w:t>
            </w:r>
          </w:p>
        </w:tc>
        <w:tc>
          <w:tcPr/>
          <w:p>
            <w:pPr>
              <w:pStyle w:val="Compact"/>
              <w:jc w:val="left"/>
            </w:pPr>
            <w:r>
              <w:t xml:space="preserve">[5][7]</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del 3T a principios de diciembre; Agent Cloud y resiliencia de identidad</w:t>
            </w:r>
          </w:p>
        </w:tc>
        <w:tc>
          <w:tcPr/>
          <w:p>
            <w:pPr>
              <w:pStyle w:val="Compact"/>
              <w:jc w:val="left"/>
            </w:pPr>
            <w:r>
              <w:t xml:space="preserve">[1]</w:t>
            </w:r>
          </w:p>
        </w:tc>
      </w:tr>
    </w:tbl>
    <w:p>
      <w:pPr>
        <w:pStyle w:val="BodyText"/>
      </w:pPr>
      <w:r>
        <w:rPr>
          <w:bCs/>
          <w:b/>
        </w:rPr>
        <w:t xml:space="preserve">Euforia a 12 meses: no</w:t>
      </w:r>
      <w:r>
        <w:t xml:space="preserve"> </w:t>
      </w:r>
      <w:r>
        <w:t xml:space="preserve">(+45,7 %, lejos del 150 %).</w:t>
      </w:r>
    </w:p>
    <w:p>
      <w:pPr>
        <w:pStyle w:val="BodyText"/>
      </w:pPr>
      <w:r>
        <w:rPr>
          <w:bCs/>
          <w:b/>
        </w:rPr>
        <w:t xml:space="preserve">Alerta de euforia a 6 meses: no salta, pero se queda cerca.</w:t>
      </w:r>
      <w:r>
        <w:t xml:space="preserve"> </w:t>
      </w:r>
      <w:r>
        <w:t xml:space="preserve">La acción ha subido un 137 % en 6 meses, por encima del umbral del 100 %. La alerta pide además que el valor de empresa supere 20 veces el beneficio bruto, y Rubrik está en 17,9 veces porque su margen bruto es alto (80 %). Es decir, la subida es vertical, pero el precio todavía no es extremo frente a lo que deja cada venta. En el backtest, de 5 casos con las dos condiciones, ninguno batió al Nasdaq-100; Rubrik cumple solo la primera. Por eso la señal no cambia, pero se trata como si la tuviera a medias: entrada en dos tramos y sin perseguir el precio por encima de 123,6 USD. Con un 12 % más de precio, el múltiplo de beneficio bruto pasaría de 20 y la alerta saltaría.</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80,2 % GAAP en 12 meses (81 % no GAAP en el trimestre).</w:t>
      </w:r>
    </w:p>
    <w:p>
      <w:pPr>
        <w:numPr>
          <w:ilvl w:val="0"/>
          <w:numId w:val="1004"/>
        </w:numPr>
        <w:pStyle w:val="Compact"/>
      </w:pPr>
      <w:r>
        <w:rPr>
          <w:bCs/>
          <w:b/>
        </w:rPr>
        <w:t xml:space="preserve">Regla del 40</w:t>
      </w:r>
      <w:r>
        <w:t xml:space="preserve">: 61 (crecimiento del 42 % más margen FCF del 19 %). Restando los pagos en acciones, 38,8.</w:t>
      </w:r>
    </w:p>
    <w:p>
      <w:pPr>
        <w:numPr>
          <w:ilvl w:val="0"/>
          <w:numId w:val="1004"/>
        </w:numPr>
        <w:pStyle w:val="Compact"/>
      </w:pPr>
      <w:r>
        <w:rPr>
          <w:bCs/>
          <w:b/>
        </w:rPr>
        <w:t xml:space="preserve">FCF</w:t>
      </w:r>
      <w:r>
        <w:t xml:space="preserve">: 286 M USD en 12 meses, frente a 238 M en el ejercicio 2026 y 22 M en el 2025. La guía del año es de 323-333 M [1][4].</w:t>
      </w:r>
    </w:p>
    <w:p>
      <w:pPr>
        <w:numPr>
          <w:ilvl w:val="0"/>
          <w:numId w:val="1004"/>
        </w:numPr>
        <w:pStyle w:val="Compact"/>
      </w:pPr>
      <w:r>
        <w:rPr>
          <w:bCs/>
          <w:b/>
        </w:rPr>
        <w:t xml:space="preserve">Rentabilidad contable</w:t>
      </w:r>
      <w:r>
        <w:t xml:space="preserve">: todavía pierde dinero en GAAP (−71,9 M de pérdida operativa en el 2T27), por los pagos en acciones. El beneficio operativo no GAAP es positivo desde el 1T27. Como no gana dinero de forma estable, se valora por EV/ventas.</w:t>
      </w:r>
    </w:p>
    <w:bookmarkEnd w:id="25"/>
    <w:bookmarkStart w:id="26" w:name="caja-deuda-y-dilución"/>
    <w:p>
      <w:pPr>
        <w:pStyle w:val="Heading2"/>
      </w:pPr>
      <w:r>
        <w:t xml:space="preserve">7. Caja, deuda y dilución</w:t>
      </w:r>
    </w:p>
    <w:p>
      <w:pPr>
        <w:numPr>
          <w:ilvl w:val="0"/>
          <w:numId w:val="1005"/>
        </w:numPr>
        <w:pStyle w:val="Compact"/>
      </w:pPr>
      <w:r>
        <w:rPr>
          <w:bCs/>
          <w:b/>
        </w:rPr>
        <w:t xml:space="preserve">Caja e inversiones</w:t>
      </w:r>
      <w:r>
        <w:t xml:space="preserve">: 1.747,6 M USD.</w:t>
      </w:r>
      <w:r>
        <w:t xml:space="preserve"> </w:t>
      </w:r>
      <w:r>
        <w:rPr>
          <w:bCs/>
          <w:b/>
        </w:rPr>
        <w:t xml:space="preserve">Deuda</w:t>
      </w:r>
      <w:r>
        <w:t xml:space="preserve">: bonos convertibles de 1.150 M al 0 % con vencimiento en 2030. Se convierten a unos 124,8 USD por acción, y una opción con techo compensa la dilución hasta 175,1 USD [1][3]. Se cuentan como deuda.</w:t>
      </w:r>
    </w:p>
    <w:p>
      <w:pPr>
        <w:numPr>
          <w:ilvl w:val="0"/>
          <w:numId w:val="1005"/>
        </w:numPr>
        <w:pStyle w:val="Compact"/>
      </w:pPr>
      <w:r>
        <w:rPr>
          <w:bCs/>
          <w:b/>
        </w:rPr>
        <w:t xml:space="preserve">Pista de caja</w:t>
      </w:r>
      <w:r>
        <w:t xml:space="preserve">: no aplica, genera caja.</w:t>
      </w:r>
    </w:p>
    <w:p>
      <w:pPr>
        <w:numPr>
          <w:ilvl w:val="0"/>
          <w:numId w:val="1005"/>
        </w:numPr>
        <w:pStyle w:val="Compact"/>
      </w:pPr>
      <w:r>
        <w:rPr>
          <w:bCs/>
          <w:b/>
        </w:rPr>
        <w:t xml:space="preserve">Acciones</w:t>
      </w:r>
      <w:r>
        <w:t xml:space="preserve">: 207,2 M en circulación más 30,7 M de opciones, RSU y acciones restringidas = 237,9 M.</w:t>
      </w:r>
    </w:p>
    <w:p>
      <w:pPr>
        <w:numPr>
          <w:ilvl w:val="0"/>
          <w:numId w:val="1005"/>
        </w:numPr>
        <w:pStyle w:val="Compact"/>
      </w:pPr>
      <w:r>
        <w:rPr>
          <w:bCs/>
          <w:b/>
        </w:rPr>
        <w:t xml:space="preserve">Dilución</w:t>
      </w:r>
      <w:r>
        <w:t xml:space="preserve">: +5,7 % en un año (acciones medias del 2T27 frente al 2T26). Desde 2026 paga en efectivo los impuestos de las RSU (53 M en el semestre) para diluir menos.</w:t>
      </w:r>
    </w:p>
    <w:p>
      <w:pPr>
        <w:numPr>
          <w:ilvl w:val="0"/>
          <w:numId w:val="1005"/>
        </w:numPr>
        <w:pStyle w:val="Compact"/>
      </w:pPr>
      <w:r>
        <w:rPr>
          <w:bCs/>
          <w:b/>
        </w:rPr>
        <w:t xml:space="preserve">Pagos en acciones: 22,2 % de las ventas, en rojo.</w:t>
      </w:r>
      <w:r>
        <w:t xml:space="preserve"> </w:t>
      </w:r>
      <w:r>
        <w:t xml:space="preserve">Son 342 M USD en 12 meses, más que todo el FCF.</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5/5</w:t>
      </w:r>
      <w:r>
        <w:t xml:space="preserve">: ha batido todas las métricas que guía en cada trimestre desde que salió a bolsa (abril de 2024).</w:t>
      </w:r>
    </w:p>
    <w:p>
      <w:pPr>
        <w:numPr>
          <w:ilvl w:val="0"/>
          <w:numId w:val="1006"/>
        </w:numPr>
        <w:pStyle w:val="Compact"/>
      </w:pPr>
      <w:r>
        <w:rPr>
          <w:bCs/>
          <w:b/>
        </w:rPr>
        <w:t xml:space="preserve">Dirección 4/5</w:t>
      </w:r>
      <w:r>
        <w:t xml:space="preserve">: el cofundador Bipul Sinha es consejero delegado y presidente; él y el otro cofundador en activo tienen alrededor del 5 % cada uno. En contra: ventas de directivos de unos 67 M USD en 12 meses (el director técnico, unos 30 M) y pagos en acciones altos. El director comercial cambió en febrero (ascenso interno de Jesse Green) [3][7][10].</w:t>
      </w:r>
    </w:p>
    <w:bookmarkEnd w:id="27"/>
    <w:bookmarkStart w:id="28" w:name="valoración"/>
    <w:p>
      <w:pPr>
        <w:pStyle w:val="Heading2"/>
      </w:pPr>
      <w:r>
        <w:t xml:space="preserve">9. Valoración</w:t>
      </w:r>
    </w:p>
    <w:p>
      <w:pPr>
        <w:pStyle w:val="FirstParagraph"/>
      </w:pPr>
      <w:r>
        <w:rPr>
          <w:bCs/>
          <w:b/>
        </w:rPr>
        <w:t xml:space="preserve">Múltiplo</w:t>
      </w:r>
      <w:r>
        <w:t xml:space="preserve">: EV de 26.499 M USD sobre unas ventas de los próximos 12 meses de 1.845 M (guía del 3T y del 4T, y el consenso para el 1S del ejercicio 2028) =</w:t>
      </w:r>
      <w:r>
        <w:t xml:space="preserve"> </w:t>
      </w:r>
      <w:r>
        <w:rPr>
          <w:bCs/>
          <w:b/>
        </w:rPr>
        <w:t xml:space="preserve">14,4 veces</w:t>
      </w:r>
      <w:r>
        <w:t xml:space="preserve">. Mediana desde la salida a bolsa: 9,9 veces; mínimo: 5,6 veces. Comparables: unas 6,6 veces de mediana (Commvault 4,8; SentinelOne 5,8; Varonis 6,6; Zscaler 9,2; CrowdStrike 40,3) [12][13].</w:t>
      </w:r>
    </w:p>
    <w:p>
      <w:pPr>
        <w:pStyle w:val="BodyText"/>
      </w:pPr>
      <w:r>
        <w:rPr>
          <w:bCs/>
          <w:b/>
        </w:rPr>
        <w:t xml:space="preserve">Ventas del año objetivo</w:t>
      </w:r>
      <w:r>
        <w:t xml:space="preserve"> </w:t>
      </w:r>
      <w:r>
        <w:t xml:space="preserve">(ago-2027 a jul-2028): la regla mecánica parte del 31,3 % (guía más lo que suele batirla) y llega a 2.564 M en el base. Mi proyección es más prudente y está en línea con el consenso: 1.980 M en el bajista, 2.230 M en el base y 2.500 M en el alcista. El consenso de esa ventana ronda los 2.230 M (extrapolado del consenso del ejercicio 2028, 2.050 M) [8][14]. La v11 toma la menor en cada escenario, que es la mía.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1.980</w:t>
            </w:r>
          </w:p>
        </w:tc>
        <w:tc>
          <w:tcPr/>
          <w:p>
            <w:pPr>
              <w:pStyle w:val="Compact"/>
              <w:jc w:val="left"/>
            </w:pPr>
            <w:r>
              <w:t xml:space="preserve">8,6</w:t>
            </w:r>
          </w:p>
        </w:tc>
        <w:tc>
          <w:tcPr/>
          <w:p>
            <w:pPr>
              <w:pStyle w:val="Compact"/>
              <w:jc w:val="left"/>
            </w:pPr>
            <w:r>
              <w:t xml:space="preserve">70,4</w:t>
            </w:r>
          </w:p>
        </w:tc>
        <w:tc>
          <w:tcPr/>
          <w:p>
            <w:pPr>
              <w:pStyle w:val="Compact"/>
              <w:jc w:val="left"/>
            </w:pPr>
            <w:r>
              <w:t xml:space="preserve">−38,2 %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2.230</w:t>
            </w:r>
          </w:p>
        </w:tc>
        <w:tc>
          <w:tcPr/>
          <w:p>
            <w:pPr>
              <w:pStyle w:val="Compact"/>
              <w:jc w:val="left"/>
            </w:pPr>
            <w:r>
              <w:t xml:space="preserve">14,4</w:t>
            </w:r>
          </w:p>
        </w:tc>
        <w:tc>
          <w:tcPr/>
          <w:p>
            <w:pPr>
              <w:pStyle w:val="Compact"/>
              <w:jc w:val="left"/>
            </w:pPr>
            <w:r>
              <w:t xml:space="preserve">130,1</w:t>
            </w:r>
          </w:p>
        </w:tc>
        <w:tc>
          <w:tcPr/>
          <w:p>
            <w:pPr>
              <w:pStyle w:val="Compact"/>
              <w:jc w:val="left"/>
            </w:pPr>
            <w:r>
              <w:t xml:space="preserve">+14,2 %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2.500</w:t>
            </w:r>
          </w:p>
        </w:tc>
        <w:tc>
          <w:tcPr/>
          <w:p>
            <w:pPr>
              <w:pStyle w:val="Compact"/>
              <w:jc w:val="left"/>
            </w:pPr>
            <w:r>
              <w:t xml:space="preserve">18,7</w:t>
            </w:r>
          </w:p>
        </w:tc>
        <w:tc>
          <w:tcPr/>
          <w:p>
            <w:pPr>
              <w:pStyle w:val="Compact"/>
              <w:jc w:val="left"/>
            </w:pPr>
            <w:r>
              <w:t xml:space="preserve">188,5</w:t>
            </w:r>
          </w:p>
        </w:tc>
        <w:tc>
          <w:tcPr/>
          <w:p>
            <w:pPr>
              <w:pStyle w:val="Compact"/>
              <w:jc w:val="left"/>
            </w:pPr>
            <w:r>
              <w:t xml:space="preserve">+65,5 %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129,8</w:t>
            </w:r>
          </w:p>
        </w:tc>
        <w:tc>
          <w:tcPr/>
          <w:p>
            <w:pPr>
              <w:pStyle w:val="Compact"/>
              <w:jc w:val="left"/>
            </w:pPr>
            <w:r>
              <w:rPr>
                <w:bCs/>
                <w:b/>
              </w:rPr>
              <w:t xml:space="preserve">+13,9 %</w:t>
            </w:r>
          </w:p>
        </w:tc>
        <w:tc>
          <w:tcPr/>
          <w:p>
            <w:pPr>
              <w:pStyle w:val="Compact"/>
            </w:pPr>
          </w:p>
        </w:tc>
      </w:tr>
    </w:tbl>
    <w:p>
      <w:pPr>
        <w:numPr>
          <w:ilvl w:val="0"/>
          <w:numId w:val="1007"/>
        </w:numPr>
        <w:pStyle w:val="Compact"/>
      </w:pPr>
      <w:r>
        <w:rPr>
          <w:bCs/>
          <w:b/>
        </w:rPr>
        <w:t xml:space="preserve">Asimetría</w:t>
      </w:r>
      <w:r>
        <w:t xml:space="preserve">: 1,7.</w:t>
      </w:r>
      <w:r>
        <w:t xml:space="preserve"> </w:t>
      </w:r>
      <w:r>
        <w:rPr>
          <w:bCs/>
          <w:b/>
        </w:rPr>
        <w:t xml:space="preserve">Compra hasta</w:t>
      </w:r>
      <w:r>
        <w:t xml:space="preserve">: 123,6 USD.</w:t>
      </w:r>
    </w:p>
    <w:p>
      <w:pPr>
        <w:numPr>
          <w:ilvl w:val="0"/>
          <w:numId w:val="1007"/>
        </w:numPr>
        <w:pStyle w:val="Compact"/>
      </w:pPr>
      <w:r>
        <w:rPr>
          <w:bCs/>
          <w:b/>
        </w:rPr>
        <w:t xml:space="preserve">Con la v9</w:t>
      </w:r>
      <w:r>
        <w:t xml:space="preserve"> </w:t>
      </w:r>
      <w:r>
        <w:t xml:space="preserve">(sin el tope de mi proyección): ponderada +27,5 %, base +31 % y compra hasta 138,3 USD. La diferencia sale de que la v9 proyecta 2.564 M en el base, un 15 % por encima del consenso.</w:t>
      </w:r>
    </w:p>
    <w:p>
      <w:pPr>
        <w:numPr>
          <w:ilvl w:val="0"/>
          <w:numId w:val="1007"/>
        </w:numPr>
        <w:pStyle w:val="Compact"/>
      </w:pPr>
      <w:r>
        <w:rPr>
          <w:bCs/>
          <w:b/>
        </w:rPr>
        <w:t xml:space="preserve">Consenso</w:t>
      </w:r>
      <w:r>
        <w:t xml:space="preserve">: precio objetivo medio de 114,4 USD (MarketBeat; 120,2 USD según S&amp;P Global). El precio de hoy ya está ahí.</w:t>
      </w:r>
    </w:p>
    <w:p>
      <w:pPr>
        <w:numPr>
          <w:ilvl w:val="0"/>
          <w:numId w:val="1007"/>
        </w:numPr>
        <w:pStyle w:val="Compact"/>
      </w:pPr>
      <w:r>
        <w:rPr>
          <w:bCs/>
          <w:b/>
        </w:rPr>
        <w:t xml:space="preserve">DCF inverso</w:t>
      </w:r>
      <w:r>
        <w:t xml:space="preserve">: el precio descuenta crecer un 22,3 % al año durante 10 años, con un margen FCF maduro del 28 %, descuento del 10 % y crecimiento perpetuo del 3 %.</w:t>
      </w:r>
    </w:p>
    <w:p>
      <w:pPr>
        <w:numPr>
          <w:ilvl w:val="0"/>
          <w:numId w:val="1007"/>
        </w:numPr>
        <w:pStyle w:val="Compact"/>
      </w:pPr>
      <w:r>
        <w:rPr>
          <w:bCs/>
          <w:b/>
        </w:rPr>
        <w:t xml:space="preserve">Filtro previo, confirmado con los datos completos</w:t>
      </w:r>
      <w:r>
        <w:t xml:space="preserve">: A) crecimiento del 42,4 %, pasa (≥ 15 %); B) no aplica, no es rentable de forma estable; C) el mayor distribuidor pesa el 28 %, pasa (≤ 40 %); D) el crecimiento descontado es 0,53 veces el actual, pasa (≤ 0,8).</w:t>
      </w:r>
    </w:p>
    <w:bookmarkEnd w:id="28"/>
    <w:bookmarkStart w:id="29" w:name="foros-y-sentimiento"/>
    <w:p>
      <w:pPr>
        <w:pStyle w:val="Heading2"/>
      </w:pPr>
      <w:r>
        <w:t xml:space="preserve">10. Foros y sentimiento</w:t>
      </w:r>
    </w:p>
    <w:p>
      <w:pPr>
        <w:numPr>
          <w:ilvl w:val="0"/>
          <w:numId w:val="1008"/>
        </w:numPr>
        <w:pStyle w:val="Compact"/>
      </w:pPr>
      <w:r>
        <w:rPr>
          <w:bCs/>
          <w:b/>
        </w:rPr>
        <w:t xml:space="preserve">StockTwits</w:t>
      </w:r>
      <w:r>
        <w:t xml:space="preserve"> </w:t>
      </w:r>
      <w:r>
        <w:t xml:space="preserve">(15-oct): 8 mensajes alcistas y ninguno bajista de 30, con mucho ruido y bromas entre usuarios; se habla de vender opciones de compra a 135 USD y de las ventas del consejero delegado [11].</w:t>
      </w:r>
    </w:p>
    <w:p>
      <w:pPr>
        <w:numPr>
          <w:ilvl w:val="0"/>
          <w:numId w:val="1008"/>
        </w:numPr>
        <w:pStyle w:val="Compact"/>
      </w:pPr>
      <w:r>
        <w:rPr>
          <w:bCs/>
          <w:b/>
        </w:rPr>
        <w:t xml:space="preserve">Prensa y análisis</w:t>
      </w:r>
      <w:r>
        <w:t xml:space="preserve"> </w:t>
      </w:r>
      <w:r>
        <w:t xml:space="preserve">(sep-oct): la subida de septiembre se explica por «miedo» tras el ensayo de Dario Amodei sobre ataques con IA (+15 % el 14-sep). Simply Wall St y Zacks la ven cara por ventas. En castellano, TIKR e Investing.com recogen la caída tras los resultados del 2T y 28 recomendaciones de compra [9][10][11].</w:t>
      </w:r>
    </w:p>
    <w:p>
      <w:pPr>
        <w:numPr>
          <w:ilvl w:val="0"/>
          <w:numId w:val="1008"/>
        </w:numPr>
        <w:pStyle w:val="Compact"/>
      </w:pPr>
      <w:r>
        <w:rPr>
          <w:bCs/>
          <w:b/>
        </w:rPr>
        <w:t xml:space="preserve">Reddit</w:t>
      </w:r>
      <w:r>
        <w:t xml:space="preserve">: no accesible desde aquí (laguna).</w:t>
      </w:r>
    </w:p>
    <w:p>
      <w:pPr>
        <w:numPr>
          <w:ilvl w:val="0"/>
          <w:numId w:val="1008"/>
        </w:numPr>
        <w:pStyle w:val="Compact"/>
      </w:pPr>
      <w:r>
        <w:rPr>
          <w:bCs/>
          <w:b/>
        </w:rPr>
        <w:t xml:space="preserve">Lectura</w:t>
      </w:r>
      <w:r>
        <w:t xml:space="preserve">: el sentimiento pasó de «la IA se come el software» (abril) a «ganadora de la seguridad en la era de la IA». Hoy es eufórico, y por eso la señal 6 no cuenta. Los datos sí acompañan (guía subida tres veces, FCF al alza), pero el precio ya va por delante de los analistas.</w:t>
      </w:r>
    </w:p>
    <w:bookmarkEnd w:id="29"/>
    <w:bookmarkStart w:id="30" w:name="riesgos-y-qué-rompería-la-tesis"/>
    <w:p>
      <w:pPr>
        <w:pStyle w:val="Heading2"/>
      </w:pPr>
      <w:r>
        <w:t xml:space="preserve">11. Riesgos y qué rompería la tesis</w:t>
      </w:r>
    </w:p>
    <w:p>
      <w:pPr>
        <w:pStyle w:val="FirstParagraph"/>
      </w:pPr>
      <w:r>
        <w:rPr>
          <w:bCs/>
          <w:b/>
        </w:rPr>
        <w:t xml:space="preserve">Alertas del método (v11)</w:t>
      </w:r>
      <w:r>
        <w:t xml:space="preserve">:</w:t>
      </w:r>
      <w:r>
        <w:t xml:space="preserve"> </w:t>
      </w:r>
      <w:r>
        <w:t xml:space="preserve">1.</w:t>
      </w:r>
      <w:r>
        <w:t xml:space="preserve"> </w:t>
      </w:r>
      <w:r>
        <w:rPr>
          <w:bCs/>
          <w:b/>
        </w:rPr>
        <w:t xml:space="preserve">Exceso sobre la guía de 11,1 puntos (&gt; 10)</w:t>
      </w:r>
      <w:r>
        <w:t xml:space="preserve">: el recorte por la guía casi no actúa. No debilita la señal, porque la v11 ya usa mi proyección, más prudente: 2.230 M frente a 2.564 M de la regla.</w:t>
      </w:r>
      <w:r>
        <w:t xml:space="preserve"> </w:t>
      </w:r>
      <w:r>
        <w:t xml:space="preserve">2.</w:t>
      </w:r>
      <w:r>
        <w:t xml:space="preserve"> </w:t>
      </w:r>
      <w:r>
        <w:rPr>
          <w:bCs/>
          <w:b/>
        </w:rPr>
        <w:t xml:space="preserve">Dos «clientes» suman el 55 % de las ventas</w:t>
      </w:r>
      <w:r>
        <w:t xml:space="preserve">: son dos distribuidores mayoristas (27 % y 28 %), no clientes finales; detrás hay más de 3.000 clientes de más de 100.000 USD. El riesgo es de cobro o de logística si uno quiebra, no de demanda. Debilita poco.</w:t>
      </w:r>
      <w:r>
        <w:t xml:space="preserve"> </w:t>
      </w:r>
      <w:r>
        <w:t xml:space="preserve">3.</w:t>
      </w:r>
      <w:r>
        <w:t xml:space="preserve"> </w:t>
      </w:r>
      <w:r>
        <w:rPr>
          <w:bCs/>
          <w:b/>
        </w:rPr>
        <w:t xml:space="preserve">Pagos en acciones del 22,2 % de las ventas</w:t>
      </w:r>
      <w:r>
        <w:t xml:space="preserve">: restándolos, la regla del 40 baja a 38,8 y la puntuación a 76,3; la señal no cambia. Debilita la calidad del FCF: buena parte de la caja se «paga» con acciones nuevas.</w:t>
      </w:r>
    </w:p>
    <w:p>
      <w:pPr>
        <w:pStyle w:val="BodyText"/>
      </w:pPr>
      <w:r>
        <w:rPr>
          <w:bCs/>
          <w:b/>
        </w:rPr>
        <w:t xml:space="preserve">Lo que más pesa en contra de la señal</w:t>
      </w:r>
      <w:r>
        <w:t xml:space="preserve">:</w:t>
      </w:r>
      <w:r>
        <w:t xml:space="preserve"> </w:t>
      </w:r>
      <w:r>
        <w:t xml:space="preserve">-</w:t>
      </w:r>
      <w:r>
        <w:t xml:space="preserve"> </w:t>
      </w:r>
      <w:r>
        <w:rPr>
          <w:bCs/>
          <w:b/>
        </w:rPr>
        <w:t xml:space="preserve">El múltiplo se queda alto en el base.</w:t>
      </w:r>
      <w:r>
        <w:t xml:space="preserve"> </w:t>
      </w:r>
      <w:r>
        <w:t xml:space="preserve">El base supone que dentro de dos años sigue a 14,4 veces. Si vuelve a su mediana (9,9 veces), el precio base sería de unos 91 USD, un 20 % menos (cálculo a mano). La regla no supone vuelta a la media a propósito, pero aquí la subida es reciente y por un motivo de moda.</w:t>
      </w:r>
      <w:r>
        <w:t xml:space="preserve"> </w:t>
      </w:r>
      <w:r>
        <w:t xml:space="preserve">-</w:t>
      </w:r>
      <w:r>
        <w:t xml:space="preserve"> </w:t>
      </w:r>
      <w:r>
        <w:rPr>
          <w:bCs/>
          <w:b/>
        </w:rPr>
        <w:t xml:space="preserve">Con probabilidades 35/50/15</w:t>
      </w:r>
      <w:r>
        <w:t xml:space="preserve"> </w:t>
      </w:r>
      <w:r>
        <w:t xml:space="preserve">(prueba de robustez), la ponderada baja al 3,6 % y pasa a Mantener. No le toca por el método (no depende de un producto ni de una decisión regulatoria), pero muestra que el margen es estrecho.</w:t>
      </w:r>
      <w:r>
        <w:t xml:space="preserve"> </w:t>
      </w:r>
      <w:r>
        <w:t xml:space="preserve">-</w:t>
      </w:r>
      <w:r>
        <w:t xml:space="preserve"> </w:t>
      </w:r>
      <w:r>
        <w:rPr>
          <w:bCs/>
          <w:b/>
        </w:rPr>
        <w:t xml:space="preserve">Competencia de gigantes</w:t>
      </w:r>
      <w:r>
        <w:t xml:space="preserve">: las copias propias de Microsoft y AWS, y Cohesity-Veritas con más tamaño.</w:t>
      </w:r>
      <w:r>
        <w:t xml:space="preserve"> </w:t>
      </w:r>
      <w:r>
        <w:t xml:space="preserve">-</w:t>
      </w:r>
      <w:r>
        <w:t xml:space="preserve"> </w:t>
      </w:r>
      <w:r>
        <w:rPr>
          <w:bCs/>
          <w:b/>
        </w:rPr>
        <w:t xml:space="preserve">Riesgo de IA: bajo o favorable, con matices.</w:t>
      </w:r>
      <w:r>
        <w:t xml:space="preserve"> </w:t>
      </w:r>
      <w:r>
        <w:t xml:space="preserve">La IA multiplica los ataques y hace más necesaria la recuperación. Rubrik no vende algo que un modelo pueda sustituir: guarda y recupera los datos, una función física y de confianza. El riesgo está en que las grandes plataformas de IA o de nube incorporen seguridad de agentes en su producto, y Agent Cloud aún no factura nada relevante.</w:t>
      </w:r>
    </w:p>
    <w:p>
      <w:pPr>
        <w:pStyle w:val="BodyText"/>
      </w:pPr>
      <w:r>
        <w:rPr>
          <w:bCs/>
          <w:b/>
        </w:rPr>
        <w:t xml:space="preserve">Señales de venta concretas</w:t>
      </w:r>
      <w:r>
        <w:t xml:space="preserve">: ventas por debajo de la guía en un trimestre; dos trimestres seguidos con el ARR de suscripción creciendo menos del 20 %; retención neta por debajo del 110 %; el FCF del año por debajo de 300 M USD; o una ponderada de −10 % o peor con el objetivo de este informe (precio por encima de unos 144 USD).</w:t>
      </w:r>
    </w:p>
    <w:bookmarkEnd w:id="30"/>
    <w:bookmarkStart w:id="31" w:name="catalizadores-con-fecha"/>
    <w:p>
      <w:pPr>
        <w:pStyle w:val="Heading2"/>
      </w:pPr>
      <w:r>
        <w:t xml:space="preserve">12. Catalizadores con fecha</w:t>
      </w:r>
    </w:p>
    <w:p>
      <w:pPr>
        <w:numPr>
          <w:ilvl w:val="0"/>
          <w:numId w:val="1009"/>
        </w:numPr>
        <w:pStyle w:val="Compact"/>
      </w:pPr>
      <w:r>
        <w:rPr>
          <w:bCs/>
          <w:b/>
        </w:rPr>
        <w:t xml:space="preserve">Principios de diciembre de 2026</w:t>
      </w:r>
      <w:r>
        <w:t xml:space="preserve"> </w:t>
      </w:r>
      <w:r>
        <w:t xml:space="preserve">(estimada; el año pasado, 4-dic): resultados del 3T27. Lo que hay que mirar: ARR nuevo en la nube, retención neta y la guía del ejercicio 2028.</w:t>
      </w:r>
    </w:p>
    <w:p>
      <w:pPr>
        <w:numPr>
          <w:ilvl w:val="0"/>
          <w:numId w:val="1009"/>
        </w:numPr>
        <w:pStyle w:val="Compact"/>
      </w:pPr>
      <w:r>
        <w:rPr>
          <w:bCs/>
          <w:b/>
        </w:rPr>
        <w:t xml:space="preserve">Marzo de 2027</w:t>
      </w:r>
      <w:r>
        <w:t xml:space="preserve">: resultados del año y primera guía del ejercicio 2028.</w:t>
      </w:r>
    </w:p>
    <w:p>
      <w:pPr>
        <w:numPr>
          <w:ilvl w:val="0"/>
          <w:numId w:val="1009"/>
        </w:numPr>
        <w:pStyle w:val="Compact"/>
      </w:pPr>
      <w:r>
        <w:rPr>
          <w:bCs/>
          <w:b/>
        </w:rPr>
        <w:t xml:space="preserve">Sin fecha</w:t>
      </w:r>
      <w:r>
        <w:t xml:space="preserve">: primeros ingresos de Agent Cloud e identidad; posible conversión de los bonos si la acción supera los 124,8 USD (la opción con techo lo compensa hasta 175,1 USD).</w:t>
      </w:r>
    </w:p>
    <w:bookmarkEnd w:id="31"/>
    <w:bookmarkStart w:id="32" w:name="encaje-en-cartera"/>
    <w:p>
      <w:pPr>
        <w:pStyle w:val="Heading2"/>
      </w:pPr>
      <w:r>
        <w:t xml:space="preserve">13. Encaje en cartera</w:t>
      </w:r>
    </w:p>
    <w:p>
      <w:pPr>
        <w:numPr>
          <w:ilvl w:val="0"/>
          <w:numId w:val="1010"/>
        </w:numPr>
        <w:pStyle w:val="Compact"/>
      </w:pPr>
      <w:r>
        <w:rPr>
          <w:bCs/>
          <w:b/>
        </w:rPr>
        <w:t xml:space="preserve">Bolsillo growth lleno</w:t>
      </w:r>
      <w:r>
        <w:t xml:space="preserve"> </w:t>
      </w:r>
      <w:r>
        <w:t xml:space="preserve">(~20 %): Nu +22 %, Axon +35 %, Shopify +19 %, Snowflake +16 % y Samsara +17 % (ponderada al precio actual con la v11). Sin liquidez libre: solo cabe sustituir.</w:t>
      </w:r>
    </w:p>
    <w:p>
      <w:pPr>
        <w:numPr>
          <w:ilvl w:val="0"/>
          <w:numId w:val="1010"/>
        </w:numPr>
        <w:pStyle w:val="Compact"/>
      </w:pPr>
      <w:r>
        <w:rPr>
          <w:bCs/>
          <w:b/>
        </w:rPr>
        <w:t xml:space="preserve">¿Sustituye a alguna?</w:t>
      </w:r>
      <w:r>
        <w:t xml:space="preserve"> </w:t>
      </w:r>
      <w:r>
        <w:t xml:space="preserve">No. Rubrik da +13,9 % al cierre y +16,4 % al precio de fuera de hora, con convicción media. La más floja de la cartera, Snowflake, da +16 % con la misma convicción. No hay margen para pagar el coste de rotar, y las dos tienen el mismo problema: una subida vertical en 6 meses.</w:t>
      </w:r>
    </w:p>
    <w:p>
      <w:pPr>
        <w:numPr>
          <w:ilvl w:val="0"/>
          <w:numId w:val="1010"/>
        </w:numPr>
        <w:pStyle w:val="Compact"/>
      </w:pPr>
      <w:r>
        <w:rPr>
          <w:bCs/>
          <w:b/>
        </w:rPr>
        <w:t xml:space="preserve">Exposición a IA</w:t>
      </w:r>
      <w:r>
        <w:t xml:space="preserve">: Alphabet se vende mañana y no cuenta. Rubrik añadiría una exposición a IA distinta (seguridad y recuperación), pero Snowflake y Samsara ya cubren la parte de datos e IA física.</w:t>
      </w:r>
    </w:p>
    <w:p>
      <w:pPr>
        <w:numPr>
          <w:ilvl w:val="0"/>
          <w:numId w:val="1010"/>
        </w:numPr>
        <w:pStyle w:val="Compact"/>
      </w:pPr>
      <w:r>
        <w:rPr>
          <w:bCs/>
          <w:b/>
        </w:rPr>
        <w:t xml:space="preserve">Puesto de suplente: cuarta.</w:t>
      </w:r>
      <w:r>
        <w:t xml:space="preserve"> </w:t>
      </w:r>
      <w:r>
        <w:t xml:space="preserve">Orden: MongoDB, Toast, Zscaler,</w:t>
      </w:r>
      <w:r>
        <w:t xml:space="preserve"> </w:t>
      </w:r>
      <w:r>
        <w:rPr>
          <w:bCs/>
          <w:b/>
        </w:rPr>
        <w:t xml:space="preserve">Rubrik</w:t>
      </w:r>
      <w:r>
        <w:t xml:space="preserve">, dLocal, Dexcom, argenx, Datadog, Saab, Natera e Ypsomed. Va detrás de Zscaler, que da algo más (+16 %), cotiza por debajo de su mediana y es del mismo sector. Va delante de dLocal porque su señal no depende de cómo se mida la comisión, y delante de Datadog porque esta tiene la alerta de euforia a 6 meses activa.</w:t>
      </w:r>
    </w:p>
    <w:p>
      <w:pPr>
        <w:numPr>
          <w:ilvl w:val="0"/>
          <w:numId w:val="1010"/>
        </w:numPr>
        <w:pStyle w:val="Compact"/>
      </w:pPr>
      <w:r>
        <w:rPr>
          <w:bCs/>
          <w:b/>
        </w:rPr>
        <w:t xml:space="preserve">Si entra</w:t>
      </w:r>
      <w:r>
        <w:t xml:space="preserve">: 4 % en dos tramos, la mitad por debajo de 123,6 USD y la otra mitad tras los resultados del 3T, si el ARR de suscripción crece al menos un 28 % y la guía del ejercicio 2028 queda por encima del 20 %.</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18,3</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16</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6</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9</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79,3</w:t>
            </w:r>
          </w:p>
        </w:tc>
        <w:tc>
          <w:tcPr/>
          <w:p>
            <w:pPr>
              <w:pStyle w:val="Compact"/>
              <w:jc w:val="left"/>
            </w:pPr>
            <w:r>
              <w:rPr>
                <w:bCs/>
                <w:b/>
              </w:rPr>
              <w:t xml:space="preserve">100</w:t>
            </w:r>
          </w:p>
        </w:tc>
      </w:tr>
    </w:tbl>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w:t>
      </w:r>
      <w:r>
        <w:t xml:space="preserve">, Comprar con cautela en tramos. Avisos: el objetivo se mueve con el precio si se recalcula (por eso se deja fijo en 129,8 USD y el límite es 123,6 USD); el precio ya descuenta un 22 % anual a 10 años, algo más que el crecimiento del año objetivo (21 %); con 35/50/15 pasa a Mantener.</w:t>
      </w:r>
    </w:p>
    <w:bookmarkEnd w:id="33"/>
    <w:bookmarkStart w:id="34" w:name="fuentes"/>
    <w:p>
      <w:pPr>
        <w:pStyle w:val="Heading2"/>
      </w:pPr>
      <w:r>
        <w:t xml:space="preserve">Fuentes</w:t>
      </w:r>
    </w:p>
    <w:p>
      <w:pPr>
        <w:numPr>
          <w:ilvl w:val="0"/>
          <w:numId w:val="1011"/>
        </w:numPr>
        <w:pStyle w:val="Compact"/>
      </w:pPr>
      <w:r>
        <w:t xml:space="preserve">Rubrik, nota de resultados del 2T del ejercicio 2027 (27-ago-2026), 8-K ex. 99.1, SEC.</w:t>
      </w:r>
    </w:p>
    <w:p>
      <w:pPr>
        <w:numPr>
          <w:ilvl w:val="0"/>
          <w:numId w:val="1011"/>
        </w:numPr>
        <w:pStyle w:val="Compact"/>
      </w:pPr>
      <w:r>
        <w:t xml:space="preserve">Rubrik, notas de resultados del 1T27 (4-jun-2026), 4T26 (12-mar-2026), 3T26 (4-dic-2025) y 2T26 (9-sep-2025), 8-K ex. 99.1, SEC.</w:t>
      </w:r>
    </w:p>
    <w:p>
      <w:pPr>
        <w:numPr>
          <w:ilvl w:val="0"/>
          <w:numId w:val="1011"/>
        </w:numPr>
        <w:pStyle w:val="Compact"/>
      </w:pPr>
      <w:r>
        <w:t xml:space="preserve">Rubrik, 10-Q del 2T27 (1-sep-2026), SEC: acciones, opciones y RSU, convertibles, retención neta, obligaciones pendientes, concentración de distribuidores y compras.</w:t>
      </w:r>
    </w:p>
    <w:p>
      <w:pPr>
        <w:numPr>
          <w:ilvl w:val="0"/>
          <w:numId w:val="1011"/>
        </w:numPr>
        <w:pStyle w:val="Compact"/>
      </w:pPr>
      <w:r>
        <w:t xml:space="preserve">SEC XBRL companyfacts (CIK 1943896): series trimestrales de 2023 a 2026.</w:t>
      </w:r>
    </w:p>
    <w:p>
      <w:pPr>
        <w:numPr>
          <w:ilvl w:val="0"/>
          <w:numId w:val="1011"/>
        </w:numPr>
        <w:pStyle w:val="Compact"/>
      </w:pPr>
      <w:r>
        <w:t xml:space="preserve">SEC, Schedule 13G y 13G/A de 2026 (Fidelity, AQR, Vanguard, Lightspeed).</w:t>
      </w:r>
    </w:p>
    <w:p>
      <w:pPr>
        <w:numPr>
          <w:ilvl w:val="0"/>
          <w:numId w:val="1011"/>
        </w:numPr>
        <w:pStyle w:val="Compact"/>
      </w:pPr>
      <w:r>
        <w:t xml:space="preserve">Yahoo Finance chart API (RBRK, QQQ e IGV), leída el 15-oct a las 06:35 UTC; segunda fuente del cierre: Nasdaq.com.</w:t>
      </w:r>
    </w:p>
    <w:p>
      <w:pPr>
        <w:numPr>
          <w:ilvl w:val="0"/>
          <w:numId w:val="1011"/>
        </w:numPr>
        <w:pStyle w:val="Compact"/>
      </w:pPr>
      <w:r>
        <w:t xml:space="preserve">MarketBeat, operaciones de directivos de RBRK (15-oct-2026).</w:t>
      </w:r>
    </w:p>
    <w:p>
      <w:pPr>
        <w:numPr>
          <w:ilvl w:val="0"/>
          <w:numId w:val="1011"/>
        </w:numPr>
        <w:pStyle w:val="Compact"/>
      </w:pPr>
      <w:r>
        <w:t xml:space="preserve">MarketBeat y StockAnalysis (S&amp;P Global): precios objetivo, recomendaciones y consenso de ventas (7 y 15-oct-2026).</w:t>
      </w:r>
    </w:p>
    <w:p>
      <w:pPr>
        <w:numPr>
          <w:ilvl w:val="0"/>
          <w:numId w:val="1011"/>
        </w:numPr>
        <w:pStyle w:val="Compact"/>
      </w:pPr>
      <w:r>
        <w:t xml:space="preserve">TIKR, «Rubrik cae un 12 % tras batir» (31-ago-2026).</w:t>
      </w:r>
    </w:p>
    <w:p>
      <w:pPr>
        <w:numPr>
          <w:ilvl w:val="0"/>
          <w:numId w:val="1011"/>
        </w:numPr>
        <w:pStyle w:val="Compact"/>
      </w:pPr>
      <w:r>
        <w:t xml:space="preserve">Crypto Briefing, subida tras el ensayo de Dario Amodei (18-sep-2026).</w:t>
      </w:r>
    </w:p>
    <w:p>
      <w:pPr>
        <w:numPr>
          <w:ilvl w:val="0"/>
          <w:numId w:val="1011"/>
        </w:numPr>
        <w:pStyle w:val="Compact"/>
      </w:pPr>
      <w:r>
        <w:t xml:space="preserve">StockTwits (API pública, 15-oct-2026); Simply Wall St y Zacks (sep-oct 2026); Investing.com en castellano.</w:t>
      </w:r>
    </w:p>
    <w:p>
      <w:pPr>
        <w:numPr>
          <w:ilvl w:val="0"/>
          <w:numId w:val="1011"/>
        </w:numPr>
        <w:pStyle w:val="Compact"/>
      </w:pPr>
      <w:r>
        <w:t xml:space="preserve">Cálculo propio del EV y del EV/ventas de los 12 meses siguientes, diario desde abril de 2024.</w:t>
      </w:r>
    </w:p>
    <w:p>
      <w:pPr>
        <w:numPr>
          <w:ilvl w:val="0"/>
          <w:numId w:val="1011"/>
        </w:numPr>
        <w:pStyle w:val="Compact"/>
      </w:pPr>
      <w:r>
        <w:t xml:space="preserve">Comparables: StockAnalysis (cierre del 14-oct) e informes growth del repo del 14-oct.</w:t>
      </w:r>
    </w:p>
    <w:p>
      <w:pPr>
        <w:numPr>
          <w:ilvl w:val="0"/>
          <w:numId w:val="1011"/>
        </w:numPr>
        <w:pStyle w:val="Compact"/>
      </w:pPr>
      <w:r>
        <w:t xml:space="preserve">De memoria, sin verificar en esta sesión: mercado alcanzable y consenso de la ventana objetivo extrapolado.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2026-10-15T06:44:52Z</dcterms:created>
  <dcterms:modified xsi:type="dcterms:W3CDTF">2026-10-15T06:44:52Z</dcterms:modified>
</cp:coreProperties>
</file>

<file path=docProps/custom.xml><?xml version="1.0" encoding="utf-8"?>
<Properties xmlns="http://schemas.openxmlformats.org/officeDocument/2006/custom-properties" xmlns:vt="http://schemas.openxmlformats.org/officeDocument/2006/docPropsVTypes"/>
</file>