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1e7faaadc4edf3896b6f46e040fde7dc57a7ac"/>
    <w:p>
      <w:pPr>
        <w:pStyle w:val="Heading1"/>
      </w:pPr>
      <w:r>
        <w:t xml:space="preserve">Zeta Global (ZETA): análisis growth, 15-oct-2026</w:t>
      </w:r>
    </w:p>
    <w:p>
      <w:pPr>
        <w:pStyle w:val="FirstParagraph"/>
      </w:pPr>
      <w:r>
        <w:rPr>
          <w:bCs/>
          <w:b/>
        </w:rPr>
        <w:t xml:space="preserve">Señal (método v11, vigente): Vender / no comprar</w:t>
      </w:r>
      <w:r>
        <w:t xml:space="preserve"> </w:t>
      </w:r>
      <w:r>
        <w:t xml:space="preserve">· Puntuación 76,5/100 · Señales de cambio de tendencia 7/8 · EV/beneficio bruto 7,0x</w:t>
      </w:r>
      <w:r>
        <w:t xml:space="preserve"> </w:t>
      </w:r>
      <w:r>
        <w:t xml:space="preserve">Precio 32,27 USD (cierre del 14-oct) · Objetivo 12 m 26,1 USD (ponderada −19 %, base −18 %, bajista −55 %, alcista +15 %) · Compra hasta 24,9 USD</w:t>
      </w:r>
      <w:r>
        <w:t xml:space="preserve"> </w:t>
      </w:r>
      <w:r>
        <w:t xml:space="preserve">Peso orientativo: no entra</w:t>
      </w:r>
    </w:p>
    <w:p>
      <w:pPr>
        <w:pStyle w:val="BlockText"/>
      </w:pPr>
      <w:r>
        <w:rPr>
          <w:bCs/>
          <w:b/>
        </w:rPr>
        <w:t xml:space="preserve">Referencia v9:</w:t>
      </w:r>
      <w:r>
        <w:t xml:space="preserve"> </w:t>
      </w:r>
      <w:r>
        <w:t xml:space="preserve">Mantener en vigilancia, ponderada +0,3 %, base +3 %, bajista −53 %, compra hasta 30,8 USD. La diferencia es que v9 usa la proyección mecánica de ventas (2.907 M USD en el base), que arrastra el crecimiento de las compras, y v11 usa la del informe (2.300 M), cercana al consenso.</w:t>
      </w:r>
      <w:r>
        <w:t xml:space="preserve"> </w:t>
      </w:r>
      <w:r>
        <w:rPr>
          <w:bCs/>
          <w:b/>
        </w:rPr>
        <w:t xml:space="preserve">Candidatas:</w:t>
      </w:r>
      <w:r>
        <w:t xml:space="preserve"> </w:t>
      </w:r>
      <w:r>
        <w:t xml:space="preserve">v12 (con el crecimiento orgánico) da Vender, ponderada −18 %; v14 (dilución prevista del 5 % en vez de la pasada) da Vender, ponderada −12 %.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(última operación, 31,44 USD fuera de hora a las 23:59 UTC del 14-oct; la sesión del 15-oct aún no ha abierto a las 06:40 UTC) y con el objetivo fijo de 26,1 USD: rentabilidad −17 %.</w:t>
      </w:r>
      <w:r>
        <w:t xml:space="preserve"> </w:t>
      </w:r>
      <w:r>
        <w:rPr>
          <w:bCs/>
          <w:b/>
        </w:rPr>
        <w:t xml:space="preserve">Robustez:</w:t>
      </w:r>
      <w:r>
        <w:t xml:space="preserve"> </w:t>
      </w:r>
      <w:r>
        <w:t xml:space="preserve">FRÁGIL, pero la señal robusta es Vender (solo v7 la cambia, a Mantener). Sección 11.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Zeta vende una plataforma de marketing con datos propios de consumidores de EE. UU. y una capa de IA (Athena) para que las grandes marcas encuentren, retengan y hagan crecer clientes. Ventas de 12 meses de 1.571 M USD.</w:t>
      </w:r>
    </w:p>
    <w:p>
      <w:pPr>
        <w:numPr>
          <w:ilvl w:val="0"/>
          <w:numId w:val="1001"/>
        </w:numPr>
        <w:pStyle w:val="Compact"/>
      </w:pPr>
      <w:r>
        <w:t xml:space="preserve">Crece mucho, pero una parte es comprada: el último trimestre creció un 44 %, y sin compras un 28 %. Para 2026 guía un 39 % total y un 24-25 % orgánico. Lleva 20 trimestres seguidos batiendo y subiendo la guía.</w:t>
      </w:r>
    </w:p>
    <w:p>
      <w:pPr>
        <w:numPr>
          <w:ilvl w:val="0"/>
          <w:numId w:val="1001"/>
        </w:numPr>
        <w:pStyle w:val="Compact"/>
      </w:pPr>
      <w:r>
        <w:t xml:space="preserve">La percepción ha girado con fuerza: la acción ha subido un 86 % en seis meses tras los acuerdos con OpenAI y Palantir y el primer beneficio operativo GAAP. Cumple 7 de las 8 señales, sin euforia.</w:t>
      </w:r>
    </w:p>
    <w:p>
      <w:pPr>
        <w:numPr>
          <w:ilvl w:val="0"/>
          <w:numId w:val="1001"/>
        </w:numPr>
        <w:pStyle w:val="Compact"/>
      </w:pPr>
      <w:r>
        <w:t xml:space="preserve">El problema es el precio: el múltiplo de ventas se ha más que duplicado (4,2 veces las ventas de los 12 meses siguientes frente a una mediana de 3 años de 2,3) y para dentro de dos años el consenso espera un crecimiento de solo el 16 %. Con un múltiplo que baja al frenar el crecimiento y una dilución del 13 % anual, el escenario base pierde un 18 %.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no comprar</w:t>
      </w:r>
      <w:r>
        <w:t xml:space="preserve"> </w:t>
      </w:r>
      <w:r>
        <w:t xml:space="preserve">a 32 USD. Buen negocio, mal momento de entrada. Pasaría a vigilancia por debajo de 25 USD, o antes si los resultados del 3T (hacia el 3-nov) llevan a subir las previsiones de 2027 por encima del 20 %.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Zeta vende el uso de su plataforma de marketing (Zeta Marketing Platform) y de sus datos: identifica a consumidores (más de 240 millones de perfiles de EE. UU., según la propia empresa), predice qué comprarán y lanza campañas por correo, web, redes, televisión conectada y fidelización. La mayor parte se cobra por uso, no por suscripción fija 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Plataforma directa</w:t>
      </w:r>
      <w:r>
        <w:t xml:space="preserve"> </w:t>
      </w:r>
      <w:r>
        <w:t xml:space="preserve">(74 % de las ventas de 2025): todo pasa por su plataforma, con más margen.</w:t>
      </w:r>
      <w:r>
        <w:t xml:space="preserve"> </w:t>
      </w:r>
      <w:r>
        <w:rPr>
          <w:bCs/>
          <w:b/>
        </w:rPr>
        <w:t xml:space="preserve">Integrada</w:t>
      </w:r>
      <w:r>
        <w:t xml:space="preserve"> </w:t>
      </w:r>
      <w:r>
        <w:t xml:space="preserve">(26 %): se apoya en terceros (compra de medios), con menos margen [5].</w:t>
      </w:r>
    </w:p>
    <w:p>
      <w:pPr>
        <w:numPr>
          <w:ilvl w:val="0"/>
          <w:numId w:val="1002"/>
        </w:numPr>
        <w:pStyle w:val="Compact"/>
      </w:pPr>
      <w:r>
        <w:t xml:space="preserve">Clientes: grandes marcas de consumo (24 % de las ventas), viajes (11 %), seguros (11 %), telecomunicaciones (10 %) y finanzas (8 %). 197 clientes pagan más de 1 M USD al año y aportan el 87 % de las ventas [1][5].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 nuevo</w:t>
      </w:r>
      <w:r>
        <w:t xml:space="preserve"> </w:t>
      </w:r>
      <w:r>
        <w:t xml:space="preserve">es la capa de IA: Athena, un agente conversacional sobre sus datos (con modelos de OpenAI desde enero de 2026) y la reconstrucción de su nube de datos sobre Palantir Foundry (junio de 2026). La empresa espera más de 100 M USD al año de Palantir con el tiempo; aún no hay cliente conjunto confirmado [15].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Compras:</w:t>
      </w:r>
      <w:r>
        <w:t xml:space="preserve"> </w:t>
      </w:r>
      <w:r>
        <w:t xml:space="preserve">LiveIntent (publicidad en correos, oct-2024) y la parte empresarial de Marigold (Cheetah Digital, Selligent, Sailthru, fidelización; nov-2025, hasta 325 M USD, unos 190 M de ventas al año) [3].</w:t>
      </w:r>
    </w:p>
    <w:p>
      <w:pPr>
        <w:pStyle w:val="FirstParagraph"/>
      </w:pPr>
      <w:r>
        <w:rPr>
          <w:bCs/>
          <w:b/>
        </w:rPr>
        <w:t xml:space="preserve">Tecnología 3/5:</w:t>
      </w:r>
      <w:r>
        <w:t xml:space="preserve"> </w:t>
      </w:r>
      <w:r>
        <w:t xml:space="preserve">el activo de datos propio es real y difícil de copiar, pero hay alternativas (Salesforce, Adobe, Braze, Klaviyo) y la forma de captar parte de esos datos está en entredicho (sección 11).</w:t>
      </w:r>
      <w:r>
        <w:t xml:space="preserve"> </w:t>
      </w:r>
      <w:r>
        <w:rPr>
          <w:bCs/>
          <w:b/>
        </w:rPr>
        <w:t xml:space="preserve">Posición 3/5:</w:t>
      </w:r>
      <w:r>
        <w:t xml:space="preserve"> </w:t>
      </w:r>
      <w:r>
        <w:t xml:space="preserve">fuerte en grandes cuentas de EE. UU., pero no es el líder del sector.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compras ni candidatos políticos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+3,4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 (+28 %)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 con Marigold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+4,9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 (+29 %)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+10,0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 (+28 %)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469-472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+39-40 %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+23-24 %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Años: 2023, 728,7 M; 2024, 1.005,8 M (+38 %); 2025, 1.304,7 M (+30 %); 2026 guiado, 1.817,5 M (+39 %) [1][2][4][5].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12 meses:</w:t>
      </w:r>
      <w:r>
        <w:t xml:space="preserve"> </w:t>
      </w:r>
      <w:r>
        <w:t xml:space="preserve">+35,9 %.</w:t>
      </w:r>
      <w:r>
        <w:t xml:space="preserve"> </w:t>
      </w:r>
      <w:r>
        <w:rPr>
          <w:bCs/>
          <w:b/>
        </w:rPr>
        <w:t xml:space="preserve">Último trimestre:</w:t>
      </w:r>
      <w:r>
        <w:t xml:space="preserve"> </w:t>
      </w:r>
      <w:r>
        <w:t xml:space="preserve">+43,6 %.</w:t>
      </w:r>
      <w:r>
        <w:t xml:space="preserve"> </w:t>
      </w:r>
      <w:r>
        <w:rPr>
          <w:bCs/>
          <w:b/>
        </w:rPr>
        <w:t xml:space="preserve">Aceleración:</w:t>
      </w:r>
      <w:r>
        <w:t xml:space="preserve"> </w:t>
      </w:r>
      <w:r>
        <w:t xml:space="preserve">+9,5 pp. </w:t>
      </w:r>
      <w:r>
        <w:rPr>
          <w:bCs/>
          <w:b/>
        </w:rPr>
        <w:t xml:space="preserve">Crecimiento compuesto a 2 años:</w:t>
      </w:r>
      <w:r>
        <w:t xml:space="preserve"> </w:t>
      </w:r>
      <w:r>
        <w:t xml:space="preserve">+38,2 %. Las tres cifras llevan compras: la aceleración del 1T y 2T de 2026 es sobre todo Marigold (unos 50 M por trimestre).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Orgánico:</w:t>
      </w:r>
      <w:r>
        <w:t xml:space="preserve"> </w:t>
      </w:r>
      <w:r>
        <w:t xml:space="preserve">+28-29 % en los dos últimos trimestres; la guía orgánica de 2026 es +24-25 %. Para los 12 meses siguientes se toma +25 % (</w:t>
      </w:r>
      <w:r>
        <w:rPr>
          <w:rStyle w:val="VerbatimChar"/>
        </w:rPr>
        <w:t xml:space="preserve">crecimiento_actual_organico_pct</w:t>
      </w:r>
      <w:r>
        <w:t xml:space="preserve">), sin sumar la batida habitual.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2026 de 1.811-1.824 M. Pasada la mitad del año, el segundo semestre implícito crece un 33,7 % (con compras). Batida media sobre la guía trimestral: 6,4 puntos. Objetivo «Zeta 2028»: al menos 2.300 M de ventas, 573 M de EBITDA y 371 M de FCF [2].</w:t>
      </w:r>
    </w:p>
    <w:p>
      <w:pPr>
        <w:numPr>
          <w:ilvl w:val="0"/>
          <w:numId w:val="1003"/>
        </w:numPr>
        <w:pStyle w:val="Compact"/>
      </w:pPr>
      <w:r>
        <w:t xml:space="preserve">No publica retención neta en dólares.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software de nube de marketing, datos de clientes, correo y fidelización, unos 60.000 M USD (de memoria, sin verificar; la empresa habla de cifras mucho mayores). Penetración: 2,6 %.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Rivales:</w:t>
      </w:r>
      <w:r>
        <w:t xml:space="preserve"> </w:t>
      </w:r>
      <w:r>
        <w:t xml:space="preserve">Salesforce Marketing Cloud y Adobe Experience Cloud (los grandes), Braze y Klaviyo (más ligeros), y las plataformas de publicidad (The Trade Desk). Zeta gana cuando el cliente quiere datos propios de consumidores además del software: es su diferencia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 ahora:</w:t>
      </w:r>
      <w:r>
        <w:t xml:space="preserve"> </w:t>
      </w:r>
      <w:r>
        <w:t xml:space="preserve">muchas empresas están cambiando de nube de marketing para meter IA, y Zeta ofrece datos más plataforma más agente en un solo contrato. Lo demuestra el crecimiento orgánico del 28 % frente a rivales que crecen menos del 20 % (de memoria).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2026 subida tres veces en el año (de 1.730 a 1.817,5 M); ocho casas suben el precio objetivo en octubre (RBC, Needham, KeyBanc, Truist, Canaccord, DA Davidson, Roth y otras). Basada en guía y precios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 y subiendo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32,27 USD frente a una media de 21,85 que sube (18,77 hace tres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+86 % frente a +14 % del Nasdaq-100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de ~1,9x en el mínimo de marzo a 4,2x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beneficio operativo GAAP de peso en el 2T26 (3,8 % de las ventas frente a −1,7 %)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Subidas de precio objetivo y artículos favorables; sin euforia (objetivo medio de 36 USD, solo un 11 % por encima)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concesiones, ejercicios y una venta de un consejero; ninguna compra en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hacia el 3-nov, primer cliente con Palantir, monetización de Athena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[1][15]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 68 % en 12 meses (el veto exige un 150 %) y un 86 % en 6 meses (la alerta de v13 exige un 100 %). El múltiplo es 1,8 veces su mediana de 3 años: alto, pero por debajo de la alerta de 2 veces.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bruto:</w:t>
      </w:r>
      <w:r>
        <w:t xml:space="preserve"> </w:t>
      </w:r>
      <w:r>
        <w:t xml:space="preserve">59,5 % (sin amortizaciones), bajo para software porque incluye compra de medios y datos.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40:</w:t>
      </w:r>
      <w:r>
        <w:t xml:space="preserve"> </w:t>
      </w:r>
      <w:r>
        <w:t xml:space="preserve">48,8 (crecimiento del 35,9 % más margen FCF del 12,9 %). Con el crecimiento orgánico serían unos 41.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FCF:</w:t>
      </w:r>
      <w:r>
        <w:t xml:space="preserve"> </w:t>
      </w:r>
      <w:r>
        <w:t xml:space="preserve">203 M USD en 12 meses, creciente (+73 % en el 2T); guía de 2026 de 255 M. EBITDA ajustado del 21 %.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Rentabilidad GAAP:</w:t>
      </w:r>
      <w:r>
        <w:t xml:space="preserve"> </w:t>
      </w:r>
      <w:r>
        <w:t xml:space="preserve">recién estrenada (beneficio neto de 8,2 M en el 2T26, pérdida de 5,1 M en el semestre). Por eso se valora por EV/ventas y no por EV/EBITDA; el EV/EBITDA de los 12 meses siguientes, como contraste, es de 18,5x [1][10].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t xml:space="preserve">Caja de 310 M USD y deuda de 251 M (préstamo de 200 M y 51 M pendientes de pagar por compras). En julio firmó un crédito de 1.000 M (préstamo de 250 M y línea de 750 M sin usar) «para compras y recompras» [1][14]. Pista: FCF positivo.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12,4 % de las ventas</w:t>
      </w:r>
      <w:r>
        <w:t xml:space="preserve"> </w:t>
      </w:r>
      <w:r>
        <w:t xml:space="preserve">(194 M USD en 12 meses). Por debajo del umbral rojo del 15 %, pero se comen la mitad del EBITDA ajustado y casi todo el FCF.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Dilución: 12,9 % en un año</w:t>
      </w:r>
      <w:r>
        <w:t xml:space="preserve"> </w:t>
      </w:r>
      <w:r>
        <w:t xml:space="preserve">(acciones medias de 217,3 M a 245,3 M). Unos 4 puntos son acciones entregadas por Marigold; el resto, pagos en acciones netos de recompras (55,6 M USD recomprados en el semestre). Para los 12 meses siguientes, sin compras pagadas en acciones, se estima un 5 % (</w:t>
      </w:r>
      <w:r>
        <w:rPr>
          <w:rStyle w:val="VerbatimChar"/>
        </w:rPr>
        <w:t xml:space="preserve">dilucion_esperada_pct</w:t>
      </w:r>
      <w:r>
        <w:t xml:space="preserve">, para v14).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5/5:</w:t>
      </w:r>
      <w:r>
        <w:t xml:space="preserve"> </w:t>
      </w:r>
      <w:r>
        <w:t xml:space="preserve">20 trimestres seguidos batiendo y subiendo la guía.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3/5:</w:t>
      </w:r>
      <w:r>
        <w:t xml:space="preserve"> </w:t>
      </w:r>
      <w:r>
        <w:t xml:space="preserve">el fundador, David Steinberg, sigue al frente y controla votos con las acciones de clase B; asignación de capital agresiva (dos compras grandes en un año y un crédito nuevo para más) y pagos en acciones muy altos. Pesan además el informe de Culper y la demanda de accionistas que sigue viva.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Métrica: EV/ventas de los 12 meses siguientes (EV 8.221 M USD; ventas de los 12 meses siguientes ~1.985 M; 4,2x). Ventana del objetivo: 12 meses a junio de 2028.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−19 %</w:t>
            </w:r>
          </w:p>
        </w:tc>
      </w:tr>
    </w:tbl>
    <w:p>
      <w:pPr>
        <w:pStyle w:val="BodyText"/>
      </w:pPr>
      <w:r>
        <w:t xml:space="preserve">(Cifras de</w:t>
      </w:r>
      <w:r>
        <w:t xml:space="preserve"> </w:t>
      </w:r>
      <w:r>
        <w:rPr>
          <w:rStyle w:val="VerbatimChar"/>
        </w:rPr>
        <w:t xml:space="preserve">calc</w:t>
      </w:r>
      <w:r>
        <w:t xml:space="preserve">, método v11.)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Ventas:</w:t>
      </w:r>
      <w:r>
        <w:t xml:space="preserve"> </w:t>
      </w:r>
      <w:r>
        <w:t xml:space="preserve">las del informe, cercanas al consenso. El</w:t>
      </w:r>
      <w:r>
        <w:t xml:space="preserve"> </w:t>
      </w:r>
      <w:r>
        <w:rPr>
          <w:bCs/>
          <w:b/>
        </w:rPr>
        <w:t xml:space="preserve">consenso</w:t>
      </w:r>
      <w:r>
        <w:t xml:space="preserve"> </w:t>
      </w:r>
      <w:r>
        <w:t xml:space="preserve">para esa ventana ronda los 2.250 M (2027 ~2.040 M y 2028 ~2.400 M, aproximado y anterior a la subida de guía de agosto). El objetivo de la empresa para el año 2028 es de al menos 2.300 M. La proyección mecánica da 2.907 M porque arrastra el crecimiento comprado; v11 la descarta y usa la menor.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Múltiplo base:</w:t>
      </w:r>
      <w:r>
        <w:t xml:space="preserve"> </w:t>
      </w:r>
      <w:r>
        <w:t xml:space="preserve">el de hoy rebajado un 22 % porque el crecimiento pasa del 26 % al 16 %.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 que mueve el resultado:</w:t>
      </w:r>
      <w:r>
        <w:t xml:space="preserve"> </w:t>
      </w:r>
      <w:r>
        <w:t xml:space="preserve">si el crecimiento orgánico se mantiene en un 22-23 % (base de 2.450 M), la ponderada sube a +3 % (Mantener); si además la dilución baja al 5 %, a +11 % (Comprar, compra hasta 34,1 USD). Es decir, el precio de hoy ya cuenta con que Zeta bata al consenso de 2027 y frene la dilución.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precio descuenta un crecimiento del 10,8 % anual durante 10 años (margen FCF maduro del 20 %, descuento del 10 %). Es poco frente al 28 % orgánico actual, pero ese FCF no resta los pagos en acciones.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Comparables:</w:t>
      </w:r>
      <w:r>
        <w:t xml:space="preserve"> </w:t>
      </w:r>
      <w:r>
        <w:t xml:space="preserve">HubSpot 2,5x (informe del repo), Braze, Klaviyo, Salesforce y Adobe entre 3 y 5x (de memoria); mediana ~3,5x. Zeta cotiza por encima de su mediana y de la de sus rivales.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</w:t>
      </w:r>
      <w:r>
        <w:t xml:space="preserve"> </w:t>
      </w:r>
      <w:r>
        <w:t xml:space="preserve">(10-oct): «las acciones se han duplicado y sigo alcista», 32,5 veces el FCF de 2026.</w:t>
      </w:r>
      <w:r>
        <w:t xml:space="preserve"> </w:t>
      </w:r>
      <w:r>
        <w:rPr>
          <w:bCs/>
          <w:b/>
        </w:rPr>
        <w:t xml:space="preserve">Motley Fool</w:t>
      </w:r>
      <w:r>
        <w:t xml:space="preserve"> </w:t>
      </w:r>
      <w:r>
        <w:t xml:space="preserve">(13-oct) la presenta como apuesta de IA [11].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 y SentiSense:</w:t>
      </w:r>
      <w:r>
        <w:t xml:space="preserve"> </w:t>
      </w:r>
      <w:r>
        <w:t xml:space="preserve">ligeramente alcista en agosto, enfriándose; en octubre domina el tono de «empresa de IA» [12]. No encontré hilos útiles en Reddit ni en Rankia tras tres búsquedas.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11 compra, 3 mantener y 1 venta; objetivo medio de 36 USD, máximo de 55 (Roth) [7].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entusiasmo se apoya en los acuerdos con OpenAI y Palantir, que aún no aportan ventas visibles. Los datos sí respaldan el crecimiento orgánico y la mejora de márgenes.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 informe de Culper sigue en el ambiente:</w:t>
      </w:r>
      <w:r>
        <w:t xml:space="preserve"> </w:t>
      </w:r>
      <w:r>
        <w:t xml:space="preserve">la caída del 37 % de noviembre de 2024 y la demanda colectiva se citan en cada hilo bajista.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Alertas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Proyección mecánica (2.907 M) más de 1,2 veces la del informe (2.300 M):</w:t>
      </w:r>
      <w:r>
        <w:t xml:space="preserve"> </w:t>
      </w:r>
      <w:r>
        <w:t xml:space="preserve">esperada, porque la mecánica proyecta dos años el crecimiento que dieron las compras. v11 usa la del informe; con v12, que parte del orgánico, la mecánica baja a 2.495 M y sigue por encima. No debilita la señal de Vender: la refuerza, porque la versión optimista (v9) apenas llega a Mantener.</w:t>
      </w:r>
    </w:p>
    <w:p>
      <w:pPr>
        <w:pStyle w:val="BodyText"/>
      </w:pPr>
      <w:r>
        <w:rPr>
          <w:bCs/>
          <w:b/>
        </w:rPr>
        <w:t xml:space="preserve">Pruebas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FRÁGIL</w:t>
      </w:r>
      <w:r>
        <w:t xml:space="preserve">, señal robusta</w:t>
      </w:r>
      <w:r>
        <w:t xml:space="preserve"> </w:t>
      </w:r>
      <w:r>
        <w:rPr>
          <w:bCs/>
          <w:b/>
        </w:rPr>
        <w:t xml:space="preserve">Vender</w:t>
      </w:r>
      <w:r>
        <w:t xml:space="preserve">. Solo v7 la cambia a Mantener (+0,3 %); con las ventas del analista, con pesos 35/50/15 y con el precio de hoy sigue en Vender. Avisos: G2 (el objetivo se mueve con el precio; el límite es el del informe, 24,9 USD) y G6 (bajista del −55 %). «Frágil» aquí significa que una versión antigua lo dejaría en Mantener, no que pueda pasar a Comprar.</w:t>
      </w:r>
    </w:p>
    <w:p>
      <w:pPr>
        <w:pStyle w:val="BodyText"/>
      </w:pPr>
      <w:r>
        <w:rPr>
          <w:bCs/>
          <w:b/>
        </w:rPr>
        <w:t xml:space="preserve">Objeciones más fuertes y respuesta: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«El consenso se quedará corto, como siempre con Zeta.»</w:t>
      </w:r>
      <w:r>
        <w:t xml:space="preserve"> </w:t>
      </w:r>
      <w:r>
        <w:t xml:space="preserve">Es posible: bate la guía por 6 puntos de media. Pero para comprar hace falta que crezca más del 22 % orgánico en 2027 y que la dilución baje a la mitad; las dos cosas a la vez no son el caso base.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«Es una empresa de IA y merece más múltiplo.»</w:t>
      </w:r>
      <w:r>
        <w:t xml:space="preserve"> </w:t>
      </w:r>
      <w:r>
        <w:t xml:space="preserve">El múltiplo ya se ha duplicado. El método no premia la historia hasta que se ve en las ventas (Palantir aún no tiene cliente conjunto).</w:t>
      </w:r>
    </w:p>
    <w:p>
      <w:pPr>
        <w:pStyle w:val="BodyText"/>
      </w:pPr>
      <w:r>
        <w:rPr>
          <w:bCs/>
          <w:b/>
        </w:rPr>
        <w:t xml:space="preserve">Otros riesgos: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Datos y regulación:</w:t>
      </w:r>
      <w:r>
        <w:t xml:space="preserve"> </w:t>
      </w:r>
      <w:r>
        <w:t xml:space="preserve">Culper (nov-2024) acusó a Zeta de captar datos con webs engañosas («consent farming») y de contratos de ida y vuelta con proveedores. Zeta lo niega y su auditor firmó sin salvedades, pero el 8-jul-2026 el juez rechazó archivar la demanda de accionistas, que pasa a la fase de pruebas. Una ley de privacidad federal o estatal más dura golpearía su activo principal [6][9].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Concentración:</w:t>
      </w:r>
      <w:r>
        <w:t xml:space="preserve"> </w:t>
      </w:r>
      <w:r>
        <w:t xml:space="preserve">un cliente supera el 10 % de las ventas (no dice cuánto) y los diez mayores, más de un tercio; varias agencias de un mismo grupo pueden contar como clientes distintos [5].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Compras en serie:</w:t>
      </w:r>
      <w:r>
        <w:t xml:space="preserve"> </w:t>
      </w:r>
      <w:r>
        <w:t xml:space="preserve">el crecimiento total depende de seguir comprando; el crédito nuevo apunta a más.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Riesgo de IA:</w:t>
      </w:r>
      <w:r>
        <w:t xml:space="preserve"> </w:t>
      </w:r>
      <w:r>
        <w:t xml:space="preserve">dos caras. A favor, la IA necesita datos propios y Zeta los tiene. En contra, los agentes de IA de Salesforce, Adobe o de los propios modelos pueden hacer menos necesaria una plataforma intermedia, y la búsqueda con IA reduce el valor del correo y la publicidad dirigida. Lo veo como riesgo medio.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Pagos en acciones:</w:t>
      </w:r>
      <w:r>
        <w:t xml:space="preserve"> </w:t>
      </w:r>
      <w:r>
        <w:t xml:space="preserve">12 % de las ventas y dilución del 13 %.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Señales de venta concretas:</w:t>
      </w:r>
      <w:r>
        <w:t xml:space="preserve"> </w:t>
      </w:r>
      <w:r>
        <w:t xml:space="preserve">crecimiento orgánico por debajo del 20 % dos trimestres seguidos, pérdida del mayor cliente, una sentencia o acuerdo grande en la demanda, o una actuación de la FTC sobre su captación de datos.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≈3-nov-2026:</w:t>
      </w:r>
      <w:r>
        <w:t xml:space="preserve"> </w:t>
      </w:r>
      <w:r>
        <w:t xml:space="preserve">resultados del 3T26 (guía 469-472 M) y probablemente la primera guía de 2027.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4T26:</w:t>
      </w:r>
      <w:r>
        <w:t xml:space="preserve"> </w:t>
      </w:r>
      <w:r>
        <w:t xml:space="preserve">primer cliente conjunto con Palantir (la empresa lo esperaba en el trimestre siguiente a julio).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2027:</w:t>
      </w:r>
      <w:r>
        <w:t xml:space="preserve"> </w:t>
      </w:r>
      <w:r>
        <w:t xml:space="preserve">fase de pruebas de la demanda colectiva.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Elecciones de mitad de mandato (nov-2026):</w:t>
      </w:r>
      <w:r>
        <w:t xml:space="preserve"> </w:t>
      </w:r>
      <w:r>
        <w:t xml:space="preserve">algo de ingreso político (guía de 15 M), que no se repite en 2027.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Frente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MEMORIA.md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cartera-growth.md</w:t>
      </w:r>
      <w:r>
        <w:rPr>
          <w:bCs/>
          <w:b/>
        </w:rPr>
        <w:t xml:space="preserve">:</w:t>
      </w:r>
      <w:r>
        <w:t xml:space="preserve"> </w:t>
      </w:r>
      <w:r>
        <w:t xml:space="preserve">el bolsillo growth está lleno (~20 %: Nu, Axon, Shopify, Snowflake y Samsara, con rentabilidades al precio actual de entre +16 % y +35 % con v11) y no hay liquidez libre: solo cabría sustituyendo.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Zeta no entra:</w:t>
      </w:r>
      <w:r>
        <w:t xml:space="preserve"> </w:t>
      </w:r>
      <w:r>
        <w:t xml:space="preserve">con v11 da Vender (−19 %), muy por debajo de la peor posición del bolsillo. No sustituye a ninguna ni entra en la lista de suplentes (MongoDB, Toast, Zscaler, dLocal, Dexcom, argenx, Datadog, Saab, Natera, Ypsomed).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Exposición a IA:</w:t>
      </w:r>
      <w:r>
        <w:t xml:space="preserve"> </w:t>
      </w:r>
      <w:r>
        <w:t xml:space="preserve">Alphabet se vende mañana, así que la cartera pierde exposición directa a IA; Zeta no la compensaría a este precio. Snowflake ya cubre «datos para IA».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Cuándo volver a mirarla:</w:t>
      </w:r>
      <w:r>
        <w:t xml:space="preserve"> </w:t>
      </w:r>
      <w:r>
        <w:t xml:space="preserve">por debajo de 24,9 USD (compra hasta del informe), o tras los resultados del 3T si la guía de 2027 lleva el crecimiento orgánico por encima del 22 % y la dilución baja.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Filtro previo (las 4 pruebas con los datos completos):</w:t>
      </w:r>
      <w:r>
        <w:t xml:space="preserve"> </w:t>
      </w:r>
      <w:r>
        <w:t xml:space="preserve">A, crecimiento orgánico del 28 %, pasa; B, no aplica (no es rentable de forma estable; su EV/EBITDA es de 18,5x); C, mayor cliente entre el 10 % y el 20 % (cifra exacta no publicada), pasa; D, el precio descuenta el 10,8 % frente a un 28 % orgánico (0,39), pasa.</w:t>
      </w:r>
      <w:r>
        <w:t xml:space="preserve"> </w:t>
      </w:r>
      <w:r>
        <w:rPr>
          <w:bCs/>
          <w:b/>
        </w:rPr>
        <w:t xml:space="preserve">Pasa el filtro y aun así sale Vender</w:t>
      </w:r>
      <w:r>
        <w:t xml:space="preserve">: el filtro no mira cuánto ha subido el múltiplo frente a su propia historia en las valoradas por ventas (aquí 1,8 veces) ni la dilución. Es un dato para validar el filtro.</w:t>
      </w:r>
    </w:p>
    <w:p>
      <w:pPr>
        <w:pStyle w:val="FirstParagraph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(1) en el filtro previo, añadir para las valoradas por EV/ventas la misma prueba que B (múltiplo ≤ 1,5 veces su mediana de 3 años); Zeta la habría descartado. (2) Separar en</w:t>
      </w:r>
      <w:r>
        <w:t xml:space="preserve"> </w:t>
      </w:r>
      <w:r>
        <w:rPr>
          <w:rStyle w:val="VerbatimChar"/>
        </w:rPr>
        <w:t xml:space="preserve">dilucion_anual_pct</w:t>
      </w:r>
      <w:r>
        <w:t xml:space="preserve"> </w:t>
      </w:r>
      <w:r>
        <w:t xml:space="preserve">las acciones entregadas en compras cuyas ventas ya están en la base pro forma (aquí 4 de los 13 puntos), igual que v14 hace con las ampliaciones ya cobradas.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 (7 de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Zeta Global, nota de resultados del 2T26 (4-ago-2026), 8-K ex. 99.1, SEC EDGAR.</w:t>
      </w:r>
      <w:r>
        <w:t xml:space="preserve"> </w:t>
      </w:r>
      <w:r>
        <w:t xml:space="preserve">[2] Notas de resultados del 1T26 (30-abr-2026), 4T25 (24-feb-2026) y 3T25 (4-nov-2025), 8-K ex. 99.1, SEC EDGAR.</w:t>
      </w:r>
      <w:r>
        <w:t xml:space="preserve"> </w:t>
      </w:r>
      <w:r>
        <w:t xml:space="preserve">[3] 8-K del 30-sep-2025 y del 24-nov-2025 (compra de Marigold); 8-K del 5-ago-2025 (guía del 3T25).</w:t>
      </w:r>
      <w:r>
        <w:t xml:space="preserve"> </w:t>
      </w:r>
      <w:r>
        <w:t xml:space="preserve">[4] SEC XBRL companyfacts, CIK 1851003.</w:t>
      </w:r>
      <w:r>
        <w:t xml:space="preserve"> </w:t>
      </w:r>
      <w:r>
        <w:t xml:space="preserve">[5] 10-K de 2025 (25-feb-2026), SEC.</w:t>
      </w:r>
      <w:r>
        <w:t xml:space="preserve"> </w:t>
      </w:r>
      <w:r>
        <w:t xml:space="preserve">[6] 10-Q del 2T26 (5-ago-2026), SEC: demanda colectiva y acciones.</w:t>
      </w:r>
      <w:r>
        <w:t xml:space="preserve"> </w:t>
      </w:r>
      <w:r>
        <w:t xml:space="preserve">[7] MarketBeat, previsiones de analistas de ZETA (14-oct-2026).</w:t>
      </w:r>
      <w:r>
        <w:t xml:space="preserve"> </w:t>
      </w:r>
      <w:r>
        <w:t xml:space="preserve">[8] Yahoo Finance chart API (ZETA y Nasdaq-100) y Nasdaq.com (histórico): cierre del 14-oct de 32,27 USD en las dos.</w:t>
      </w:r>
      <w:r>
        <w:t xml:space="preserve"> </w:t>
      </w:r>
      <w:r>
        <w:t xml:space="preserve">[9] Culper Research, «Shams, Scams, and Spam» (13-nov-2024) y respuesta de Zeta; ppc.land y TipRanks.</w:t>
      </w:r>
      <w:r>
        <w:t xml:space="preserve"> </w:t>
      </w:r>
      <w:r>
        <w:t xml:space="preserve">[10] Cálculo propio (EV, múltiplos, mediana de 3 años y DCF inverso; detalle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).</w:t>
      </w:r>
      <w:r>
        <w:t xml:space="preserve"> </w:t>
      </w:r>
      <w:r>
        <w:t xml:space="preserve">[11] Seeking Alpha (10-oct-2026) y Motley Fool (13-oct-2026).</w:t>
      </w:r>
      <w:r>
        <w:t xml:space="preserve"> </w:t>
      </w:r>
      <w:r>
        <w:t xml:space="preserve">[12] StockTwits $ZETA y SentiSense.</w:t>
      </w:r>
      <w:r>
        <w:t xml:space="preserve"> </w:t>
      </w:r>
      <w:r>
        <w:t xml:space="preserve">[13] SEC EDGAR, formularios 4 (jul-oct 2026).</w:t>
      </w:r>
      <w:r>
        <w:t xml:space="preserve"> </w:t>
      </w:r>
      <w:r>
        <w:t xml:space="preserve">[14] Nota del 27-jul-2026 (crédito de 1.000 M USD), 8-K.</w:t>
      </w:r>
      <w:r>
        <w:t xml:space="preserve"> </w:t>
      </w:r>
      <w:r>
        <w:t xml:space="preserve">[15] Zeta y OpenAI (CES, ene-2026) y Zeta y Palantir (jun-2026; MarketBeat, 12-jul-2026).</w:t>
      </w:r>
      <w:r>
        <w:t xml:space="preserve"> </w:t>
      </w:r>
      <w:r>
        <w:t xml:space="preserve">[16] De memoria o de terceros sin verificar: mercado alcanzable, múltiplos de Braze, Klaviyo, Salesforce y Adobe, y consenso de ventas de 2027-2028.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2026-10-15T06:44:59Z</dcterms:created>
  <dcterms:modified xsi:type="dcterms:W3CDTF">2026-10-15T06:44:59Z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