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Iberdrola, S.A.</w:t>
      </w:r>
    </w:p>
    <w:p>
      <w:pPr>
        <w:spacing w:after="60"/>
        <w:rPr>
          <w:color w:val="52514E"/>
          <w:sz w:val="22"/>
          <w:szCs w:val="22"/>
        </w:rPr>
      </w:pPr>
      <w:r>
        <w:rPr>
          <w:color w:val="52514E"/>
          <w:sz w:val="22"/>
          <w:szCs w:val="22"/>
        </w:rPr>
        <w:t xml:space="preserve">IBE.MC · Bolsa de Madrid (SIBE) · ISIN ES0144580Y14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21,68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17,38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-16,7 % (base -15,4 %)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13,83 EUR · mercado 17,88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144.673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Iberdrola,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IBE.MC / ES0144580Y14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(SIBE)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Electric 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Bilbao · 1992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www.iberdrola.com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21,68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17,88 – 21,93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6.673,1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144.673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206.986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17,38 EUR</w:t>
      </w:r>
      <w:r>
        <w:t xml:space="preserve"> frente a 21,68 · Rentabilidad a 12 meses </w:t>
      </w:r>
      <w:r>
        <w:rPr>
          <w:b/>
          <w:bCs/>
        </w:rPr>
        <w:t xml:space="preserve">-16,7 % (base -15,4 %)</w:t>
      </w:r>
      <w:r>
        <w:t xml:space="preserve"> · Valor intrínseco 13,83 EUR · con la prima implícita del mercado: 17,88 (-17,5 %) · Alcista / bajista -24,4 % / -58,7 %</w:t>
      </w:r>
    </w:p>
    <w:p>
      <w:pPr>
        <w:spacing w:after="100"/>
      </w:pPr>
      <w:r>
        <w:rPr>
          <w:b/>
        </w:rPr>
        <w:t xml:space="preserve">La recomendación y por qué.</w:t>
      </w:r>
      <w:r>
        <w:t xml:space="preserve"> Vender con convicción baja. A 21,68 € (cierre del 13-oct), nuestro objetivo a 12 meses es de 17,38 €: una rentabilidad ponderada del −16,7 % con dividendo y del −15,4 % en el caso base. El valor intrínseco es de 13,83 € (−36,2 %), y el objetivo medio de 23 analistas, 20,51 € [44], también queda por debajo del precio. La razón es el múltiplo: Iberdrola cotiza a 23,4 veces el beneficio de los últimos 12 meses frente a una media de 16,8x en 2021-2025, y la regla común lleva el PER a esa mediana. La convicción es baja porque la señal sale del múltiplo y de la tasa de descuento, no de las cifras (nuestro beneficio de 2027e queda un 7 % por debajo del consenso), porque la historia del PER solo tiene cinco cierres y porque los datos de balance de este entorno son incompletos; subiría si el PER previsto siguiera por encima de 20x tras la revisión de Ofgem, o bajaría si el Bund pasara del 4 %.</w:t>
      </w:r>
    </w:p>
    <w:p>
      <w:pPr>
        <w:spacing w:after="100"/>
      </w:pPr>
      <w:r>
        <w:rPr>
          <w:b/>
        </w:rPr>
        <w:t xml:space="preserve">El negocio.</w:t>
      </w:r>
      <w:r>
        <w:t xml:space="preserve"> Las redes reguladas en Reino Unido, EE. UU., España y Brasil ya son el 51 % del EBITDA ajustado (7.973 M de 15.684 M en 2025) y crecieron un 21 % [4, 5]; producción y clientes cayó un 10 % por precios. El foso es regulatorio: la retribución la fija el regulador, y el ROIC sobre todo el capital ronda el 6,8 %, apenas por encima del WACC (6,56 %). Sostenibilidad del crecimiento: «En parte»; con el ROIC real, la reinversión del 45 % del NOPAT financia un 3,1 % anual y rebajamos el caso base al 3,0 % (desde el 3,4 %).</w:t>
      </w:r>
    </w:p>
    <w:p>
      <w:pPr>
        <w:spacing w:after="100"/>
      </w:pPr>
      <w:r>
        <w:rPr>
          <w:b/>
        </w:rPr>
        <w:t xml:space="preserve">Finanzas.</w:t>
      </w:r>
      <w:r>
        <w:t xml:space="preserve"> El beneficio pasó de 3.885 M en 2021 a 6.285 M en 2025 [1] y el ajustado crecerá más del 8 % en 2026 [9]. Pero casi todo el FFO (12.811 M en 2025 [25]) se reinvierte: la inversión fue de 14.460 M [24], y el dividendo y las compras se pagan con rotación de activos, una ampliación de 5.000 M en 2025 y deuda, que llegó a ≈54.000 M en junio (3,5 veces el EBITDA; FFO/deuda del 22,4 %) [8].</w:t>
      </w:r>
    </w:p>
    <w:p>
      <w:pPr>
        <w:spacing w:after="100"/>
      </w:pPr>
      <w:r>
        <w:rPr>
          <w:b/>
        </w:rPr>
        <w:t xml:space="preserve">Equipo y gobierno.</w:t>
      </w:r>
      <w:r>
        <w:t xml:space="preserve"> Suma la credibilidad: la guía de 2025 se superó y la de 2026 se subió en abril [9]. Resta la concentración de poder (presidente ejecutivo desde 2001) y el límite estatutario de voto; la Junta de 2026 aprobó todo con un 97,88 % de apoyo medio [37].</w:t>
      </w:r>
    </w:p>
    <w:p>
      <w:pPr>
        <w:spacing w:after="100"/>
      </w:pPr>
      <w:r>
        <w:rPr>
          <w:b/>
        </w:rPr>
        <w:t xml:space="preserve">Valoración.</w:t>
      </w:r>
      <w:r>
        <w:t xml:space="preserve"> El DCF da 14,12 € con un WACC del 6,56 %; con la prima implícita del mercado, 17,88 € en la síntesis. A 21,68 € el precio descuenta un crecimiento de las ventas del 6,4 % anual en 2027-2035, frente al 2,9 % de nuestro base, o una rentabilidad anual del 5,5 %, por debajo de lo que pide el mercado (6,0 %). Los comparables europeos cotizan a 14,9 veces el beneficio previsto [51]: la prima de Iberdrola (≈22x nuestro BPA de 2027e) paga crecimiento y calidad regulatoria, pero no un ROIC superior.</w:t>
      </w:r>
    </w:p>
    <w:p>
      <w:pPr>
        <w:spacing w:after="100"/>
      </w:pPr>
      <w:r>
        <w:rPr>
          <w:b/>
        </w:rPr>
        <w:t xml:space="preserve">Riesgos y catalizadores.</w:t>
      </w:r>
      <w:r>
        <w:t xml:space="preserve"> Para nuestra tesis vendedora, el riesgo es que el mercado mantenga el múltiplo de red de crecimiento si los tipos bajan o si la demanda de los centros de datos acelera el plan. Para el accionista, la compresión del múltiplo (−20 % si vuelve a 16,8x) y una revisión regulatoria dura (bajista del DCF, 8,95 €). Catalizadores: resultados de 9M26 el 21-oct [55], cierre de Caruna y propuestas de Ofgem para RIIO-ED3. Los foros coinciden en que está cara, sin euforia.</w:t>
      </w:r>
    </w:p>
    <w:p>
      <w:pPr>
        <w:spacing w:after="100"/>
      </w:pPr>
      <w:r>
        <w:rPr>
          <w:b/>
        </w:rPr>
        <w:t xml:space="preserve">Qué cambiaría la decisión.</w:t>
      </w:r>
      <w:r>
        <w:t xml:space="preserve"> Compraríamos por debajo de 13,83 € y dejaríamos de vender por debajo de 20,06 €. Pasaríamos a Mantener si el beneficio de 2026 supera los 7.000 M con una guía de 2028 por encima de 8.000 M, o si Ofgem fija para RIIO-ED3 una tasa superior a la actual.</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Vender</w:t>
      </w:r>
      <w:r>
        <w:t xml:space="preserve"> · Convicción: Baja · Horizonte: 12 meses · Objetivo a 12 meses: </w:t>
      </w:r>
      <w:r>
        <w:rPr>
          <w:b/>
          <w:bCs/>
        </w:rPr>
        <w:t xml:space="preserve">17,38 EUR</w:t>
      </w:r>
      <w:r>
        <w:t xml:space="preserve"> (rentabilidad -16,7 % (base -15,4 %)) · Valor intrínseco: 13,83 EUR (-36,2 % sobre 21,68) · con la prima implícita del mercado: 17,88 (-17,5 %)</w:t>
      </w:r>
    </w:p>
    <w:p>
      <w:pPr>
        <w:spacing w:after="100"/>
      </w:pPr>
      <w:r>
        <w:t xml:space="preserve">Iberdrola es la mayor eléctrica europea por capitalización (≈145.000 M) y se ha convertido en una empresa de redes: el 51 % del EBITDA ajustado de 2025 vino de redes reguladas en cuatro países, con un crecimiento del 21 % [4, 5], y el plan 2025-2028 destina 37.000 M de los 58.000 M de inversión a redes [29]. El beneficio crece al 8-10 % anual con una guía cumplida.</w:t>
      </w:r>
    </w:p>
    <w:p>
      <w:pPr>
        <w:spacing w:after="100"/>
      </w:pPr>
      <w:r>
        <w:t xml:space="preserve">El precio descuenta mucho: 23,4 veces el beneficio de los últimos 12 meses y 13,3 veces el EBITDA, un 39 % y un 41 % por encima de su media de 2021-2025, y un crecimiento de las ventas del 6,4 % anual en el DCF inverso frente al 2,9 % de nuestro base. Los comparables europeos cotizan a 14,9 veces el beneficio previsto [51].</w:t>
      </w:r>
    </w:p>
    <w:p>
      <w:pPr>
        <w:spacing w:after="100"/>
      </w:pPr>
      <w:r>
        <w:t xml:space="preserve">El mercado acierta en la calidad y la previsibilidad, pero paga por el crecimiento como si creara valor, y no lo crea mucho: el ROIC sobre todo el capital ronda el 6,8 % frente a un WACC del 6,56 %. Para invertir hay que creer que el PER de ≈21x es el nuevo normal de las redes de crecimiento, o que el beneficio superará con holgura los 7.600 M del plan en 2028.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0,93 = 14,66 · 16,8x × 1,05 = 17,66 · 17,4x × 1,12 = 19,52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 / -15,4 %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 (nuestro base -13,9 %)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 / -58,7 %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 frente a 6,6 % y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(3,0 % anual proyectado; financiable al ROIC actual: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con la prima del mercado, -14,4 % (&gt; −15 %); el precio pide 3,5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13,83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13,83 y 20,06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20,06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20,06 €: pasaríamos a Mantener; por debajo de 13,83 €, a Comprar.</w:t>
      </w:r>
    </w:p>
    <w:p>
      <w:pPr>
        <w:pStyle w:val="ListParagraph"/>
        <w:numPr>
          <w:ilvl w:val="0"/>
          <w:numId w:val="2"/>
        </w:numPr>
        <w:spacing w:after="60"/>
      </w:pPr>
      <w:r>
        <w:t xml:space="preserve">Guía de beneficio neto ajustado de 2028 por encima de 8.000 M (hoy ≈7.600 M) [29].</w:t>
      </w:r>
    </w:p>
    <w:p>
      <w:pPr>
        <w:pStyle w:val="ListParagraph"/>
        <w:numPr>
          <w:ilvl w:val="0"/>
          <w:numId w:val="2"/>
        </w:numPr>
        <w:spacing w:after="60"/>
      </w:pPr>
      <w:r>
        <w:t xml:space="preserve">Tasa financiera de RIIO-ED3 superior a la de RIIO-ED2.</w:t>
      </w:r>
    </w:p>
    <w:p>
      <w:pPr>
        <w:pStyle w:val="ListParagraph"/>
        <w:numPr>
          <w:ilvl w:val="0"/>
          <w:numId w:val="2"/>
        </w:numPr>
        <w:spacing w:after="60"/>
      </w:pPr>
      <w:r>
        <w:t xml:space="preserve">FFO/deuda por debajo del 20 % (hoy 22,4 %) reforzaría la venta [8].</w:t>
      </w:r>
    </w:p>
    <w:p>
      <w:pPr>
        <w:pStyle w:val="Heading2"/>
      </w:pPr>
      <w:r>
        <w:t xml:space="preserve">Dónde discrepamos del mercado</w:t>
      </w:r>
    </w:p>
    <w:p>
      <w:pPr>
        <w:keepNext/>
        <w:spacing w:after="100"/>
      </w:pPr>
      <w:r>
        <w:rPr>
          <w:b/>
          <w:bCs/>
        </w:rPr>
        <w:t xml:space="preserve">Lo que descuenta el precio.</w:t>
      </w:r>
    </w:p>
    <w:p>
      <w:pPr>
        <w:spacing w:after="100"/>
      </w:pPr>
      <w:r>
        <w:t xml:space="preserve">Que Iberdrola merece un múltiplo de red de crecimiento (≈21x el beneficio previsto) porque el plan de 58.000 M y la electrificación sostienen un crecimiento del beneficio del 8 % durante muchos años [29].</w:t>
      </w:r>
    </w:p>
    <w:p>
      <w:pPr>
        <w:keepNext/>
        <w:spacing w:after="100"/>
      </w:pPr>
      <w:r>
        <w:rPr>
          <w:b/>
          <w:bCs/>
        </w:rPr>
        <w:t xml:space="preserve">Lo que creemos nosotros.</w:t>
      </w:r>
    </w:p>
    <w:p>
      <w:pPr>
        <w:spacing w:after="100"/>
      </w:pPr>
      <w:r>
        <w:t xml:space="preserve">El crecimiento es real pero exige reinvertir casi todo el FFO a rentabilidades que apenas superan el coste de capital; el valor intrínseco es de 13,83 € y el múltiplo debería volver hacia su mediana de 16,8x.</w:t>
      </w:r>
    </w:p>
    <w:p>
      <w:pPr>
        <w:keepNext/>
        <w:spacing w:after="100"/>
      </w:pPr>
      <w:r>
        <w:rPr>
          <w:b/>
          <w:bCs/>
        </w:rPr>
        <w:t xml:space="preserve">Por qué podemos tener razón.</w:t>
      </w:r>
    </w:p>
    <w:p>
      <w:pPr>
        <w:spacing w:after="100"/>
      </w:pPr>
      <w:r>
        <w:t xml:space="preserve">El EBITDA creció un 7,5 % anual en 2021-2025 con una inversión del 25-28 % de las ventas y la deuda subió de 39.119 M a ≈54.000 M [8, 14]: el crecimiento se compra con capital y deuda, no con poder de precios.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1,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Redes reguladas</w:t>
      </w:r>
      <w:r>
        <w:t xml:space="preserve">: el 51 % del EBITDA ajustado y +21 % en 2025 [4, 5].</w:t>
      </w:r>
    </w:p>
    <w:p>
      <w:pPr>
        <w:pStyle w:val="ListParagraph"/>
        <w:numPr>
          <w:ilvl w:val="0"/>
          <w:numId w:val="2"/>
        </w:numPr>
        <w:spacing w:after="60"/>
      </w:pPr>
      <w:r>
        <w:rPr>
          <w:b/>
        </w:rPr>
        <w:t xml:space="preserve">Guía cumplida y al alza</w:t>
      </w:r>
      <w:r>
        <w:t xml:space="preserve">: beneficio ajustado de 6.231 M en 2025 (+10,5 %) y guía de 2026 subida a &gt; +8 % [4, 9].</w:t>
      </w:r>
    </w:p>
    <w:p>
      <w:pPr>
        <w:pStyle w:val="ListParagraph"/>
        <w:numPr>
          <w:ilvl w:val="0"/>
          <w:numId w:val="2"/>
        </w:numPr>
        <w:spacing w:after="60"/>
      </w:pPr>
      <w:r>
        <w:rPr>
          <w:b/>
        </w:rPr>
        <w:t xml:space="preserve">Financiación disciplinada</w:t>
      </w:r>
      <w:r>
        <w:t xml:space="preserve">: FFO/deuda del 22,4 % pese a invertir 7.000 M en un semestre [8].</w:t>
      </w:r>
    </w:p>
    <w:p>
      <w:pPr>
        <w:pStyle w:val="ListParagraph"/>
        <w:numPr>
          <w:ilvl w:val="0"/>
          <w:numId w:val="2"/>
        </w:numPr>
        <w:spacing w:after="60"/>
      </w:pPr>
      <w:r>
        <w:rPr>
          <w:b/>
        </w:rPr>
        <w:t xml:space="preserve">Dividendo creciente</w:t>
      </w:r>
      <w:r>
        <w:t xml:space="preserve">: 0,68 € por acción con cargo a 2025, un 3,1 % de rentabilidad [20].</w:t>
      </w:r>
    </w:p>
    <w:p>
      <w:pPr>
        <w:pStyle w:val="Heading2"/>
      </w:pPr>
      <w:r>
        <w:t xml:space="preserve">En contra</w:t>
      </w:r>
    </w:p>
    <w:p>
      <w:pPr>
        <w:pStyle w:val="ListParagraph"/>
        <w:numPr>
          <w:ilvl w:val="0"/>
          <w:numId w:val="2"/>
        </w:numPr>
        <w:spacing w:after="60"/>
      </w:pPr>
      <w:r>
        <w:rPr>
          <w:b/>
        </w:rPr>
        <w:t xml:space="preserve">Múltiplo en máximos</w:t>
      </w:r>
      <w:r>
        <w:t xml:space="preserve">: 23,4 veces el beneficio de los últimos 12 meses frente a una media de 16,8x.</w:t>
      </w:r>
    </w:p>
    <w:p>
      <w:pPr>
        <w:pStyle w:val="ListParagraph"/>
        <w:numPr>
          <w:ilvl w:val="0"/>
          <w:numId w:val="2"/>
        </w:numPr>
        <w:spacing w:after="60"/>
      </w:pPr>
      <w:r>
        <w:rPr>
          <w:b/>
        </w:rPr>
        <w:t xml:space="preserve">ROIC ≈ WACC</w:t>
      </w:r>
      <w:r>
        <w:t xml:space="preserve">: ≈6,8 % frente a 6,56 %; el crecimiento crea poco valor.</w:t>
      </w:r>
    </w:p>
    <w:p>
      <w:pPr>
        <w:pStyle w:val="ListParagraph"/>
        <w:numPr>
          <w:ilvl w:val="0"/>
          <w:numId w:val="2"/>
        </w:numPr>
        <w:spacing w:after="60"/>
      </w:pPr>
      <w:r>
        <w:rPr>
          <w:b/>
        </w:rPr>
        <w:t xml:space="preserve">Deuda creciente</w:t>
      </w:r>
      <w:r>
        <w:t xml:space="preserve">: ≈54.000 M en junio de 2026, +3.790 M en seis meses [8].</w:t>
      </w:r>
    </w:p>
    <w:p>
      <w:pPr>
        <w:pStyle w:val="ListParagraph"/>
        <w:numPr>
          <w:ilvl w:val="0"/>
          <w:numId w:val="2"/>
        </w:numPr>
        <w:spacing w:after="60"/>
      </w:pPr>
      <w:r>
        <w:rPr>
          <w:b/>
        </w:rPr>
        <w:t xml:space="preserve">Precio por encima del consenso</w:t>
      </w:r>
      <w:r>
        <w:t xml:space="preserve">: objetivo medio de 20,51 € (−5 %) [44].</w:t>
      </w:r>
    </w:p>
    <w:p>
      <w:pPr>
        <w:pStyle w:val="ListParagraph"/>
        <w:numPr>
          <w:ilvl w:val="0"/>
          <w:numId w:val="2"/>
        </w:numPr>
        <w:spacing w:after="60"/>
      </w:pPr>
      <w:r>
        <w:rPr>
          <w:b/>
        </w:rPr>
        <w:t xml:space="preserve">Riesgo regulatorio concentrado</w:t>
      </w:r>
      <w:r>
        <w:t xml:space="preserve">: Reino Unido y EE. UU. reciben ≈36.000 M del plan [31].</w:t>
      </w:r>
    </w:p>
    <w:p>
      <w:pPr>
        <w:pStyle w:val="Heading2"/>
      </w:pPr>
      <w:r>
        <w:t xml:space="preserve">Qué tiene que pasar para que la tesis funcione</w:t>
      </w:r>
    </w:p>
    <w:p>
      <w:pPr>
        <w:spacing w:after="100"/>
      </w:pPr>
      <w:r>
        <w:t xml:space="preserve">La tesis depende de que el múltiplo vuelva hacia su historia. La señal de que no ocurre: un PER previsto que se mantenga por encima de 20x con el Bund por encima del 3,5 %, o una guía de beneficio de 2028 elevada por encima de 8.000 M en los resultados de 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 M en el 1S26 (+7,8 %)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anual &lt;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FFO/deuda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del rating para financiar el plan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previsto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nuestro BPA de 2027e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17x (fin de la tesis)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es de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EBITDA de Redes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7.973 M en 2025 (+21 %)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Crecimiento &lt;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 del crecimiento [5].</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Iberdrola nace en 1992 de la fusión de Hidroeléctrica Española e Iberduero [32]. Con Ignacio Galán como primer ejecutivo desde 2001 apostó antes que nadie por la eólica, compró ScottishPower en 2007 y Energy East en EE. UU. en 2008, sacó a bolsa Iberdrola Renovables en 2007 y la reintegró en 2011 [32, 33]. En la última década ha girado hacia las redes reguladas: Avangrid (EE. UU.), Neoenergia (Brasil), ENW (Reino Unido, 2024), la exclusión de Avangrid (2024) y la compra de Caruna (Finlandia, 2026). En abril de 2025 superó los 100.000 M de capitalización y en enero de 2026 rozaba los 125.000 M [34,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Hidroeléctrica Española e Iberduero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Ignacio Galán, primer ejecutivo; apuesta por la eólica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ScottishPower y salida a bolsa de Iberdrola Renovables [32,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Energy East (EE. UU.), origen de Avangrid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Electricity North West y exclusión de bolsa de Avangrid.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58.000 M a 2028, ampliación de 5.000 M y Neoenergia al 100 % [1, 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México a Cox y compra del 80 % de Caruna.</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Iberdrola es la mayor eléctrica europea por capitalización. Tiene tres negocios: Redes (transporte y distribución regulados en España, Reino Unido, EE. UU. y Brasil), Renovables (eólica terrestre y marina, solar e hidráulica) y Producción y Clientes (nuclear, ciclos combinados y comercialización a hogares y empresas en España, Reino Unido, EE. UU., Brasil y otros países europeos) [29, 31]. El plan 2025-2028 destina 58.000 M de inversión, unos 37.000 M a redes, el 85 % en países con rating A; Reino Unido (≈20.000 M) y EE. UU. (≈16.000 M) son los destinos principales [29, 31].</w:t>
      </w:r>
    </w:p>
    <w:p>
      <w:pPr>
        <w:pStyle w:val="Heading2"/>
      </w:pPr>
      <w:r>
        <w:t xml:space="preserve">Cómo gana dinero</w:t>
      </w:r>
    </w:p>
    <w:p>
      <w:pPr>
        <w:spacing w:after="100"/>
      </w:pPr>
      <w:r>
        <w:t xml:space="preserve">En redes cobra una retribución regulada sobre su base de activos (tasa financiera fijada por el regulador de cada país más la amortización), de modo que el beneficio crece con la inversión reconocida y no con el volumen: es la parte que más pesa (7.973 M de EBITDA ajustado de 15.684 M en 2025, el 51 %) y la que más crece (+21 %). En renovables vende la energía con contratos a largo plazo o al mercado (5.148 M); en producción y clientes gana el margen entre el coste de generar o comprar y la tarifa (2.563 M, −10 % en 2025 por precios más bajos en España y Reino Unido). Apalancamiento operativo bajo; el riesgo está en la regulación, los tipos de interés y los precios mayoristas.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16"/>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Renovables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Producción y Clientes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Renovables</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Producción y Clientes</w:t>
            </w:r>
          </w:p>
        </w:tc>
      </w:tr>
    </w:tbl>
    <w:p>
      <w:pPr>
        <w:spacing w:after="160" w:before="0"/>
      </w:pPr>
    </w:p>
    <w:p>
      <w:pPr>
        <w:pStyle w:val="Heading2"/>
      </w:pPr>
      <w:r>
        <w:t xml:space="preserve">Clientes, recurrencia y poder de precios</w:t>
      </w:r>
    </w:p>
    <w:p>
      <w:pPr>
        <w:spacing w:after="100"/>
      </w:pPr>
      <w:r>
        <w:t xml:space="preserve">Clientes regulados de redes (los consumidores de cada zona de distribución pagan peajes fijados por el regulador) y clientes minoristas y mayoristas de energía; no hay concentración relevante. El poder de precios no es comercial sino regulatorio: depende de las revisiones tarifarias (RIIO-ED2/ED3 en Reino Unido, casos tarifarios en Nueva York y Maine, CNMC en España).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 M (2024, con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en Redes (8.975 M) [24].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de Redes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ENW y más base de activos [5,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FFO/deuda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del umbral habitual de las agencias para BBB+ [8,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50.200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divisas y recompra de un híbrido [8].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Eléctricas integradas europeas con peso creciente de redes reguladas. El mercado relevante para Iberdrola es la inversión en redes eléctricas y renovables en Reino Unido, EE. UU., España y Brasil, donde la electrificación (centros de datos, bombas de calor, vehículo eléctrico) exige ampliar las redes [29, 31]. No se pudo leer en este entorno una fuente oficial del tamaño del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invierte 58.000 M en 2025-2028, un 30 % más que en 2021-2024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medio de la deuda 4,81 % en 2024; las tasas reguladas se ajustan con retraso.</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mayoristas de la electricidad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y Clientes −10 % de EBITDA en 2025 por menores precios.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Revisiones regulatorias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85 % de la inversión en países con rating A y marcos estables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redes no hay competencia (monopolio regulado); en comercialización y renovables sí.</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regulador fija la retribución en nombre de los clientes.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Escasez de transformadores, cables y turbinas marinas eleva costes.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son concesiones; la escala para invertir 15.000 M al año la tienen pocos.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autoconsumo reduce volumen pero no la necesidad de red.</w:t>
            </w:r>
          </w:p>
        </w:tc>
      </w:tr>
    </w:tbl>
    <w:p>
      <w:pPr>
        <w:spacing w:after="160" w:before="0"/>
      </w:pPr>
    </w:p>
    <w:p>
      <w:pPr>
        <w:pStyle w:val="Heading2"/>
      </w:pPr>
      <w:r>
        <w:t xml:space="preserve">Ciclo</w:t>
      </w:r>
    </w:p>
    <w:p>
      <w:pPr>
        <w:spacing w:after="100"/>
      </w:pPr>
      <w:r>
        <w:t xml:space="preserve">Ciclo inversor de redes en expansión por la electrificación; el beneficio de redes creció un 21 % en 2025. Las eléctricas reguladas resistieron 2008-09 y 2020; en 2022 los precios disparan las ventas pero no el beneficio de redes.</w:t>
      </w:r>
    </w:p>
    <w:p>
      <w:pPr>
        <w:pStyle w:val="Heading2"/>
      </w:pPr>
      <w:r>
        <w:t xml:space="preserve">Regulación</w:t>
      </w:r>
    </w:p>
    <w:p>
      <w:pPr>
        <w:spacing w:after="100"/>
      </w:pPr>
      <w:r>
        <w:t xml:space="preserve">Reino Unido (Ofgem, RIIO-ED2 hasta 2028 y transporte RIIO-T3 desde 2026), EE. UU. (casos tarifarios estatales en Nueva York, Maine y Connecticut), España (CNMC, nuevo periodo de retribución de redes desde 2026) y Brasil (concesiones de distribución). Las revisiones fijan la tasa sobre la base de activos y, con ella, la mitad del beneficio [1, P].</w:t>
      </w:r>
    </w:p>
    <w:p>
      <w:pPr>
        <w:pStyle w:val="Heading2"/>
      </w:pPr>
      <w:r>
        <w:t xml:space="preserve">Tendencias y disrupción</w:t>
      </w:r>
    </w:p>
    <w:p>
      <w:pPr>
        <w:spacing w:after="100"/>
      </w:pPr>
      <w:r>
        <w:t xml:space="preserve">Electrificación, centros de datos y conexiones a red impulsan la inversión; la eólica marina sufre sobrecostes y en EE. UU. la política federal frena las renovables. Iberdrola gana con el giro a redes y pierde en producción y clientes [1, 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eléctrica europea por capitalización (≈145.000 M) y primera en redes en Reino Unido y España por base de activos entre las cotizadas integradas [6, 7, 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ENEL.MI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redes en Italia, España (Endesa) y Latinoamérica.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España, controlada por Enel.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Portugal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EDP.LS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Renovables (EDPR) y redes en Portugal y Brasil.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y electricidad en España.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y renovables en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Grid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Redes puras en Reino Unido y EE. UU.</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eléctrica.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redes el cliente no puede cambiar de distribuidor; en comercialización, sí.</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y licencias de redes en cuatro países.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deuda del 4,8 % y acceso a capital (ampliación de 5.000 M en 2025).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Monopolios regulados por zona; inversión de 58.000 M en el plan [1].</w:t>
            </w:r>
          </w:p>
        </w:tc>
      </w:tr>
    </w:tbl>
    <w:p>
      <w:pPr>
        <w:spacing w:after="160" w:before="0"/>
      </w:pPr>
    </w:p>
    <w:p>
      <w:pPr>
        <w:pStyle w:val="Heading2"/>
      </w:pPr>
      <w:r>
        <w:t xml:space="preserve">Amenazas</w:t>
      </w:r>
    </w:p>
    <w:p>
      <w:pPr>
        <w:spacing w:after="100"/>
      </w:pPr>
      <w:r>
        <w:t xml:space="preserve">El foso de las redes es regulatorio: la retribución la fija un regulador que puede bajar la tasa (Reino Unido en cada RIIO, EE. UU. en cada caso tarifario). En producción y renovables no hay foso: la caída de precios en España y Reino Unido restó un 10 % al EBITDA en 2025. La política de EE. UU. contra la eólica marina es la amenaza más concreta.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3,0 %</w:t>
      </w:r>
      <w:r>
        <w:t xml:space="preserve">, EBITDA </w:t>
      </w:r>
      <w:r>
        <w:rPr>
          <w:b/>
          <w:bCs/>
        </w:rPr>
        <w:t xml:space="preserve">7,5 %</w:t>
      </w:r>
      <w:r>
        <w:t xml:space="preserve">, BPA </w:t>
      </w:r>
      <w:r>
        <w:rPr>
          <w:b/>
          <w:bCs/>
        </w:rPr>
        <w:t xml:space="preserve">12,4 %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Las ventas siguen al precio de la energía y no miden la actividad: 39.114 M en 2021, 53.949 M en 2022 (crisis de precios), 49.335 M en 2023, 42.988 M en 2024 y 44.076 M en 2025 según Stock Analysis [1]; la empresa publica 45.547 M para 2025 (+1,8 %) [5], con otro perímetro de actividades interrumpidas. Lo que crece es el EBITDA: 11.637 M en 2021 y 15.558 M en 2025 con la definición de Stock Analysis (EBIT + amortización) [1], un 7,5 % anual; el ajustado de la empresa fue de 15.684 M en 2025 (+3 %), con Redes +21 % (perímetro de ENW y más base de activos) y Producción y Clientes −10 % por menores precios en España y Reino Unido [4, 5]. El beneficio atribuido pasó de 3.885 M a 6.285 M (+12,8 % anual) [1, 3]. El EBITDA reportado por la empresa (16.592 M en 2025, 16.848 M en 2024) incluye plusvalías y partidas que el ajustado excluye [5, 11].</w:t>
      </w:r>
    </w:p>
    <w:p>
      <w:pPr>
        <w:pStyle w:val="Heading2"/>
      </w:pPr>
      <w:r>
        <w:t xml:space="preserve">Ajustes y partidas no recurrentes</w:t>
      </w:r>
    </w:p>
    <w:p>
      <w:pPr>
        <w:spacing w:after="100"/>
      </w:pPr>
      <w:r>
        <w:t xml:space="preserve">Iberdrola publica un beneficio neto ajustado: 6.231 M en 2025 (+10,5 %), que excluye la plusvalía de la venta de contadores en Reino Unido (379 M), el reconocimiento de costes pasados en EE. UU. (389 M) e incluye −465 M de ajustes de valor en renovables y clientes [4, 5]. En el 1S26, 3.565 M ajustados frente a 4.336 M contables por la plusvalía neta de 953 M de la venta de México a Cox y el efecto de las capital allowances británicas (182 M) [6, 7]. El BPA de las cuentas del informe es el contable dividido entre las acciones diluidas de Stock Analysis (estimación propia en 2021, 2023 y 2024, con ≈6.700 M); el de 2025, 0,925 €, es el publicado [19].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4"/>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1T26 (29-abr) la dirección subió la guía de 2026 a un crecimiento del beneficio neto ajustado superior al 8 %, sin plusvalías de rotación de activos, con un beneficio ajustado de 1.865 M (+11,4 %) y Redes +9 % hasta 2.048 M de EBITDA, mientras Producción y Clientes bajaba un 3 % [9, 10]. En el 1S26 (22-jul) el beneficio ajustado fue de 3.565 M (+7,8 %) y el EBITDA ajustado de 8.050 M (+7,4 %; +8,8 % sin divisa), por encima del consenso de Bloomberg, RBC y Renta 4, con inversiones de 7.000 M (+25 %, más del 70 % en Reino Unido, EE. UU. y Brasil) [6, 7, 8]. El mensaje cambió de «crecer en redes» a «crecer en redes y comprar redes»: el 21-jul anunció la compra del 80 % de Caruna (Finlandia), valorada en 5.000 M con deuda [8]. Lo que más se preguntó: la deuda (≈54.000 M en junio, +3.790 M en seis meses) y el FFO/deuda del 22,4 % [8]. No encontramos en este entorno la transcripción de las conferencias: el resumen sale de las notas de prensa.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Compra de Electricity North West (Reino Unido) y de los minoritarios de Avangrid: unos 5.000 M de operaciones corporativas [11].; 2025: Ampliación de capital de 5.000 M (julio de 2025) y compra del 30,3 % de Neoenergia a Previ por 1.897 M [24]; México clasificado como actividad interrumpida.). Los ratios de balance de ese año (días, circulante, deuda neta / EBITDA, ROIC) y los indicadores de calidad contable no son comparables con los anteriores.</w:t>
      </w:r>
    </w:p>
    <w:p>
      <w:pPr>
        <w:spacing w:after="100"/>
      </w:pPr>
      <w:r>
        <w:t xml:space="preserve">La deuda neta ajustada pasó de 39.119 M en 2021 a 43.749 M en 2022, 47.832 M en 2023, ≈51.700 M en 2024 y 50.200 M en 2025 (bajó 1.500 M gracias a la ampliación de 5.000 M y a la rotación de activos) [14, 15, 16, 25]; en marzo de 2026 era de 51.900 M y en junio de ≈54.000 M por la inversión, la apreciación del real y el dólar y la recompra de un híbrido [8, 9]. El FFO/deuda se mantiene en el 22-25 % (23,0 % en 2021, 25,4 % en 2022, 23,2 % en 2023 y 22,4 % en junio de 2026) y la deuda neta/EBITDA en ≈3,3 veces [8, 14, 15, 16]: el plan se financia con caja, rotación de activos y capital, sin que el apalancamiento baje.</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9.182</w:t>
      </w:r>
      <w:r>
        <w:t xml:space="preserve">, conversión </w:t>
      </w:r>
      <w:r>
        <w:rPr>
          <w:b/>
          <w:bCs/>
        </w:rPr>
        <w:t xml:space="preserve">37 %</w:t>
      </w:r>
      <w:r>
        <w:t xml:space="preserve"> del beneficio neto; adquisiciones 6.897, dividendos 0, recompras 0.</w:t>
      </w:r>
    </w:p>
    <w:p>
      <w:pPr>
        <w:spacing w:after="100"/>
      </w:pPr>
      <w:r>
        <w:t xml:space="preserve">El flujo operativo del informe es el FFO que publica Iberdrola (antes del circulante): ≈9.000 M en 2021 y 12.811 M en 2025 (+8,2 %) [14, 25]. La inversión orgánica pasó de 10.730 M en 2022 a 11.382 M en 2023, 12.000 M en 2024 y 12.563 M en 2025 (14.460 M con la compra del 30,3 % de Neoenergia, 1.897 M) [11, 12, 24, 26]: casi todo el FFO se reinvierte, y el dividendo en efectivo, las compras y la deuda que no baja se pagan con rotación de activos (México, 2024 y 2026) y con la ampliación de 5.000 M de 2025. Stock Analysis da un FCF de 4.791 M en 2023, 4.252 M en 2024 y 4.019 M en 2025 [1] porque su capex no incluye toda la inversión que la empresa declara; con la inversión total, el FCF es casi nulo. No hay desglose oficial entre mantenimiento y crecimiento: estimación propia, el mantenimiento se acerca a la amortización (≈5.800 M) y el resto (≈6.000-8.000 M al año) es crecimiento de la base de activos de redes y renovables.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 diferencia entre el beneficio contable y el ajustado es grande y cambia de signo: +54 M en 2025 (plusvalía de contadores y costes de EE. UU. frente a ajustes de valor de renovables) [4] y +771 M en el 1S26 (plusvalía de México) [6, 7]. Las cuentas mezclan perímetros: México como actividad interrumpida, ENW desde 2024 y Neoenergia al 100 % desde 2025, de modo que las ventas de Stock Analysis (44.076 M) y las de la empresa (45.547 M) no coinciden en 2025 [1, 5]. El EBITDA publicado incluye plusvalías de rotación de activos que forman parte del modelo de financiación: se repiten, aunque con importes irregulares. Los indicadores de Altman, Piotroski y Beneish del motor no son interpretables aquí porque faltan el circulante y casi todo el balance.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de rotación de activos recurrentes (México 2024 y 2026, contadores británicos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Financian el plan; el beneficio ajustado las excluye, el contable no [4,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de valor de la cartera renovable (465 M en el 4T25)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Muestran el deterioro de la rentabilidad de producción y clientes [4, 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6,0 % · </w:t>
      </w:r>
      <w:r>
        <w:rPr>
          <w:b/>
          <w:bCs/>
        </w:rPr>
        <w:t xml:space="preserve">WACC</w:t>
      </w:r>
      <w:r>
        <w:t xml:space="preserve">: 6,6 %.</w:t>
      </w:r>
    </w:p>
    <w:p>
      <w:pPr>
        <w:spacing w:after="100"/>
      </w:pPr>
      <w:r>
        <w:t xml:space="preserve">El ROIC del motor (9,4 % en 2025; 12-16 % en 2021-2024) está inflado: en los años sin patrimonio el capital invertido solo recoge la deuda neta. Con todo el capital de 2025 (50.200 M de deuda neta y 63.400 M de patrimonio [28]) el ROIC es de ≈6,8 %, apenas 0,2 puntos por encima del WACC (6,56 %), en línea con el 5-6,4 % que publican TipRanks y HALO y por debajo del 13,4 % de Endesa. El ROIC incremental histórico es del 6 %. El negocio regulado gana la tasa que fija el regulador: crea poco valor, pero de forma muy previsible. El ROE (19,8 % según el motor) depende del apalancamiento (3,5 veces deuda neta/EBITDA).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54.713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plazo de 6.347 M a cierre de 2025 (caja 3.670 M) y 4.011 M en junio de 2026 [2]; las líneas de crédito no dispuestas no se pudieron leer en este entorno.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Iberdrola tiene bonos híbridos perpetuos que contabiliza como patrimonio y que su deuda neta ajustada no incluye entera; su importe no se pudo leer en este entorno (hueco) y es la principal partida asimilable a deuda que falta en el puente. El patrimonio total ronda los 63.400 M con una deuda total de ≈54.300 M según Simply Wall St [28]. Pensiones, provisiones de desmantelamiento nuclear y garantías quedan sin dato. El coste medio de la deuda bajó 16 pb hasta el 4,81 % en 2024 [11].</w:t>
      </w:r>
    </w:p>
    <w:p>
      <w:pPr>
        <w:pStyle w:val="Heading1"/>
      </w:pPr>
      <w:r>
        <w:t xml:space="preserve">12. Asignación de capital</w:t>
      </w:r>
    </w:p>
    <w:p>
      <w:pPr>
        <w:pStyle w:val="Confianza"/>
        <w:spacing w:after="100"/>
      </w:pPr>
      <w:r>
        <w:t xml:space="preserve">Confianza: Media</w:t>
      </w:r>
    </w:p>
    <w:p>
      <w:pPr>
        <w:spacing w:after="100"/>
      </w:pPr>
      <w:r>
        <w:t xml:space="preserve">Dividendo con un pay-out del 65-75 % del beneficio neto ajustado y suelo creciente; unos 20.000 M a dividendos en 2024-2028. Se paga con el sistema de Iberdrola Retribución Flexible: en julio de 2026 el 74,6 % del capital eligió acciones (98,14 M de acciones nuevas) y el dividendo en efectivo fue de 0,427 € [21]; para que el número de acciones no crezca, Iberdrola amortiza la autocartera (182,8 M de acciones el 30-jun-2026) [22]. Prioridad declarada: inversión en redes en países con rating A (85 % del plan de 58.000 M en 2025-2028).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 Reino Unido) y minoritarios de Avangrid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y rotación de activos (venta de México)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+21 % de EBITDA en 2025 con ENW consolidada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30,3 % de Neoenergia (Brasil) a Previ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5.000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entre los motores del 1S26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 de Caruna (distribución eléctrica, Finlandia)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valorada en 5.000 M con deuda al 100 %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a finales de 2026 o principios de 2027 [8].</w:t>
            </w:r>
          </w:p>
        </w:tc>
      </w:tr>
    </w:tbl>
    <w:p>
      <w:pPr>
        <w:spacing w:after="160" w:before="0"/>
      </w:pPr>
    </w:p>
    <w:p>
      <w:pPr>
        <w:spacing w:after="100"/>
      </w:pPr>
      <w:r>
        <w:t xml:space="preserve">La dirección asigna capital con disciplina de financiación pero con rendimientos ajustados: de 2022 a 2025 invirtió 46.675 M orgánicos (10.730 M, 11.382 M, 12.000 M y 12.563 M) [11, 12, 24, 26] y unos 7.000 M en compras, con un FFO acumulado de ≈46.900 M; el dividendo y las compras se han pagado con rotación de activos (México), una ampliación de 5.000 M en 2025 y más deuda (de 43.749 M a ≈54.000 M) [8, 15]. El dividendo flexible evita dilución neta porque las acciones nuevas se compensan con amortizaciones de autocartera (182,8 M en junio de 2026) [21, 22]. El ROIC sobre todo el capital (≈7 %, estimación propia: NOPAT de 7.742 M sobre 50.200 M de deuda neta y 63.400 M de patrimonio [28]) apenas supera el WACC (6,56 %): la inversión crea poco valor por encima de su coste.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S. Galán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2001 y presidente desde 2006; llevó a Iberdrola de eléctrica española a la mayor de Europa por capitalización (más de 125.000 M).</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Pedro Azagra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Sustituyó a Armando Martínez en junio de 2025; antes, consejero delegado de Avangrid y responsable de desarrollo corporativo; la Junta de 2026 ratificó su nombramiento [36, 37].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ajustado &gt; 6.200 M (sin costes pasados de EE. UU.)</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6.231 M ajustado (+10,5 %)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ajustado &gt; +6 %, elevada a &gt; +8 % en abril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+7,8 % ajustado; guía reiterada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con historial de cumplimiento: la guía de 2025 se superó y la de 2026 se subió en abril. El riesgo es de sucesión: el presidente ejecutivo lleva 25 años y concentra el poder; el relevo del consejero delegado en 2025 (Azagra, de Avangrid) dibuja la sucesión, pero Galán sigue siendo ejecutivo.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S. Galán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Pedro Azagra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Ángeles Alcalá Díaz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Isabel García Tejerina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L. Gardner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Marina Grossi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amortizada</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182,8 M de acciones amortizadas el 30-jun-2026</w:t>
            </w:r>
          </w:p>
        </w:tc>
      </w:tr>
    </w:tbl>
    <w:p>
      <w:pPr>
        <w:spacing w:after="160" w:before="0"/>
      </w:pPr>
    </w:p>
    <w:p>
      <w:pPr>
        <w:pStyle w:val="Heading2"/>
      </w:pPr>
      <w:r>
        <w:t xml:space="preserve">Operaciones vinculadas, estructura de control y defensas</w:t>
      </w:r>
    </w:p>
    <w:p>
      <w:pPr>
        <w:spacing w:after="100"/>
      </w:pPr>
      <w:r>
        <w:t xml:space="preserve">Capital disperso sin accionista de control. Los estatutos de Iberdrola limitan los derechos de voto de un mismo accionista (límite estatutario del 10 %): no rige el principio de una acción, un voto. El presidente es ejecutivo desde hace 25 años; la separación de funciones con el consejero delegado es reciente. La Junta de 2026 aprobó todos los puntos con un apoyo medio del 97,88 % [37, 38].</w:t>
      </w:r>
    </w:p>
    <w:p>
      <w:pPr>
        <w:pStyle w:val="Heading2"/>
      </w:pPr>
      <w:r>
        <w:t xml:space="preserve">Señales de alerta</w:t>
      </w:r>
    </w:p>
    <w:p>
      <w:pPr>
        <w:pStyle w:val="ListParagraph"/>
        <w:numPr>
          <w:ilvl w:val="0"/>
          <w:numId w:val="2"/>
        </w:numPr>
        <w:spacing w:after="60"/>
      </w:pPr>
      <w:r>
        <w:t xml:space="preserve">Presidente ejecutivo con 25 años en la cúpula y sucesión todavía sin cerrar.</w:t>
      </w:r>
    </w:p>
    <w:p>
      <w:pPr>
        <w:pStyle w:val="ListParagraph"/>
        <w:numPr>
          <w:ilvl w:val="0"/>
          <w:numId w:val="2"/>
        </w:numPr>
        <w:spacing w:after="60"/>
      </w:pPr>
      <w:r>
        <w:t xml:space="preserve">Límite estatutario de voto (10 %), defensa frente a una OPA.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beneficio neto ajustado con crecimiento superior al 8 % sin plusvalías de rotación (elevada desde &gt; 6 % en abril y reiterada en julio). Plan 2025-2028 (24-sep-2025): 58.000 M de inversión, beneficio neto ajustado de ≈7.600 M en 2028, pay-out del 65-75 % y ≈20.000 M de dividendos en 2024-2028; en 2026 la empresa dijo esperar superar esos objetivos.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7"/>
        <w:gridCol w:w="1302"/>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julio de 2026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julio de 2026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16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17,30 – 23,50</w:t>
            </w:r>
          </w:p>
        </w:tc>
      </w:tr>
    </w:tbl>
    <w:p>
      <w:pPr>
        <w:spacing w:after="160" w:before="0"/>
      </w:pPr>
    </w:p>
    <w:p>
      <w:pPr>
        <w:pStyle w:val="Heading2"/>
      </w:pPr>
      <w:r>
        <w:t xml:space="preserve">Revisiones de estimaciones</w:t>
      </w:r>
    </w:p>
    <w:p>
      <w:pPr>
        <w:spacing w:after="100"/>
      </w:pPr>
      <w:r>
        <w:t xml:space="preserve">Las estimaciones de beneficio han subido en 2026: Bank of America elevó en abril su beneficio ajustado de 2026 a 6.740 M (+8,1 %) [47]; MarketScreener recoge 6.730 M para 2026 y 7.080 M para 2027 [46]. El objetivo medio (≈20-20,5 €) ha quedado por debajo del precio: la acción ha subido más que las revisiones [44, 45]. Solo hay una fuente gratuita con estimaciones: el BPA del consenso es el beneficio de MarketScreener dividido entre las acciones de hoy (estimación propia).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3" name="Gráfico 13"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60" w:before="0"/>
      </w:pPr>
    </w:p>
    <w:p>
      <w:pPr>
        <w:spacing w:after="100"/>
      </w:pPr>
      <w:r>
        <w:t xml:space="preserve">La acción pasó de 10,41 € a cierre de 2021 a 13,30 € en 2024 [48] y a ≈18,5 € en 2025 (≈+40 %, estimación con la capitalización de 125.000 M de enero de 2026), por detrás del IBEX (+49 % en 2025, empujado por los bancos). En 2026 sube otro ≈17 % hasta 21,68 € (13-oct) [41], máximos históricos, con el mercado pagando el giro a redes reguladas en Reino Unido y EE. UU. Las rentabilidades de los índices no se pudieron obtener en este entorno.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Iberdrola cotiza a 23,4 veces el beneficio de los últimos 12 meses y a 13,3 veces el EBITDA, frente a una media de 16,8x y 9,4x en los cierres de 2021-2025: una prima del 39 % y del 41 %, en el máximo de cinco años. Parte de la prima es estructural (las redes reguladas ya son el 51 % del EBITDA [4] y su beneficio crece al 8-10 % [9]) y parte es del ciclo: los tipos a largo bajaron y el sector entero se revalorizó. El PER de 2025 (20,0x) ya era el más alto de la serie; Renta 4 situaba la media de cinco años en 15,5x previsto [54].</w:t>
      </w:r>
    </w:p>
    <w:p>
      <w:pPr>
        <w:pStyle w:val="Heading1"/>
      </w:pPr>
      <w:r>
        <w:t xml:space="preserve">18. Comparables cotizados</w:t>
      </w:r>
    </w:p>
    <w:p>
      <w:pPr>
        <w:pStyle w:val="Confianza"/>
        <w:spacing w:after="100"/>
      </w:pPr>
      <w:r>
        <w:t xml:space="preserve">Confianza: Baja</w:t>
      </w:r>
    </w:p>
    <w:p>
      <w:pPr>
        <w:spacing w:after="100"/>
      </w:pPr>
      <w:r>
        <w:t xml:space="preserve">Eléctricas integradas europeas con redes reguladas (Endesa, Enel, EDP, Naturgy, Engie, E.ON, SSE) y una red pura española (Redeia), tomadas del informe de Endesa de este repositorio del mismo día [51]: Endesa, Naturgy y Redeia con todas sus cifras; el resto solo con el PER previsto de agregadores (mayo-septiembre de 2026). National Grid, el comparable más directo en redes británicas y estadounidenses, no se pudo cotejar en este entorno.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Iberdrola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8,7x / 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2,5x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el PER previsto, Iberdrola (≈21x nuestro BPA de 2027e) cotiza muy por encima de la mediana de los comparables (14,9x) y de Redeia (15,9x), una red pura [51]. Con EV/EBITDA, los tres comparables con datos completos (Endesa, Naturgy y Redeia) dan una mediana de 8,7x frente a 13,3x de Iberdrola. La prima se justifica en parte por el crecimiento (beneficio +8 % anual frente a 1-3 % de Endesa y Naturgy) y por la calidad regulatoria de Reino Unido y EE. UU., pero no por el ROIC, que ronda el 7 % frente a 13 % de Endesa. El método no entra en la síntesis: solo tres comparables tienen EV/EBITDA y el resto solo PER de agregadores.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Caruna (80 %, distribución eléctrica en Finlandia)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5.000 M con deuda asumida, al 100 %.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Neoenergia (30,3 %)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1.897 M por el 30,3 % comprado a Previ.</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los ≈5.000 M de operaciones corporativas de 2024 con los minoritarios de Avangrid.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Iberdrola en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neta de 953 M en el 1S26.</w:t>
            </w:r>
          </w:p>
        </w:tc>
      </w:tr>
    </w:tbl>
    <w:p>
      <w:pPr>
        <w:spacing w:after="160" w:before="0"/>
      </w:pPr>
    </w:p>
    <w:p>
      <w:pPr>
        <w:spacing w:after="160" w:before="0"/>
      </w:pPr>
    </w:p>
    <w:p>
      <w:pPr>
        <w:spacing w:after="100"/>
      </w:pPr>
      <w:r>
        <w:t xml:space="preserve">Iberdrola es compradora, no objetivo: con ≈145.000 M de capitalización y el límite estatutario de voto, una OPA es improbable. Las operaciones del sector se publican como EV/RAB y no hemos podido leer los múltiplos en este entorno.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Ventas +3,5 % en 2026 (1S26 +4,2 % ajustado [6]; consenso 45.710 M [46]) y +4,0 % en 2027-2028 por el crecimiento de la base de activos de redes con el plan de 58.000 M [29]; después baja al 2,0 % en 2034-2035. Las ventas de una eléctrica siguen al precio mayorista: medimos la actividad con el EBITDA, que crece un 7 % anual en 2025-2028. Rebajamos medio punto el crecimiento de 2027-2030 respecto al primer cálculo porque la prueba de sostenibilidad con el ROIC sobre todo el capital fallaba (ver sostenibilidad).</w:t>
      </w:r>
    </w:p>
    <w:p>
      <w:pPr>
        <w:keepNext/>
        <w:spacing w:after="100"/>
      </w:pPr>
      <w:r>
        <w:rPr>
          <w:b/>
          <w:bCs/>
        </w:rPr>
        <w:t xml:space="preserve">Márgenes.</w:t>
      </w:r>
    </w:p>
    <w:p>
      <w:pPr>
        <w:spacing w:after="100"/>
      </w:pPr>
      <w:r>
        <w:t xml:space="preserve">Margen EBITDA (EBIT + amortización) del 35,3 % en 2025 [1] que sube al 36,5 % en 2026 y al 38,3 % en 2028 por la mezcla: Redes, el 51 % del EBITDA ajustado, creció un 21 % en 2025 y un 9 % en el 1T26, mientras Producción y Clientes bajó un 10 % y un 3 % [5, 9]. Se estabiliza en el 38,5 %. Resultado: EBITDA de ≈18.950 M en 2028, coherente con el beneficio de ≈7.000 M de nuestro base, algo por debajo del objetivo de 7.600 M del plan [29].</w:t>
      </w:r>
    </w:p>
    <w:p>
      <w:pPr>
        <w:keepNext/>
        <w:spacing w:after="100"/>
      </w:pPr>
      <w:r>
        <w:rPr>
          <w:b/>
          <w:bCs/>
        </w:rPr>
        <w:t xml:space="preserve">Inversión y circulante.</w:t>
      </w:r>
    </w:p>
    <w:p>
      <w:pPr>
        <w:spacing w:after="100"/>
      </w:pPr>
      <w:r>
        <w:t xml:space="preserve">Inversión del 30 % de las ventas en 2026 (≈13.700 M, en línea con 14.460 M de 2025 y 7.000 M en el 1S26 [6, 24]), del 29 % y el 28 % en 2027-2028 (plan de 58.000 M en 2025-2028), y bajada gradual hasta el 17 % en 2035, por encima de una amortización del 15 % de las ventas. Circulante nulo (no hay datos).</w:t>
      </w:r>
    </w:p>
    <w:p>
      <w:pPr>
        <w:keepNext/>
        <w:spacing w:after="100"/>
      </w:pPr>
      <w:r>
        <w:rPr>
          <w:b/>
          <w:bCs/>
        </w:rPr>
        <w:t xml:space="preserve">Coste del capital.</w:t>
      </w:r>
    </w:p>
    <w:p>
      <w:pPr>
        <w:spacing w:after="100"/>
      </w:pPr>
      <w:r>
        <w:t xml:space="preserve">Bund a 10 años del 3,53 % (12-oct) [49]; beta 0,65 (eléctricas reguladas europeas; las betas de agregadores, 0,13-0,21, no son fiables); prima de mercado del 5,5 % y 0,5 puntos adicionales por Brasil; coste de la deuda del 4,8 % (4,81 % en 2024 [11]); peso de la deuda del 27 % a mercado. WACC 6,56 %. Con la prima implícita del mercado (4,2 % [50]) el WACC baja al 6,0 % y el valor sube a 17,88 €.</w:t>
      </w:r>
    </w:p>
    <w:p>
      <w:pPr>
        <w:keepNext/>
        <w:spacing w:after="100"/>
      </w:pPr>
      <w:r>
        <w:rPr>
          <w:b/>
          <w:bCs/>
        </w:rPr>
        <w:t xml:space="preserve">Valor terminal.</w:t>
      </w:r>
    </w:p>
    <w:p>
      <w:pPr>
        <w:spacing w:after="100"/>
      </w:pPr>
      <w:r>
        <w:t xml:space="preserve">Gordon con un crecimiento del 2,0 % (inflación del euro), por debajo del Bund menos medio punto. El múltiplo implícito es de 9,5 veces el EBITDA, en la mediana de los comparables con EV/EBITDA (8,7x) y por debajo de las 13,3x a las que cotiza hoy Iberdrola. El valor terminal pesa el 77 %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43.686 M (45 %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(ROIC 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(histórico: 6,0 %)</w:t>
            </w:r>
          </w:p>
        </w:tc>
      </w:tr>
    </w:tbl>
    <w:p>
      <w:pPr>
        <w:spacing w:after="160" w:before="0"/>
      </w:pPr>
    </w:p>
    <w:p>
      <w:pPr>
        <w:spacing w:after="100"/>
      </w:pPr>
      <w:r>
        <w:t xml:space="preserve">La proyección reinvierte el 45 % del NOPAT. Con el ROIC del último ejercicio (9,4 %), eso financia un crecimiento del 4,2 % anual, frente al 3,0 % de ingresos proyectado. Supone que el capital nuevo rinde un 7,0 %, frente a un ROIC incremental histórico del 6,0 %.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base de activos de redes (inversión de 7.000 M en el 1S26 [6]); precio 1 %: actualización de tarifas reguladas.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plan de 37.000 M en redes [29] y Caruna fuera del modelo;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fin del plan 2025-2028;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inversión que baja con el siguiente plan;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precio 0,5 %.</w:t>
            </w:r>
          </w:p>
        </w:tc>
      </w:tr>
    </w:tbl>
    <w:p>
      <w:pPr>
        <w:spacing w:after="160" w:before="0"/>
      </w:pPr>
    </w:p>
    <w:p>
      <w:pPr>
        <w:spacing w:after="100"/>
      </w:pPr>
      <w:r>
        <w:t xml:space="preserve">El motor da el veredicto «En parte» con un ROIC del 9,4 % que infla el capital de los años sin patrimonio; hicimos la prueba a mano con todo el capital: ROIC ≈6,8 % (NOPAT 7.742 M / 113.600 M de deuda neta más patrimonio de 2025 [28]) × 45 % de reinversión = 3,1 % de crecimiento financiable, frente al 3,4 % del primer cálculo: fallaba, y rebajamos el base al 3,0 % anual. Con eso pasa justo. El foso es regulatorio, no competitivo: las redes crecen con la inversión reconocida, a rentabilidades que apenas superan el WACC.</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(base: 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 (base: 38,5 %)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(WACC: 6,6 %)</w:t>
            </w:r>
          </w:p>
        </w:tc>
      </w:tr>
    </w:tbl>
    <w:p>
      <w:pPr>
        <w:spacing w:after="160" w:before="0"/>
      </w:pPr>
    </w:p>
    <w:p>
      <w:pPr>
        <w:spacing w:after="100"/>
      </w:pPr>
      <w:r>
        <w:t xml:space="preserve">El DCF da 14,12 € por acción con un WACC del 6,56 % y un valor terminal del 77 % del valor empresa; con la prima implícita del mercado sube a 18,25 € en el DCF y a 17,88 € en la síntesis. A 21,68 € el precio descuenta un crecimiento de las ventas del 6,4 % anual en 2027-2035, más del doble del 2,9 % de nuestro base, o un margen EBITDA del 44,4 % frente al 38,5 %; dicho de otro modo, a ese precio la acción rinde un 5,5 % anual, menos que nuestro WACC (6,56 %) y que el coste que pide hoy el mercado (6,0 %). Es exigente frente a la historia: el EBITDA creció un 7,5 % anual en 2021-2025 con una inversión del 25-28 % de las ventas, y nada indica que el ROIC del capital nuevo vaya a superar el 7 %. El mercado paga a Iberdrola como una red regulada de crecimiento con prima de calidad; nuestro DCF la valora a 9,5 veces el EBITDA terminal, el múltiplo de las eléctricas europeas.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regulatorias más duras (RIIO-ED3 en Reino Unido desde 2028, casos tarifarios en EE. UU.) y precios mayoristas bajos: ventas un punto por debajo y margen 1,5 puntos menor, como el −10 % de Producción y Clientes en 2025 [5].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58.000 M ejecutado, redes que crecen con la base de activos y beneficio de ≈7.000 M en 2028, algo por debajo del plan.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cumple y supera el plan (beneficio de ≈7.500 M en 2028) con Caruna y más inversión en redes por la demanda de centros de datos: medio punto más de crecimiento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21,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13,40 EUR (-38,2 %).</w:t>
      </w:r>
    </w:p>
    <w:p>
      <w:pPr>
        <w:spacing w:after="100"/>
      </w:pPr>
      <w:r>
        <w:t xml:space="preserve">Los tres escenarios del DCF quedan por debajo del precio: 8,95 € el bajista, 14,12 € el base y 16,40 € el alcista. La asimetría es negativa (−0,42x): incluso en el alcista se pierde un 24 %. El resultado depende sobre todo de la tasa de descuento: con la prima implícita del mercado el valor sube a 17,88 €, aún un 18 % por debajo del precio.</w:t>
      </w:r>
    </w:p>
    <w:p>
      <w:pPr>
        <w:pStyle w:val="Heading1"/>
      </w:pPr>
      <w:r>
        <w:t xml:space="preserve">22. Suma de partes</w:t>
      </w:r>
    </w:p>
    <w:p>
      <w:pPr>
        <w:pStyle w:val="Confianza"/>
        <w:spacing w:after="100"/>
      </w:pPr>
      <w:r>
        <w:t xml:space="preserve">Confianza: Baja</w:t>
      </w:r>
    </w:p>
    <w:p>
      <w:pPr>
        <w:spacing w:after="100"/>
      </w:pPr>
      <w:r>
        <w:t xml:space="preserve">No se aplica: sin ingresos ni activos por negocio fiables en este entorno, y las redes y renovables de Iberdrola no tienen comparables cotizados puros con datos completos aquí.</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21,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13,83 EUR (-36,2 % sobre 21,68).</w:t>
      </w:r>
    </w:p>
    <w:p>
      <w:pPr>
        <w:spacing w:after="100"/>
      </w:pPr>
      <w:r>
        <w:t xml:space="preserve">El DCF pesa el 60 % y los escenarios el 40 %: es el método que recoge la inversión que exige el crecimiento. Los comparables no entran (solo tres con EV/EBITDA, todos más baratos y con menos crecimiento) y las transacciones no tienen múltiplos publicados aquí. La dispersión es grande: DCF 14,12 €, DCF con la prima del mercado 18,25 €, objetivo medio de los analistas 20,51 € y precio 21,68 €. El valor intrínseco depende de la tasa de descuento: cada medio punto de WACC mueve el valor 4-5 € por acción. Falta en el puente el importe de los híbridos perpetuos, que restaría más valor.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spacing w:after="100"/>
      </w:pPr>
      <w:r>
        <w:rPr>
          <w:b/>
          <w:bCs/>
        </w:rPr>
        <w:t xml:space="preserve">Objetivo a 12 meses (ponderado):</w:t>
      </w:r>
      <w:r>
        <w:t xml:space="preserve"> 17,38 EUR · rentabilidad -16,7 % (base -15,4 %) · señal Vender.</w:t>
      </w:r>
    </w:p>
    <w:p>
      <w:pPr>
        <w:keepNext/>
        <w:spacing w:after="100"/>
      </w:pPr>
      <w:r>
        <w:rPr>
          <w:b/>
          <w:bCs/>
        </w:rPr>
        <w:t xml:space="preserve">Frente al consenso (solo contraste).</w:t>
      </w:r>
    </w:p>
    <w:p>
      <w:pPr>
        <w:spacing w:after="100"/>
      </w:pPr>
      <w:r>
        <w:t xml:space="preserve">Nuestro BPA de 2027e (0,99 €) queda un 7 % por debajo del implícito en el consenso (≈1,06 €: 7.080 M de MarketScreener ÷ 6.673 M de acciones [46]) porque partimos del beneficio de operaciones continuadas (sin México) y de un margen algo inferior al que da el plan. La diferencia principal es el múltiplo: nuestro base (17,66 €) aplica 16,8x, la mediana de cinco años, frente a ≈19,5x implícito en el objetivo medio de 20,51 € de 23 analistas [44]. El objetivo medio queda por encima de nuestro alcista (19,52 €) y por debajo del precio.</w:t>
      </w:r>
    </w:p>
    <w:p>
      <w:pPr>
        <w:keepNext/>
        <w:spacing w:after="100"/>
      </w:pPr>
      <w:r>
        <w:rPr>
          <w:b/>
          <w:bCs/>
        </w:rPr>
        <w:t xml:space="preserve">Del valor intrínseco al objetivo a 12 meses.</w:t>
      </w:r>
    </w:p>
    <w:p>
      <w:pPr>
        <w:spacing w:after="100"/>
      </w:pPr>
      <w:r>
        <w:t xml:space="preserve">El objetivo a 12 meses (17,38 €) queda un 26 % por encima del valor intrínseco (13,83 €) y un 20 % por debajo del precio: la regla común lleva el PER a la mediana de cinco años y el DCF valora la inversión a un rendimiento que apenas cubre el WACC. Para que el precio se sostenga haría falta que el mercado mantuviera el PER de 21x, la prima de las redes de crecimiento, o que el beneficio superara con holgura los 7.600 M del plan en 2028. La tesis no es a 12 meses: es una cuestión de múltiplo.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beneficio ajustado &gt; +8 % [55]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80 % de Caruna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base de activos regulada y más deuda (≈5.000 M al 100 %)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actualización del plan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subida de objetivos de 2028 [29]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de Ofgem para RIIO-ED3 (distribución en Reino Unido desde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Fijan la tasa de una parte central del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a cuenta (Retribución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del 3,1 %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la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(PER de 16,8x)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beneficio del 8 %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previsto por debajo de 19x o subida del 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Revisiones regulatorias más duras (RIIO-ED3, casos de EE. UU., CNMC)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(escenario bajista del DCF, 8,95 €)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de la inversión en países con rating A [29]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financiera propuesta por Ofgem para 2028-2033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 −5 € por cada medio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deuda del 4,8 % y vida media larga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creciente con el plan y las 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 activos y dividendo flexible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FFO/deuda por debajo del 20 % (22,4 % en junio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mayoristas bajos en España y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ya son el 51 % del EBITDA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Producción y Clientes (−10 % en 2025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EE. UU. contra las renovables y la eólica marina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en EE. UU. se centra en redes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Cancelación de permisos o créditos fiscales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presidente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nombrado en 2025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relevo en la presidencia</w:t>
            </w:r>
          </w:p>
        </w:tc>
      </w:tr>
    </w:tbl>
    <w:p>
      <w:pPr>
        <w:spacing w:after="160" w:before="0"/>
      </w:pPr>
    </w:p>
    <w:p>
      <w:pPr>
        <w:pStyle w:val="Heading2"/>
      </w:pPr>
      <w:r>
        <w:t xml:space="preserve">Pre-mortem</w:t>
      </w:r>
    </w:p>
    <w:p>
      <w:pPr>
        <w:spacing w:after="100"/>
      </w:pPr>
      <w:r>
        <w:t xml:space="preserve">Octubre de 2029: la acción ha perdido un 40 % y cotiza a 13 €. Qué pasó: en 2027 el Bund subió al 4,5 % y los inversores rotaron de las eléctricas a los bancos y la renta fija; a la vez, Ofgem fijó para RIIO-ED3 una tasa financiera inferior a la de RIIO-ED2 y Nueva York recortó la tasa del caso tarifario de NYSEG. Iberdrola siguió invirtiendo 15.000 M al año, el FFO/deuda bajó del 20 % y S&amp;P amenazó con rebajar el rating, lo que obligó a una ampliación de capital y a vender activos a peor precio. El beneficio de 2028 quedó en 6.500 M en vez de 7.600 M y el PER volvió a 15x, su nivel de 2024. La señal temprana habría sido el FFO/deuda por debajo del 21 % y la propuesta de Ofgem para la distribución.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Las emisiones son bajas frente a las eléctricas europeas por su mezcla renovable y nuclear; el asunto material es regulatorio y de inversión: la taxonomía europea y la descarbonización justifican la retribución de redes y renovables. La seguridad de la red (incendios y tormentas en EE. UU.) es el riesgo operativo.</w:t>
      </w:r>
    </w:p>
    <w:p>
      <w:pPr>
        <w:pStyle w:val="Heading2"/>
      </w:pPr>
      <w:r>
        <w:t xml:space="preserve">Controversias</w:t>
      </w:r>
    </w:p>
    <w:p>
      <w:pPr>
        <w:spacing w:after="100"/>
      </w:pPr>
      <w:r>
        <w:t xml:space="preserve">La causa judicial en la Audiencia Nacional por los encargos a la empresa de Villarejo afectó a antiguos directivos; Ignacio Galán quedó desimputado en 2024. No se pudo leer en este entorno el estado de otras sanciones.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del capital nuevo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la base de activos regulada esperan de los 37.000 M en redes del plan, por país, frente a su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 ≈7 % apenas supera el WACC; es lo que decide si el crecimiento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Híbridos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saldo de bonos híbridos perpetuos y cómo lo tratan en la deuda neta ajustada y en el BPA?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Falta en el puente y resta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RIIO-ED3</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financiera y qué inversión piden a Ofgem para 2028-2033?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es el primer destino de la inversión (≈20.000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Caruna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de la base de activos regulada compran Caruna y con qué rentabilidad esperada?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la disciplina de precio en las 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activos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rotación de activos necesita el plan para mantener el FFO/deuda por encima del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del plan depende de ventas como la de México.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dejará Ignacio Galán las funciones ejecutivas?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poder durante 25 años.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Iberdrola)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de largo plazo contentos con el dividendo flexible y los máximos; varios dudan de comprar a estos precios y esperan un recorte [58,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(pulso del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aparece como valor refugio del IBEX frente a los bancos; poca discusión de fondo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sitúan el valor razonable en 19-20,5 €, por debajo del precio, aunque valoran la visibilidad de las redes [60,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GuruFocus y Walnut (resúmenes con 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la marca como sobrevalorada y con pay-out alto; el artículo de Seeking Alpha citado mantiene «comprar» por la previsibilidad del plan de 58.000 M [31,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máximos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 de ≈21x el beneficio de 2026e frente a una mediana histórica de ≈17x y a 14,9x de los comparables.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Previsibilidad de las redes reguladas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ya son el 51 % del EBITDA y crecieron un 21 % en 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flexible y dilución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dilución se compensa con amortizaciones de autocartera (182,8 M de acciones en junio de 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creciente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≈54.000 M en junio (+3.790 M en seis meses) con FFO/deuda del 22,4 %.</w:t>
            </w:r>
          </w:p>
        </w:tc>
      </w:tr>
    </w:tbl>
    <w:p>
      <w:pPr>
        <w:spacing w:after="160" w:before="0"/>
      </w:pPr>
    </w:p>
    <w:p>
      <w:pPr>
        <w:spacing w:after="100"/>
      </w:pPr>
      <w:r>
        <w:t xml:space="preserve">El inversor particular sigue a Iberdrola como valor de dividendo y refugio, sin euforia: el debate de los tres últimos meses es si merece la pena comprar en máximos. La preocupación por la valoración coincide con nuestras cifras y con los analistas (objetivo medio por debajo del precio). No anticipa ningún riesgo que el informe no recoja. Reddit y Stocktwits no devolvieron hilos en este entorno.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21 controles correctos y 4 explicados. Fuentes: 63 (17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-1.479 (¿operaciones interrumpidas?). Explicación: La diferencia (1.479 M) es el resultado de actividades interrumpidas (México, vendido en 2024 y 2026) que Stock Analysis deja fuera del BAI; el beneficio atribuido publicado es 5.612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-364 (¿operaciones interrumpidas?). Explicación: Los 364 M de diferencia son el resultado de México como actividad interrumpida; el BPA propio parte del beneficio de operaciones continuadas.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 suman los ingresos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0 frente a ingresos 44.076 (-100,0 %). Si hay eliminaciones entre segmentos, explícalo. Explicación: Iberdrola publica el EBITDA ajustado por negocio (Redes, Renovables, Producción y Clientes) pero los ingresos por negocio no se pudieron leer en este entorno: la tabla muestra solo el resultado.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7,0 % frente a un ROIC de 9,4 % y un incremental histórico de 6,0 %: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con la prima del mercado, -14,4 % (&gt; −15 %); el precio pide 3,5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17, 18, 27, 30, 39, 40, 42, 43, 52, 53, 56, 57. Explicación: Fuentes de contexto leídas que respaldan cifras ya citadas con otra fuente (infografías y agregadores duplicados).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patrimonio atribuido, minoritarios, arrendamientos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en iberdrola.com: no accesible (solo búsqueda web); 2) Stock Analysis y Simply Wall St: los extractos cortan antes del pasivo; 3) Medidas alternativas del rendimiento: solo deuda neta ajustada y ratios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pagados, arrendamientos y desinversiones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informe anual: no accesible; 2) Stock Analysis y Stockopedia: extractos incompletos; 3) Notas de prensa: solo FFO e inversión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resultados; 2) Stock Analysis (solo 2025); 3) Prensa: cifras contradictorias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accesible; 2) IAGC: no accesible;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IEA y Eurelectric: no accesibles; 2) búsqueda web de tamaño de inversión en redes: sin fuente con cifra fiable; 3) informes de competidores: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los competidores y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Enel, EDP, SSE: no accesibles; 2) Stock Analysis: sin búsqueda disponible por límite; 3) informe de Endesa del repo: solo Endesa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2) Sustainalytics; 3) informe de sostenibilidad: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IAGC e IARC (comisiones, remuneración, votos de remuneración,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e iberdrola.com: no accesibles en este entorno; 2) búsqueda web de participaciones significativas (Qatar, Norges, BlackRock): sin resultado con cifra; 3) acta de la Junta 2026: solo apoyo medio 97,88 %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no accesible; 2) prensa: sin resultado; 3) agregadores: no consultados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14-oct (sesión abierta), volumen y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2) búsqueda de la cotización del 14-oct: sin dato de cierre; 3) Bolsamanía: cierre del 13-oct (21,68 €)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rentabilidades frente a índices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TipRanks: betas de 0,13-0,21 incoherentes entre líneas; 3) CNMV: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BPA del consenso por año y estimaciones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ventas, beneficio y PER de 2026-2027; 2) Investing: solo objetivos; 3) prensa: BofA 2026e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y EV/RAB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Iberdrola: solo importes; 2) prensa: sin múltiplos; 3) informes de Enagás y Endesa del repo: otras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(r/eupersonalfinance, r/SpainFIRE): sin hilos; 2) Stocktwits: sin resultados; 3) Seeking Alpha: solo un titular vía agregador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(base de activos regulada) e híbridos perpetuos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2025 y plan: no accesibles; 2) búsqueda web de la base de activos regulada: sin cifra; 3) Medidas alternativas del rendimiento: solo deuda neta ajustada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(BME:IBE) Income Statement (ingresos, EBIT, amortización, BAI, impuestos, minoritarios, beneficio, acciones diluidas,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https://stockanalysis.com/quote/bme/IBE/financials/income-statement/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(BME:IBE) Balance Sheet (activo total, fondo de comercio,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https://stockanalysis.com/quote/bme/IBE/financials/balance-sheet/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invierte 14.460 millones en 2025 y aumenta el beneficio neto un 12 % (nota de prensa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https://www.iberdrola.com/documents/20125/5739678/iberdrola-invierte-14460-millones-en-2025-y-aumenta-el-beneficio-neto-un-12-por-ciento.pdf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2025: infografía (beneficio neto ajustado 6.231 M, EBITDA ajustado 15.684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https://www.iberdrola.com/documents/20125/5693233/PR25FY-infografia.pdf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closes 2025 with record profit of 6.285 billion (EBITDA reportado 16.592 M, ingresos 45.547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https://en.ara.cat/economy/iberdrola-closes-2025-with-record-profit-of-6-285-billion_1_5658733.html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Inversiones en redes en R. Unido, EE. UU. y Brasil impulsan el beneficio neto de Iberdrola a junio hasta 4.340 millones (+22 %)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https://www.iberdrola.com/documents/20125/6089933/260722-inversiones-redes-r-unido-ee-uu-brasil-impulsan-beneficio-neto-iberdrola-junio-hasta-4340-millones-22.pdf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1S26: infografía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https://www.iberdrola.com/documents/20125/6038293/PR261S-infografia.pdf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gana más, compra una distribuidora en Finlandia y dispara la inversión (FFO/deuda 22,4 %, deuda neta ≈54.000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Roams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https://roams.es/actualidad/energia/iberdrola-gana-mas-compra-distribuidora-finlandia-dispara-inversion/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impulsa su beneficio un 11,4 % y mejora previsiones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https://www.estrategiasdeinversion.com/actualidad/noticias/bolsa-espana/iberdrola-impulsa-su-beneficio-un-114-y-mejora-n-912415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ganó 1.711 millones hasta marzo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https://theobjective.com/economia/2026-04-29/iberdrola-gano-1711-millones-marzo/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récord de 17.000 millones impulsa el beneficio neto de Iberdrola hasta 5.612 millones (+17 %)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https://iberdrola.com/documents/20125/4994767/250227-pr-inversion-record-17000-millones-impulsa-beneficio-neto-iberdrola-hasta-5612-millones-17-mas.pdf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gana 4.803 millones en 2023, un 10,7 % más, e invierte 11.382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https://www.bolsamania.com/noticias/resultados-anuncios/iberdrola-gana-4803-millones-2023-107-mas-invierte-11382-millones--16278578.html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2022: infografía (beneficio 4.339 M, EBITDA 13.228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https://www.iberdrola.com/documents/20125/2955440/PR22FY-infografia.pdf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alternativas del rendimiento 1T22 (deuda neta ajustada 2021: 39.119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https://www.iberdrola.com/documents/20125/1708762/Medidas_Alternativas_Rendimiento_1T22.pdf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alternativas del rendimiento FY22 (deuda neta ajustada 43.749 M; FFO/deuda 25,4 %)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https://www.iberdrola.com/documents/20125/2955414/medidas-alternativas-rendimiento-FY22.pdf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alternativas del rendimiento 23FY (deuda neta ajustada 47.832 M; FFO/deuda 23,2 %; DN/EBITDA 3,32x)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https://www.iberdrola.com/documents/20125/3894078/medidas-alternativas-rendimiento-23FY.pdf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 — Iberdrola SA Income Statement (beneficio antes de impuestos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https://www-proxy.stockopedia.com/share-prices/iberdrola-sa-MCE:IBE/income-statement/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SA (IBE1.DE) Income Statement (minoritarios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https://www.chartmill.com/stock/quote/IBE1.DE/financials/income-statement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resultados de Iberdrola cumplen con las previsiones (BPA 2025: 0,925 €)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https://www.ocu.org/inversiones/invertir/acciones/articulos/2026/02/los-resultados-de-iberdrola-cumplen-con-las-previsiones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fija el dividendo complementario de 0,427 € (resultados 2025; dividendo total 0,68 €)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https://www.elindependiente.com/economia/2026/02/25/iberdrola-resultados-2025-beneficio-record-inversiones/amp/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sociales, artículo 10, texto de 24-jul-2026 (6.673.141.516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https://www.iberdrola.com/documents/20125/42013/estatutos-modif-260724.pdf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Reducción de capital por amortización de 182.845.603 acciones propias (BORME)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https://boe.es/borme/dias/2026/07/01/pdfs/BORME-C-2026-3876.pdf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 resumen de resultados 2025 por negocio (EBITDA ajustado Redes 7.973 M, Renovables 5.148 M, Producción y Clientes 2.563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https://app.getquin.com/es/post/MZiohwpRJe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posts its strongest year yet: €6.285bn profit, €14.46bn investment (redes 8.975 M; renovables 5.260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SolarQuarter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https://solarquarter.com/2026/03/02/iberdrola-posts-its-strongest-year-yet-e6-285b-profit-e14-46b-investment-and-massive-us-uk-network-spending-power-growth-in-2025/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pulveriza todos sus registros (FFO 12.811 M, +8,2 %; deuda neta 50.200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https://www.vozpopuli.com/economia/energia/iberdrola-pulveriza-todos-sus-registros-y-alcanza-unos-beneficios-de-6285-millones.html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gana 4.339 millones en 2022, un 12 % más (deuda neta, inversiones 10.730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https://www.estrategiasdeinversion.com/actualidad/noticias/empresas/iberdrola-gana-4339-millones-un-12-mas-pese-a-n-596073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Cash Flow Statement (flujo operativo 2023 12.130 M; capex 7.877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https://stockopedia.com/share-prices/iberdrola-sa-MCE:IBE/cashflow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Financial Health (deuda total ≈54.300 M; patrimonio ≈63.400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https://simplywall.st/stocks/es/utilities/bme-ibe/iberdrola-shares/health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invertirá 58.000 millones hasta 2028 para crecer más en redes en EE. UU. y Reino Unido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https://www.iberdrola.com/documents/20125/5481017/250924-iberdrola-invertira-58000-millones-hasta-2028-crecer-mas-redes-estados-unidos-reino-unido.pdf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dispara inversión, beneficio y dividendo en su nuevo plan a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Observador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https://www.elobservador.com.uy/espana/economia-y-finanzas/iberdrola-dispara-inversion-beneficio-y-dividendo-su-nuevo-plan-2028-n6017949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IBDRY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https://walnutinvest.com/stocks/ibdry/is-it-a-buy-or-sell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(Wikipedia): historia, fusión de Hidroeléctrica Española e Iberduero (1992), ScottishPower (2007)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https://en.wikipedia.org/wiki/Iberdrola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Renovables (Wikipedia): salida a bolsa 2007 y reintegración 2011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https://en.wikipedia.org/wiki/Iberdrola_Renovables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se posiciona como la primera energética europea: supera los 100.000 millones en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https://www.deia.eus/economia/2025/04/03/iberdrola-posiciona-primera-energetica-europea-9480619.amp.html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roza los 125.000 millones de capitalización en su 125 aniversario (≈+40 %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https://www.energias-renovables.com/panorama/iberdrola-roza-los-125-000-millones-de-20260108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accionistas respaldan masivamente la gestión y la estrategia de Iberdrola en la Junta del 125 aniversario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https://www.iberdrola.com/documents/20125/5965887/260529-accionistas-respaldan-masivamente-gestion-estrategia-iberdrola-junta-125-aniversario.pdf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avala la hoja de ruta de Galán con un 97,88 % de apoyo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https://www.estrategiasdeinversion.com/actualidad/noticias/bolsa-espana/iberdrola-avala-la-hoja-de-ruta-de-galan-con-un-n-921799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https://www.iberdrola.com/documents/20125/5614659/jga26-resultado-votaciones.pdf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número total de acciones y derechos de voto (6.757.845.603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https://www.iberdrola.com/documents/20125/5614659/jga26-numero-total-acciones-derechos-voto.pdf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Iberdrola: se elevan las previsiones para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https://global.morningstar.com/es/acciones/resultados-de-iberdrola-se-elevan-las-previsiones-para-2026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Iberdrola (cierre del 13-oct-2026: 21,68 €; rango 21,56-21,93 €)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https://www.bolsamania.com/accion/IBERDROLA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Dónde invertir en bolsa hoy (cierre del Ibex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Español / Invertia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https://www.elespanol.com/invertia/mercados/20261014/invertir-bolsa-hoy-valores-aprovechar-reaccion-alcista/1003744419222_0.html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así abre la cotización hoy (máximo y mínimo de 52 semanas 21,41 € y 17,88 €)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Cronista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https://www.cronista.com/espana/ibex-euro/iberdrola-asi-abre-la-cotizacion-hoy-martes-04-de-agosto-cuanto-rinden-los-dividendos/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(IBE): consenso de 23 analistas (objetivo medio 20,51 €, 17,30-23,50 €; 6 comprar, 16 mantener, 1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https://mx.investing.com/equities/iberdrola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afronta octubre con una valoración exigente (consenso mantener, objetivo 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DailyForex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https://es.dailyforex.com/stock-market-today/2026/10/iberdrola-afronta-octubre-con-una-valoracion-exigente-2026/250300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S.A.: consenso (ventas 45.710 / 46.710 M y beneficio 6.730 / 7.080 M en 2026-2027; PER 20,3x / 19,5x)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https://ca.marketscreener.com/quote/stock/IBERDROLA-S-A-4007481/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mejora sus previsiones para Iberdrola (beneficio ajustado 2026e 6.740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Bolsa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https://www.bolsamania.com/capitalbolsa/noticias/empresas/bank-of-america-mejora-sus-previsiones-para-iberdrola-tras-un-trimestre-mas-fuerte-de-lo-esperado--22392665.html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datos históricos de cotización (cierres de 2019-2024)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https://tradersunion.com/currencies/price-history/ibe-eur/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 de Endesa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eléctricas europeas (Endesa, Naturgy, Redeia, Enel, EDP, Engie, E.ON, SSE) del informe de Endesa de este repositorio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informes/endesa-2026-10-14/datos.json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Opinión y relación de analistas (Santander mantener 18,10 €; UBS comprar 21,40 €)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https://www.iberdrola.com/accionistas-inversores/inversores/opinion-analistas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rumbo a nuevos máximos en el Ibex 35 tras sus resultados de 2025 (Bankinter, objetivo 21,50 €)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https://www.estrategiasdeinversion.com/actualidad/noticias/bolsa-espana/iberdrola-rumbo-a-nuevos-maximos-en-el-ibex-35-n-893753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potencial de doble dígito (Renta 4: PER medio de 5 años 15,5x)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https://www.estrategiasdeinversion.com/analisis/los-brokers-recomiendan/recomendaciones-espana/iberdrola-potencial-en-bolsa-de-doble-digito-para-n-851637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fecha de resultados (21-oct-2026, antes de la apertura)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https://www.tipranks.com/stocks/it:1ibe/statistics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(BME:IBE) After Strong Half Year Results Still Looks Fully 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https://www.webull.com/news/15328938668532736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Valuation Multiples (EV/EBITDA LTM 12,7x,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MarketInOut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https://www.marketinout.com/stock/es/ibe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(IBE): foro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https://www.rankia.co/acciones/iberdrola-ibe/foro?page=3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(IBE): seguimiento de acciones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https://www.rankia.com/foros/bolsa/temas/2003626-iberdrola-ibe-seguimiento-acciones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 comunitaria: las mejoras regulatorias impulsarán la modernización de la 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https://www.simplywall.st/narratives/3uyvw44l-recent-upgrades-and-sector-momentum-will-drive-broader-grid-modernization-efforts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Assessing Iberdrola (BME:IBE) valuation after weaker first quarter 2026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https://simplywall.st/stocks/es/utilities/bme-ibe/iberdrola-shares/news/assessing-iberdrola-bmeibe-valuation-after-weaker-first-quar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(MEX:IBE N): Forward Dividend Yield y GF Value («significativamente sobrevalorada»)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https://www.gurufocus.com/term/ForwardDividendYield/MEX:IBE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Pulso del mercado intradía (hilo general con comentarios sobre Iberdrola)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https://www.rankia.com/foros/bolsa/temas/2629169-pulso-mercado-intradia?page=41160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80,3 %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Entorno nube: la red solo deja la búsqueda web; no se abrieron el informe anual, el IAGC, el IARC ni la CNMV, y no funcionaron descargar.mjs ni bolsa.mjs. Las cifras salen de extractos de búsqueda de notas de prensa de Iberdrola, Stock Analysis, Stockopedia, MarketScreener, Investing y prensa financiera, con su URL. La cuenta 2021-2025 sigue a Stock Analysis (EBITDA = EBIT + amortización), que no coincide con el EBITDA ajustado de la empresa (15.684 M en 2025 frente a 15.558 M) ni con sus ventas (45.547 M frente a 44.076 M) por el perímetro de actividades interrumpidas. El balance solo tiene la deuda neta ajustada por año y el activo, la caja y el patrimonio total de 2025: la deuda financiera de 2021-2024 es la neta (caja 0), y el ROIC del motor de esos años no es fiable (capital invertido sin patrimonio). Los BPA de 2021, 2023 y 2024 son estimación propia (beneficio ÷ ≈6.700 M de acciones). Precio: cierre del 13-oct (la sesión del 14 seguía abierta). Cierre de 2025 estimado (≈18,5 €). Comparables reutilizados del informe de Endesa del mismo día. Los híbridos perpetuos no están en el puente (hueco).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Iberdrola, S.A. (IBE.MC)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(17,88 – 21,93)</c:v>
                </c:pt>
                <c:pt idx="1">
                  <c:v>Precio objetivo de los analistas (17,30 – 23,50)</c:v>
                </c:pt>
                <c:pt idx="2">
                  <c:v>DCF (WACC y g ± 0,5) (10,06 – 20,44)</c:v>
                </c:pt>
                <c:pt idx="3">
                  <c:v>Escenarios (bajista – alcista) (8,95 – 16,40)</c:v>
                </c:pt>
                <c:pt idx="4">
                  <c:v>DCF con la prima implícita del mercado (4,2 %)</c:v>
                </c:pt>
                <c:pt idx="5">
                  <c:v>Precio actual (21,68)</c:v>
                </c:pt>
              </c:strCache>
            </c:strRef>
          </c:cat>
          <c:val>
            <c:numRef>
              <c:f>Hoja1!$B$2:$B$7</c:f>
              <c:numCache>
                <c:formatCode>#,##0.0</c:formatCode>
                <c:ptCount val="6"/>
                <c:pt idx="0">
                  <c:v>17.88</c:v>
                </c:pt>
                <c:pt idx="1">
                  <c:v>17.3</c:v>
                </c:pt>
                <c:pt idx="2">
                  <c:v>10.06</c:v>
                </c:pt>
                <c:pt idx="3">
                  <c:v>8.95</c:v>
                </c:pt>
                <c:pt idx="4">
                  <c:v>14.81</c:v>
                </c:pt>
                <c:pt idx="5">
                  <c:v>21.57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(17,88 – 21,93)</c:v>
                </c:pt>
                <c:pt idx="1">
                  <c:v>Precio objetivo de los analistas (17,30 – 23,50)</c:v>
                </c:pt>
                <c:pt idx="2">
                  <c:v>DCF (WACC y g ± 0,5) (10,06 – 20,44)</c:v>
                </c:pt>
                <c:pt idx="3">
                  <c:v>Escenarios (bajista – alcista) (8,95 – 16,40)</c:v>
                </c:pt>
                <c:pt idx="4">
                  <c:v>DCF con la prima implícita del mercado (4,2 %)</c:v>
                </c:pt>
                <c:pt idx="5">
                  <c:v>Precio actual (21,68)</c:v>
                </c:pt>
              </c:strCache>
            </c:strRef>
          </c:cat>
          <c:val>
            <c:numRef>
              <c:f>Hoja1!$C$2:$C$7</c:f>
              <c:numCache>
                <c:formatCode>#,##0.0</c:formatCode>
                <c:ptCount val="6"/>
                <c:pt idx="0">
                  <c:v>4.050000000000001</c:v>
                </c:pt>
                <c:pt idx="1">
                  <c:v>6.199999999999999</c:v>
                </c:pt>
                <c:pt idx="2">
                  <c:v>10.38</c:v>
                </c:pt>
                <c:pt idx="3">
                  <c:v>7.449999999999999</c:v>
                </c:pt>
                <c:pt idx="4">
                  <c:v>7.880000000000001</c:v>
                </c:pt>
                <c:pt idx="5">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Iberdrola</c:v>
                </c:pt>
                <c:pt idx="1">
                  <c:v>Enel</c:v>
                </c:pt>
                <c:pt idx="2">
                  <c:v>Endesa</c:v>
                </c:pt>
                <c:pt idx="3">
                  <c:v>EDP</c:v>
                </c:pt>
                <c:pt idx="4">
                  <c:v>Naturgy</c:v>
                </c:pt>
                <c:pt idx="5">
                  <c:v>SSE</c:v>
                </c:pt>
                <c:pt idx="6">
                  <c:v>National Grid</c:v>
                </c:pt>
              </c:strCache>
            </c:strRef>
          </c:cat>
          <c:val>
            <c:numRef>
              <c:f>Hoja1!$B$2:$B$8</c:f>
              <c:numCache>
                <c:formatCode>0.0"%"</c:formatCode>
                <c:ptCount val="7"/>
                <c:pt idx="0">
                  <c:v>22.1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39114</c:v>
                </c:pt>
                <c:pt idx="1">
                  <c:v>53949</c:v>
                </c:pt>
                <c:pt idx="2">
                  <c:v>49335</c:v>
                </c:pt>
                <c:pt idx="3">
                  <c:v>42988</c:v>
                </c:pt>
                <c:pt idx="4">
                  <c:v>44076</c:v>
                </c:pt>
                <c:pt idx="5">
                  <c:v>45619</c:v>
                </c:pt>
                <c:pt idx="6">
                  <c:v>47443</c:v>
                </c:pt>
                <c:pt idx="7">
                  <c:v>49341</c:v>
                </c:pt>
                <c:pt idx="8">
                  <c:v>51068</c:v>
                </c:pt>
                <c:pt idx="9">
                  <c:v>52600</c:v>
                </c:pt>
                <c:pt idx="10">
                  <c:v>53915</c:v>
                </c:pt>
                <c:pt idx="11">
                  <c:v>55263</c:v>
                </c:pt>
                <c:pt idx="12">
                  <c:v>56645</c:v>
                </c:pt>
                <c:pt idx="13">
                  <c:v>57777</c:v>
                </c:pt>
                <c:pt idx="14">
                  <c:v>58933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11637</c:v>
                </c:pt>
                <c:pt idx="1">
                  <c:v>12758</c:v>
                </c:pt>
                <c:pt idx="2">
                  <c:v>13799</c:v>
                </c:pt>
                <c:pt idx="3">
                  <c:v>14174</c:v>
                </c:pt>
                <c:pt idx="4">
                  <c:v>15558</c:v>
                </c:pt>
                <c:pt idx="5">
                  <c:v>16651</c:v>
                </c:pt>
                <c:pt idx="6">
                  <c:v>17791</c:v>
                </c:pt>
                <c:pt idx="7">
                  <c:v>18898</c:v>
                </c:pt>
                <c:pt idx="8">
                  <c:v>19661</c:v>
                </c:pt>
                <c:pt idx="9">
                  <c:v>20251</c:v>
                </c:pt>
                <c:pt idx="10">
                  <c:v>20757</c:v>
                </c:pt>
                <c:pt idx="11">
                  <c:v>21276</c:v>
                </c:pt>
                <c:pt idx="12">
                  <c:v>21808</c:v>
                </c:pt>
                <c:pt idx="13">
                  <c:v>22244</c:v>
                </c:pt>
                <c:pt idx="14">
                  <c:v>22689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29.8</c:v>
                </c:pt>
                <c:pt idx="1">
                  <c:v>23.6</c:v>
                </c:pt>
                <c:pt idx="2">
                  <c:v>28</c:v>
                </c:pt>
                <c:pt idx="3">
                  <c:v>33</c:v>
                </c:pt>
                <c:pt idx="4">
                  <c:v>35.3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18.8</c:v>
                </c:pt>
                <c:pt idx="1">
                  <c:v>14.8</c:v>
                </c:pt>
                <c:pt idx="2">
                  <c:v>18.2</c:v>
                </c:pt>
                <c:pt idx="3">
                  <c:v>17.8</c:v>
                </c:pt>
                <c:pt idx="4">
                  <c:v>22.1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9.9</c:v>
                </c:pt>
                <c:pt idx="1">
                  <c:v>8</c:v>
                </c:pt>
                <c:pt idx="2">
                  <c:v>9.7</c:v>
                </c:pt>
                <c:pt idx="3">
                  <c:v>13.1</c:v>
                </c:pt>
                <c:pt idx="4">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1T25</c:v>
                </c:pt>
                <c:pt idx="1">
                  <c:v>1T26</c:v>
                </c:pt>
                <c:pt idx="2">
                  <c:v>1S26</c:v>
                </c:pt>
              </c:strCache>
            </c:strRef>
          </c:cat>
          <c:val>
            <c:numRef>
              <c:f>Hoja1!$B$2:$B$4</c:f>
              <c:numCache>
                <c:formatCode>0.0"%"</c:formatCode>
                <c:ptCount val="3"/>
                <c:pt idx="1">
                  <c:v>0</c:v>
                </c:pt>
                <c:pt idx="2">
                  <c:v>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8997</c:v>
                </c:pt>
                <c:pt idx="1">
                  <c:v>382</c:v>
                </c:pt>
                <c:pt idx="2">
                  <c:v>-285</c:v>
                </c:pt>
                <c:pt idx="3">
                  <c:v>-160</c:v>
                </c:pt>
                <c:pt idx="4">
                  <c:v>248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3885</c:v>
                </c:pt>
                <c:pt idx="1">
                  <c:v>4339</c:v>
                </c:pt>
                <c:pt idx="2">
                  <c:v>4803</c:v>
                </c:pt>
                <c:pt idx="3">
                  <c:v>5612</c:v>
                </c:pt>
                <c:pt idx="4">
                  <c:v>6285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13.1</c:v>
                </c:pt>
                <c:pt idx="1">
                  <c:v>15.7</c:v>
                </c:pt>
                <c:pt idx="2">
                  <c:v>15.1</c:v>
                </c:pt>
                <c:pt idx="3">
                  <c:v>11.8</c:v>
                </c:pt>
                <c:pt idx="4">
                  <c:v>9.4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6.6</c:v>
                </c:pt>
                <c:pt idx="1">
                  <c:v>6.6</c:v>
                </c:pt>
                <c:pt idx="2">
                  <c:v>6.6</c:v>
                </c:pt>
                <c:pt idx="3">
                  <c:v>6.6</c:v>
                </c:pt>
                <c:pt idx="4">
                  <c:v>6.6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19.8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3.36</c:v>
                </c:pt>
                <c:pt idx="1">
                  <c:v>3.43</c:v>
                </c:pt>
                <c:pt idx="2">
                  <c:v>3.47</c:v>
                </c:pt>
                <c:pt idx="3">
                  <c:v>3.65</c:v>
                </c:pt>
                <c:pt idx="4">
                  <c:v>3.23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3">
                  <c:v>5000</c:v>
                </c:pt>
                <c:pt idx="4">
                  <c:v>1897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c:v>
                </c:pt>
                <c:pt idx="1">
                  <c:v>5</c:v>
                </c:pt>
                <c:pt idx="2">
                  <c:v>8.6</c:v>
                </c:pt>
                <c:pt idx="3">
                  <c:v>12</c:v>
                </c:pt>
                <c:pt idx="4">
                  <c:v>39.1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4">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9.4</c:v>
                </c:pt>
                <c:pt idx="1">
                  <c:v>9.1</c:v>
                </c:pt>
                <c:pt idx="2">
                  <c:v>9.2</c:v>
                </c:pt>
                <c:pt idx="3">
                  <c:v>9.9</c:v>
                </c:pt>
                <c:pt idx="4">
                  <c:v>11.2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9.4</c:v>
                </c:pt>
                <c:pt idx="1">
                  <c:v>9.4</c:v>
                </c:pt>
                <c:pt idx="2">
                  <c:v>9.4</c:v>
                </c:pt>
                <c:pt idx="3">
                  <c:v>9.4</c:v>
                </c:pt>
                <c:pt idx="4">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Iberdrola</c:v>
                </c:pt>
                <c:pt idx="1">
                  <c:v>Endesa</c:v>
                </c:pt>
                <c:pt idx="2">
                  <c:v>Naturgy</c:v>
                </c:pt>
                <c:pt idx="3">
                  <c:v>Redeia</c:v>
                </c:pt>
                <c:pt idx="4">
                  <c:v>Enel</c:v>
                </c:pt>
                <c:pt idx="5">
                  <c:v>EDP</c:v>
                </c:pt>
                <c:pt idx="6">
                  <c:v>Engie</c:v>
                </c:pt>
                <c:pt idx="7">
                  <c:v>E.ON</c:v>
                </c:pt>
                <c:pt idx="8">
                  <c:v>SSE</c:v>
                </c:pt>
              </c:strCache>
            </c:strRef>
          </c:cat>
          <c:val>
            <c:numRef>
              <c:f>Hoja1!$B$2:$B$10</c:f>
              <c:numCache>
                <c:formatCode>0.0"x"</c:formatCode>
                <c:ptCount val="9"/>
                <c:pt idx="1">
                  <c:v>9.1</c:v>
                </c:pt>
                <c:pt idx="2">
                  <c:v>7.3</c:v>
                </c:pt>
                <c:pt idx="3">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Endesa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c:v>
                </c:pt>
              </c:numCache>
            </c:numRef>
          </c:xVal>
          <c:yVal>
            <c:numRef>
              <c:f>Hoja1!$C$2</c:f>
              <c:numCache>
                <c:formatCode>0.0"x"</c:formatCode>
                <c:ptCount val="1"/>
                <c:pt idx="0">
                  <c:v>9.1</c:v>
                </c:pt>
              </c:numCache>
            </c:numRef>
          </c:yVal>
          <c:smooth val="0"/>
        </c:ser>
        <c:ser>
          <c:idx val="1"/>
          <c:order val="1"/>
          <c:tx>
            <c:strRef>
              <c:f>Hoja1!$A$3</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0.8</c:v>
                </c:pt>
              </c:numCache>
            </c:numRef>
          </c:xVal>
          <c:yVal>
            <c:numRef>
              <c:f>Hoja1!$C$3</c:f>
              <c:numCache>
                <c:formatCode>0.0"x"</c:formatCode>
                <c:ptCount val="1"/>
                <c:pt idx="0">
                  <c:v>7.3</c:v>
                </c:pt>
              </c:numCache>
            </c:numRef>
          </c:yVal>
          <c:smooth val="0"/>
        </c:ser>
        <c:ser>
          <c:idx val="2"/>
          <c:order val="2"/>
          <c:tx>
            <c:strRef>
              <c:f>Hoja1!$A$4</c:f>
              <c:strCache>
                <c:ptCount val="1"/>
                <c:pt idx="0">
                  <c:v>Redeia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10</c:v>
                </c:pt>
              </c:numCache>
            </c:numRef>
          </c:yVal>
          <c:smooth val="0"/>
        </c:ser>
        <c:axId val="10"/>
        <c:axId val="20"/>
      </c:scatterChart>
      <c:valAx>
        <c:axId val="10"/>
        <c:scaling>
          <c:orientation val="minMax"/>
          <c:max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667</c:v>
                </c:pt>
                <c:pt idx="1">
                  <c:v>1580</c:v>
                </c:pt>
                <c:pt idx="2">
                  <c:v>2488</c:v>
                </c:pt>
                <c:pt idx="3">
                  <c:v>3698</c:v>
                </c:pt>
                <c:pt idx="4">
                  <c:v>4884</c:v>
                </c:pt>
                <c:pt idx="5">
                  <c:v>6109</c:v>
                </c:pt>
                <c:pt idx="6">
                  <c:v>7367</c:v>
                </c:pt>
                <c:pt idx="7">
                  <c:v>8117</c:v>
                </c:pt>
                <c:pt idx="8">
                  <c:v>8857</c:v>
                </c:pt>
                <c:pt idx="9">
                  <c:v>9624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36735</c:v>
                </c:pt>
                <c:pt idx="1">
                  <c:v>119791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21,68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8.95</c:v>
                </c:pt>
                <c:pt idx="1">
                  <c:v>14.12</c:v>
                </c:pt>
                <c:pt idx="2">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(17,88 – 21,93)</c:v>
                </c:pt>
                <c:pt idx="1">
                  <c:v>Precio objetivo de los analistas (17,30 – 23,50)</c:v>
                </c:pt>
                <c:pt idx="2">
                  <c:v>DCF (WACC y g ± 0,5) (10,06 – 20,44)</c:v>
                </c:pt>
                <c:pt idx="3">
                  <c:v>Escenarios (bajista – alcista) (8,95 – 16,40)</c:v>
                </c:pt>
                <c:pt idx="4">
                  <c:v>DCF con la prima implícita del mercado (4,2 %)</c:v>
                </c:pt>
                <c:pt idx="5">
                  <c:v>Precio actual (21,68)</c:v>
                </c:pt>
              </c:strCache>
            </c:strRef>
          </c:cat>
          <c:val>
            <c:numRef>
              <c:f>Hoja1!$B$2:$B$7</c:f>
              <c:numCache>
                <c:formatCode>#,##0.0</c:formatCode>
                <c:ptCount val="6"/>
                <c:pt idx="0">
                  <c:v>17.88</c:v>
                </c:pt>
                <c:pt idx="1">
                  <c:v>17.3</c:v>
                </c:pt>
                <c:pt idx="2">
                  <c:v>10.06</c:v>
                </c:pt>
                <c:pt idx="3">
                  <c:v>8.95</c:v>
                </c:pt>
                <c:pt idx="4">
                  <c:v>14.81</c:v>
                </c:pt>
                <c:pt idx="5">
                  <c:v>21.57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(17,88 – 21,93)</c:v>
                </c:pt>
                <c:pt idx="1">
                  <c:v>Precio objetivo de los analistas (17,30 – 23,50)</c:v>
                </c:pt>
                <c:pt idx="2">
                  <c:v>DCF (WACC y g ± 0,5) (10,06 – 20,44)</c:v>
                </c:pt>
                <c:pt idx="3">
                  <c:v>Escenarios (bajista – alcista) (8,95 – 16,40)</c:v>
                </c:pt>
                <c:pt idx="4">
                  <c:v>DCF con la prima implícita del mercado (4,2 %)</c:v>
                </c:pt>
                <c:pt idx="5">
                  <c:v>Precio actual (21,68)</c:v>
                </c:pt>
              </c:strCache>
            </c:strRef>
          </c:cat>
          <c:val>
            <c:numRef>
              <c:f>Hoja1!$C$2:$C$7</c:f>
              <c:numCache>
                <c:formatCode>#,##0.0</c:formatCode>
                <c:ptCount val="6"/>
                <c:pt idx="0">
                  <c:v>4.050000000000001</c:v>
                </c:pt>
                <c:pt idx="1">
                  <c:v>6.199999999999999</c:v>
                </c:pt>
                <c:pt idx="2">
                  <c:v>10.38</c:v>
                </c:pt>
                <c:pt idx="3">
                  <c:v>7.449999999999999</c:v>
                </c:pt>
                <c:pt idx="4">
                  <c:v>7.880000000000001</c:v>
                </c:pt>
                <c:pt idx="5">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