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Danaher Corporation</w:t>
      </w:r>
    </w:p>
    <w:p>
      <w:pPr>
        <w:spacing w:after="60"/>
        <w:rPr>
          <w:color w:val="52514E"/>
          <w:sz w:val="22"/>
          <w:szCs w:val="22"/>
        </w:rPr>
      </w:pPr>
      <w:r>
        <w:rPr>
          <w:color w:val="52514E"/>
          <w:sz w:val="22"/>
          <w:szCs w:val="22"/>
        </w:rPr>
        <w:t xml:space="preserve">DHR · NYSE · ISIN US2358511028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215,60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245,70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+14,6 % (base +10,0 %)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150,84 USD · mercado 167,52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151.545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Danaher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DHR / US2358511028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de ciencias de la vida y diagnóstico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Washington D. C. · 1969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www.danaher.com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215,60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160,93 – 242,80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151.545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173.755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245,70 USD</w:t>
      </w:r>
      <w:r>
        <w:t xml:space="preserve"> frente a 215,60 · Rentabilidad a 12 meses </w:t>
      </w:r>
      <w:r>
        <w:rPr>
          <w:b/>
          <w:bCs/>
        </w:rPr>
        <w:t xml:space="preserve">+14,6 % (base +10,0 %)</w:t>
      </w:r>
      <w:r>
        <w:t xml:space="preserve"> · Valor intrínseco 150,84 USD · con la prima implícita del mercado: 167,52 (-22,3 %) · Alcista / bajista -36,0 % / -58,7 %</w:t>
      </w:r>
    </w:p>
    <w:p>
      <w:pPr>
        <w:spacing w:after="100"/>
      </w:pPr>
      <w:r>
        <w:rPr>
          <w:b/>
        </w:rPr>
        <w:t xml:space="preserve">La recomendación y por qué.</w:t>
      </w:r>
      <w:r>
        <w:t xml:space="preserve"> Mantener, con convicción media. Con nuestro BPA ajustado de 2028e (10,30 USD en el base) y el PER actual de 22,9x, el objetivo a 12 meses es de 245,70 USD frente a 215,60 USD (precio implícito en la capitalización del 7 de octubre): +14,6 % ponderado y +10,0 % en el caso base, cerca pero por debajo del 15 % y el 12 % que pedimos. El objetivo medio de los analistas (230,89 USD, de julio) queda un 2,2 % por debajo de nuestro base. La asimetría a 12 meses es buena (3,72x), pero el valor intrínseco (150,84 USD, −30,0 %) no deja margen de seguridad y el ROIC (5,5 %) está 3,7 puntos por debajo del WACC (9,20 %). La convicción es media: subiría si el 3T26 confirma la recuperación de los pedidos de bioprocesado y el precio baja hacia 190 USD; bajaría si los retrasos de clientes se repiten.</w:t>
      </w:r>
    </w:p>
    <w:p>
      <w:pPr>
        <w:spacing w:after="100"/>
      </w:pPr>
      <w:r>
        <w:rPr>
          <w:b/>
        </w:rPr>
        <w:t xml:space="preserve">El negocio.</w:t>
      </w:r>
      <w:r>
        <w:t xml:space="preserve"> Danaher es el n.º 2 mundial en herramientas de ciencias de la vida y uno de los líderes del bioprocesado (Cytiva, Pall), con diagnóstico (Cepheid, Beckman) y, desde el 2T26, Masimo [4, 6]. Más del 80 % de las ventas son consumibles validados en procesos regulados: el foso es amplio. El capital comprado pesa: 47.414 M de fondo de comercio [5].</w:t>
      </w:r>
    </w:p>
    <w:p>
      <w:pPr>
        <w:spacing w:after="100"/>
      </w:pPr>
      <w:r>
        <w:rPr>
          <w:b/>
        </w:rPr>
        <w:t xml:space="preserve">Ciclo.</w:t>
      </w:r>
      <w:r>
        <w:t xml:space="preserve"> El 2T26 creció un 5,5 % (orgánico del 3 %), con Ciencias de la vida en su mejor trimestre en años pero ≈100 M de resinas de bioprocesado desplazados a 2027; la guía de BPA subió a 8,45-8,60 USD [4]. La acción cayó con el dato y cotiza a ≈25x el BPA de 2026e, por debajo de los 29-31x de 2023-2025.</w:t>
      </w:r>
    </w:p>
    <w:p>
      <w:pPr>
        <w:spacing w:after="100"/>
      </w:pPr>
      <w:r>
        <w:rPr>
          <w:b/>
        </w:rPr>
        <w:t xml:space="preserve">Valoración.</w:t>
      </w:r>
      <w:r>
        <w:t xml:space="preserve"> El DCF da 119,97 USD con un WACC del 9,20 %; el DCF inverso dice que el precio descuenta un crecimiento del 12,4 % anual frente al 4,6 % de nuestro base. Como en Thermo Fisher, el mercado paga un múltiplo de calidad que el flujo libre (3,5 % de rentabilidad) no justifica con el bono al 5,22 %. Compraríamos por debajo de 150,84 USD.</w:t>
      </w:r>
    </w:p>
    <w:p>
      <w:pPr>
        <w:spacing w:after="100"/>
      </w:pPr>
      <w:r>
        <w:rPr>
          <w:b/>
        </w:rPr>
        <w:t xml:space="preserve">Qué vigilar.</w:t>
      </w:r>
      <w:r>
        <w:t xml:space="preserve"> El 3T26 del 21 de octubre: pedidos de bioprocesado y la aportación de Masimo. La sostenibilidad del crecimiento proyectado es «Sí». Confianza baja en los datos: análisis corto desde la nube y precio no de cierre.</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245,70 USD</w:t>
      </w:r>
      <w:r>
        <w:t xml:space="preserve"> (rentabilidad +14,6 % (base +10,0 %)) · Valor intrínseco: 150,84 USD (-30,0 % sobre 215,60) · con la prima implícita del mercado: 167,52 (-22,3 %)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 × 9,55 = 186,23 · 22,9x × 10,30 = 235,87 · 29,8x × 10,90 = 324,82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 /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230,89 (nuestro base +2,2 %)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150,84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 / -58,7 %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frente a 9,2 %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150,84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150,84 y 274,46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274,46 (ponderada a 12 meses ≤ -10 %)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15,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38,3x / 25,3x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 · 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Danaher nace en 1984 como vehículo de compras de los hermanos Rales y se hace famosa por su sistema de gestión (Danaher Business System). Desde 2016 se ha concentrado en ciencias de la vida y diagnóstico: escindió Fortive (2016), Envista (2019) y Veralto (2023), y compró Pall (2015), Cepheid (2016), Cytiva (2020), Aldevron (2021), Abcam (2023) y Masimo (2026). Rainer Blair es consejero delegado desde 2020.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Fortive y compra de Cepheid.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Cytiva (21.100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Veralto; compra de Abcam.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Masimo (≈9.900 M USD).</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Danaher es un conglomerado de ciencias de la vida y diagnóstico con 24.568 M USD de ingresos en 2025 [1, 2]. Tres segmentos: Biotecnología (bioprocesado de Cytiva y Pall: medios, resinas de cromatografía, filtración y bolsas de un solo uso para fabricar biológicos), Ciencias de la vida (Beckman Coulter Life Sciences, Leica Microsystems, SCIEX, Abcam, IDT) y Diagnóstico (Beckman Coulter Diagnostics, Cepheid, Radiometer, Leica Biosystems y, desde 2026, Masimo) [4, 6]. Más del 80 % de las ventas son consumibles recurrentes.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Biotecnología (bioprocesado)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Diagnóstico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Biotecnología (bioprocesado)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Diagnóstico</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son las herramientas, consumibles y servicios para la investigación, el desarrollo y la fabricación de medicamentos, el diagnóstico y el laboratorio industrial, mundial. No se ha podido contrastar el tamaño con dos fuentes (hueco registrado): Thermo Fisher, con 44.556 M USD, es el mayor proveedor, y Danaher, Agilent, Waters, Mettler-Toledo, Merck KGaA y Sartorius son sus rivales directos según el segmento [1,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y fabricación de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Bioproducción creció 548 M en 2025 por la demanda de farmacéuticas y biotecnológicas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de Thermo Fisher pasó del 1 % en el 1T26 al 5 % en el 2T26 y la dirección habla de más gasto de las biotecnológicas [3,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pública y académica (NIH)</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recortes federales mantienen débil Instrumentos analíticos: +1,2 % en 2025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 las ventas de covid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ingresos cayeron de 44.915 M en 2022 a 42.857 M en 2023 y no recuperaron hasta 2025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y especializados por segmento; Barclays rebajó el sector por valoraciones altas, no por guerra de precios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negocian, pero el coste del consumible es pequeño frente al del medicamento.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variados; Thermo Fisher integra fabricación propia.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Validación regulatoria, catálogo y red comercial mundial.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métodos nuevos (proteómica, datos digitales de ensayos) los compra la propia empresa: Olink en 2024, Clario en 2026 .</w:t>
            </w:r>
          </w:p>
        </w:tc>
      </w:tr>
    </w:tbl>
    <w:p>
      <w:pPr>
        <w:spacing w:after="160" w:before="0"/>
      </w:pPr>
    </w:p>
    <w:p>
      <w:pPr>
        <w:pStyle w:val="Heading2"/>
      </w:pPr>
      <w:r>
        <w:t xml:space="preserve">Ciclo</w:t>
      </w:r>
    </w:p>
    <w:p>
      <w:pPr>
        <w:spacing w:after="100"/>
      </w:pPr>
      <w:r>
        <w:t xml:space="preserve">Tras dos años planos (orgánico del 2 % en 2025), el 2T26 marcó un 5 % orgánico y la empresa subió dos veces la guía de 2026 [2, 4]. En septiembre, Casper habló de mejora de la demanda en varios mercados finales [14]. La academia y los Gobiernos siguen débiles [12]. En 2020 el sector creció por la covid y en 2023-24 sufrió la resaca de ese pico y la caída de la financiación biotecnológica.</w:t>
      </w:r>
    </w:p>
    <w:p>
      <w:pPr>
        <w:pStyle w:val="Heading2"/>
      </w:pPr>
      <w:r>
        <w:t xml:space="preserve">Regulación</w:t>
      </w:r>
    </w:p>
    <w:p>
      <w:pPr>
        <w:spacing w:after="100"/>
      </w:pPr>
      <w:r>
        <w:t xml:space="preserve">Afectan a las cifras los presupuestos de los NIH en EE. UU. (recortes de 2025-26 que pesan en instrumentos y academia) y los aranceles entre EE. UU. y China; no se ha podido leer el detalle en el 10-K [12].</w:t>
      </w:r>
    </w:p>
    <w:p>
      <w:pPr>
        <w:pStyle w:val="Heading2"/>
      </w:pPr>
      <w:r>
        <w:t xml:space="preserve">Tendencias y disrupción</w:t>
      </w:r>
    </w:p>
    <w:p>
      <w:pPr>
        <w:spacing w:after="100"/>
      </w:pPr>
      <w:r>
        <w:t xml:space="preserve">La demanda se desplaza hacia la bioproducción de biológicos, la proteómica y los datos digitales de ensayos clínicos; Thermo Fisher compra para estar en ellas (Olink, Clario, filtración de Solventum) y vende lo que crece menos (microbiología a Astorg)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2 mundial en herramientas de ciencias de la vida tras Thermo Fisher (44.556 M USD), y líder con Thermo Fisher, Merck KGaA y Sartorius en bioprocesado.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relevante.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consumibles de bioprocesado se fijan en el expediente regulatorio del medicamento: cambiar exige revalidar.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Cytiva, Pall, Cepheid, Beckman, Leica.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Business System.</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instalada de GeneXpert y analizadores que tira de reactivos.</w:t>
            </w:r>
          </w:p>
        </w:tc>
      </w:tr>
    </w:tbl>
    <w:p>
      <w:pPr>
        <w:spacing w:after="160" w:before="0"/>
      </w:pP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r>
    </w:tbl>
    <w:p>
      <w:pPr>
        <w:spacing w:after="160" w:before="0"/>
      </w:pPr>
    </w:p>
    <w:p>
      <w:pPr>
        <w:spacing w:after="100"/>
      </w:pPr>
      <w:r>
        <w:t xml:space="preserve">Crecimiento anual compuesto 2021-2025: ingresos </w:t>
      </w:r>
      <w:r>
        <w:rPr>
          <w:b/>
          <w:bCs/>
        </w:rPr>
        <w:t xml:space="preserve">-0,2 %</w:t>
      </w:r>
      <w:r>
        <w:t xml:space="preserve">, EBITDA </w:t>
      </w:r>
      <w:r>
        <w:rPr>
          <w:b/>
          <w:bCs/>
        </w:rPr>
        <w:t xml:space="preserve">n.d.</w:t>
      </w:r>
      <w:r>
        <w:t xml:space="preserve">, BPA </w:t>
      </w:r>
      <w:r>
        <w:rPr>
          <w:b/>
          <w:bCs/>
        </w:rPr>
        <w:t xml:space="preserve">-8,7 %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Ajustes y partidas no recurrentes</w:t>
      </w:r>
    </w:p>
    <w:p>
      <w:pPr>
        <w:spacing w:after="100"/>
      </w:pPr>
      <w:r>
        <w:t xml:space="preserve">La empresa publica BPA ajustado sin amortización de intangibles comprados ni otras partidas: 7,80 USD en 2025 frente a 5,05 USD GAAP; 7,48 frente a 5,29 en 2024; 7,58 en 2023 y 9,71 en 2022 (operaciones continuadas) [2, 3, 7]. La diferencia (≈2,75 USD, ≈1.950 M) es sobre todo amortización de intangibles de compras.</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2"/>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Escisión de Veralto (agua y calidad de producto, ≈5.000 M de ingresos) en septiembre de 2023: las cifras de 2021-2022 son de operaciones continuadas reexpresadas [1].; 2026: Compra de Masimo (≈9.900 M USD con deuda, 180 USD por acción) cerrada antes de lo previsto en el 2T26 [4, 6].). Los ratios de balance de ese año (días, circulante, deuda neta / EBITDA, ROIC) y los indicadores de calidad contable no son comparables con los anteriores.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30.856</w:t>
      </w:r>
      <w:r>
        <w:t xml:space="preserve">, conversión </w:t>
      </w:r>
      <w:r>
        <w:rPr>
          <w:b/>
          <w:bCs/>
        </w:rPr>
        <w:t xml:space="preserve">130 %</w:t>
      </w:r>
      <w:r>
        <w:t xml:space="preserve"> del beneficio neto; adquisiciones 0, dividendos 3.790, recompras 3.000.</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4"/>
        <w:gridCol w:w="1126"/>
        <w:gridCol w:w="1126"/>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9,2 %.</w:t>
      </w:r>
    </w:p>
    <w:p>
      <w:pPr>
        <w:spacing w:after="100"/>
      </w:pPr>
      <w:r>
        <w:t xml:space="preserve">Danaher no crea valor sobre el capital total tras sus grandes compras: con 47.414 M de fondo de comercio y 21.358 M de intangibles a junio de 2026, el NOPAT de ≈3.900 M rinde ≈5-6 % sobre ≈80.000 M de capital invertido, por debajo del WACC del 9,2 % [5]. Sin fondo de comercio, el ROIC operativo es muy alto (los consumibles de bioprocesado tienen márgenes de más del 30 %).</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26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4.348 M a junio de 2026 [5]; deuda neta ≈22.200 M, ≈3x el EBITDA estimado tras Masimo.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1"/>
      </w:pPr>
      <w:r>
        <w:t xml:space="preserve">12. Asignación de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Cytiva (biofarma de GE)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Núcleo del bioprocesado; disparada por covid y con años de desestocaje en 2023-24.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Abcam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Anticuerpos y reactivos en Ciencias de la vida.</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Masimo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bonos en euros de 2.980 M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el 2T26, antes de lo previsto; ≈18x EBITDA de 2027e (≈15x con sinergias) [6].</w:t>
            </w:r>
          </w:p>
        </w:tc>
      </w:tr>
    </w:tbl>
    <w:p>
      <w:pPr>
        <w:spacing w:after="160" w:before="0"/>
      </w:pP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Rainer M. Blair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septiembre de 2020; antes dirigió SCIEX y la plataforma de ciencias de la vida. Ha llevado la compra de Abcam y de Masimo y la escisión de Veralto.</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Matthew McGrew</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desde 2019 (de memoria).</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8,35-8,50 USD (enero), 8,45-8,60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7,70-7,80 USD (octubre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7,80 USD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Rainer M. Blair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M. Rales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Mitchell P. Rales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comité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1983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39"/>
        <w:gridCol w:w="1799"/>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 Rales (Steven y Mitchell)</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Fundadores</w:t>
            </w:r>
          </w:p>
        </w:tc>
      </w:tr>
    </w:tbl>
    <w:p>
      <w:pPr>
        <w:spacing w:after="160" w:before="0"/>
      </w:pP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7"/>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Punto medio de la guía de julio (8,45-8,60) [A4]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12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200,00 – 265,00</w:t>
            </w:r>
          </w:p>
        </w:tc>
      </w:tr>
    </w:tbl>
    <w:p>
      <w:pPr>
        <w:spacing w:after="160" w:before="0"/>
      </w:pPr>
    </w:p>
    <w:p>
      <w:pPr>
        <w:pStyle w:val="Heading1"/>
      </w:pPr>
      <w:r>
        <w:t xml:space="preserve">16. Comportamiento en bolsa</w:t>
      </w:r>
    </w:p>
    <w:p>
      <w:pPr>
        <w:pStyle w:val="Confianza"/>
        <w:spacing w:after="100"/>
      </w:pPr>
      <w:r>
        <w:t xml:space="preserve">Confianza: Baja</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pStyle w:val="Heading1"/>
      </w:pPr>
      <w:r>
        <w:t xml:space="preserve">18. Comparables cotizados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16,6x / 20,1x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 / 23,3x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4" name="Gráfico 14"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Masimo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≈18x EBITDA 2027e, ≈15x con sinergias [A6].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Abcam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Anticuerpos.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análisis de Thermo Fisher de hoy.</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Cytiva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Bioprocesado de GE.</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1"/>
      </w:pPr>
      <w:r>
        <w:t xml:space="preserve">20. Descuento de flujos de caja (DCF)</w:t>
      </w:r>
    </w:p>
    <w:p>
      <w:pPr>
        <w:pStyle w:val="Confianza"/>
        <w:spacing w:after="100"/>
      </w:pPr>
      <w:r>
        <w:t xml:space="preserve">Confianza: Media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153,50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-3.408 M (-5 % del NOPAT)</w:t>
            </w:r>
          </w:p>
        </w:tc>
      </w:tr>
    </w:tbl>
    <w:p>
      <w:pPr>
        <w:spacing w:after="160" w:before="0"/>
      </w:pPr>
    </w:p>
    <w:p>
      <w:pPr>
        <w:spacing w:after="100"/>
      </w:pPr>
      <w:r>
        <w:t xml:space="preserve">La proyección apenas necesita inversión neta de la amortización (reinversión acumulada de -3.408 M, con un capex bruto medio del 4,5 % de las ventas). En un negocio de activos ligeros, el crecimiento medio del 5,0 %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1"/>
        <w:gridCol w:w="1028"/>
        <w:gridCol w:w="1028"/>
        <w:gridCol w:w="1285"/>
        <w:gridCol w:w="1156"/>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spacing w:after="100"/>
      </w:pPr>
      <w:r>
        <w:t xml:space="preserve">Sí. El orgánico proyectado (4-6 % desde 2027) es el del mercado de bioprocesado y diagnóstico en recuperación y el de la guía inicial de 2026 (3-6 %), sin ganar cuota; el resto de 2026-27 es Masimo, ya pagado. El capex del 4,5 % de las ventas está por encima de la amortización a partir de 2033 y la reinversión neta es pequeña, así que la prueba de financiación se hace a mano: el flujo libre (5.260 M en 2025) cubre capex, dividendo y la reducción de la deuda de Masimo. No hace falta rebajar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47,4 % (base: 31,0 %)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(WACC: 9,2 %)</w:t>
            </w:r>
          </w:p>
        </w:tc>
      </w:tr>
    </w:tbl>
    <w:p>
      <w:pPr>
        <w:spacing w:after="160" w:before="0"/>
      </w:pPr>
    </w:p>
    <w:p>
      <w:pPr>
        <w:spacing w:after="100"/>
      </w:pPr>
      <w:r>
        <w:t xml:space="preserve">El DCF da un valor muy por debajo del precio con un WACC del 9,2 % y el bono al 5,22 %: como en Thermo Fisher, el mercado paga a Danaher un múltiplo que el flujo libre (≈3,5 % de rentabilidad) no justifica con estos tipos. El DCF inverso exige un crecimiento muy superior al de nuestro base.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bioprocesado no recupera (los retrasos de clientes se repiten), el respiratorio de Cepheid cae y Masimo diluye margen: orgánico del 2 % y un punto y medio menos de margen.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vuelve al 4-5 % en 2027 con la recuperación del bioprocesado (pedidos +mid-teens en el 2T26), Masimo aporta un año completo y el margen sube medio punto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fuerte de biológicos (GLP-1, anticuerpos, terapias génicas) y sinergias de Masimo antes de lo previsto: orgánico del 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USD) · precio actual 215,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116,74 USD (-45,9 %).</w:t>
      </w:r>
    </w:p>
    <w:p>
      <w:pPr>
        <w:pStyle w:val="Heading1"/>
      </w:pPr>
      <w:r>
        <w:t xml:space="preserve">22. Suma de partes</w:t>
      </w:r>
    </w:p>
    <w:p>
      <w:pPr>
        <w:pStyle w:val="Confianza"/>
        <w:spacing w:after="100"/>
      </w:pPr>
      <w:r>
        <w:t xml:space="preserve">Confianza: Baja</w:t>
      </w:r>
    </w:p>
    <w:p>
      <w:pPr>
        <w:spacing w:after="100"/>
      </w:pPr>
      <w:r>
        <w:t xml:space="preserve">No aplica: sin resultados por segmento en los extractos.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USD) · precio actual 215,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150,84 USD (-30,0 % sobre 215,60).</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r>
    </w:tbl>
    <w:p>
      <w:pPr>
        <w:spacing w:after="160" w:before="0"/>
      </w:pPr>
    </w:p>
    <w:p>
      <w:pPr>
        <w:spacing w:after="100"/>
      </w:pPr>
      <w:r>
        <w:rPr>
          <w:b/>
          <w:bCs/>
        </w:rPr>
        <w:t xml:space="preserve">Objetivo a 12 meses (ponderado):</w:t>
      </w:r>
      <w:r>
        <w:t xml:space="preserve"> 245,70 USD · rentabilidad +14,6 % (base +10,0 %) · señal Mantener.</w:t>
      </w:r>
    </w:p>
    <w:p>
      <w:r>
        <w:br w:type="page"/>
      </w:r>
    </w:p>
    <w:p>
      <w:pPr>
        <w:pStyle w:val="Parte"/>
      </w:pPr>
      <w:r>
        <w:t xml:space="preserve">Parte V — Tesis, riesgos y seguimiento</w:t>
      </w:r>
    </w:p>
    <w:p>
      <w:pPr>
        <w:pStyle w:val="Heading1"/>
      </w:pPr>
      <w:r>
        <w:t xml:space="preserve">24. Catalizadores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orgánico del 2-3 % en el trimestre; la clave son los pedidos de bioprocesado y si los ≈100 M de resinas siguen en 2027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guía con Masimo un año completo; nuestro base pide ≈9,40 USD de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Retrasos de bioprocesado que se repiten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del objetivo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+mid-teens en el 2T26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por debajo de las ventas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Masimo diluye rentabilidad y distrae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el BPA de 2027e queda en 9,0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Business System; historial de integración (Cytiva, Pall).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Diagnóstico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respiratorio de Cepheid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Resta 1-1,5 puntos de orgánico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GeneXpert.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gripe débil.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de Masimo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Menos recompras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FCF de ≈5.300 M al año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neta/EBITDA &gt; 3x a finales de 2027.</w:t>
            </w:r>
          </w:p>
        </w:tc>
      </w:tr>
    </w:tbl>
    <w:p>
      <w:pPr>
        <w:spacing w:after="160" w:before="0"/>
      </w:pP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la seguridad y calidad de productos validados ante el regulador (bioproducción, diagnóstico), la exposición a China y a los aranceles, y la remuneración del primer ejecutivo. No hemos podido leer el informe de sostenibilidad (hueco).</w:t>
      </w:r>
    </w:p>
    <w:p>
      <w:pPr>
        <w:pStyle w:val="Heading2"/>
      </w:pPr>
      <w:r>
        <w:t xml:space="preserve">Controversias</w:t>
      </w:r>
    </w:p>
    <w:p>
      <w:pPr>
        <w:spacing w:after="100"/>
      </w:pPr>
      <w:r>
        <w:t xml:space="preserve">La remuneración de 79,9 M USD de 2025 obligó a la empresa a hacer campaña por el voto en la junta de 2026 [2]. No hemos encontrado sanciones relevantes en los últimos tres años con la búsqueda disponible.</w:t>
      </w:r>
    </w:p>
    <w:p>
      <w:pPr>
        <w:pStyle w:val="Heading1"/>
      </w:pPr>
      <w:r>
        <w:t xml:space="preserve">27. Preguntas abiertas para la dirección y la due diligence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Bioprocesado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retraso de resinas es calendario y cuánto pérdida de cuota?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orgánico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Masimo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la aportación de Masimo al BPA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Decide el BPA de 2027e del base.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con modelos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caer un 11-15 % con el 2T26 por el retraso de ≈100 M de resinas de bioprocesado, se pregunta si puede volver a 248 USD; ve el retraso como de calendario, con pedidos al alza [10, 23].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Weiss Ratings (alertas a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«¿Debo deshacerme de este valor?» tras una caída del 12,2 %: el bioprocesado decepcionó y la revisión de la guía amplificó la ansiedad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espera que la recuperación del bioprocesado y Masimo sostengan un múltiplo de prima, con valor razonable de ≈248 USD [25].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Walnut Invest (resumen de opiniones)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esperan el rebote por los pedidos de biotecnología; otros dudan de la dependencia de compras y prefieren Thermo Fisher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 del bioprocesado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en el 2T26 con pedidos +mid-teens y ≈100 M desplazados a 2027 [A4].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Masimo: diversificación o distracción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≈9.900 M a ≈18x EBITDA; deuda de 26.558 M a junio [A5, A6].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≈25x el BPA de 2026e de guía (8,53 USD), por debajo de los 29-31x de 2023-2025.</w:t>
            </w:r>
          </w:p>
        </w:tc>
      </w:tr>
    </w:tbl>
    <w:p>
      <w:pPr>
        <w:spacing w:after="160" w:before="0"/>
      </w:pP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y 1 explicados. Fuentes: 26 (6 primarias); citas distintas en el texto: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fuentes (6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Explicación: Sin red para abrir sec.gov; las primarias se citan por extracto de búsqueda.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15, 16,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Agregador</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Secundaria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Foro/blog</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resultado por segmento y geografía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vía búsqueda: sin tabla; 2) comunicado 2T26: solo crecimientos; 3) prensa: solo pesos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amortizaciones, impuestos y coste de ventas publicados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vía búsqueda: no aparece la cuenta; 2) Stock Analysis: solo ingresos, BPA, FCF; 3) agregadores: margen operativo 19,1 %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del 1T26 y 3T25-4T25 completas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vía búsqueda; 2) TIKR; 3) Barchart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de herramientas de ciencias de la vida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la empresa (cifra del mercado servido): sin red; 2) informes sectoriales vía búsqueda: no se buscaron por el cupo compartido; 3) estimaciones de analistas en prensa: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describe el ciclo en el texto de propio)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4-8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Danaher, Agilent, Waters: sin red; 2) búsqueda: solo capitalización y PER; 3) informe de Medpace del repo: solo la CRO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sin red; 2) MSCI/Sustainalytics: no se buscaron (cupo);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 remuneración, voto, participaciones y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sin red; 2) búsqueda: sin extractos; 3) no se intentó más por el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precio de octubre; 2) previa del 3T26; 3) estadísticas de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 (capitalización del 7-oct)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(no probado, por instrucciones); 2) búsqueda de estadísticas de Stock Analysis: sin extracto; 3) búsqueda de Lightyear/TipRanks: solo beta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consenso 2027e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MarketBeat; 2) Barchart; 3) VCP Scanner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Seeking Alpha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combinada Reddit/Seeking Alpha: sin hilos; 2) WebFetch: sin red; 3) no se repitió por el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Corporation (DHR) Income statement y métricas adicionales (ingresos, BPA, FCF 2021-2025 y LTM); FN2 y TipRanks (beneficio neto)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https://stockanalysis.com/stocks/dhr/financials/income-statement/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Reports Fourth Quarter and Full Year 2025 Results (BPA ajustado 7,80 USD, FCF 5.300 M, guía 2026 8,35-8,50 USD y orgánico 3-6 %)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https://investors.danaher.com/2026-01-28-Danaher-Reports-Fourth-Quarter-and-Full-Year-2025-Results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Fourth Quarter and Full Year 2024 Results (BPA GAAP 5,29 y ajustado 7,48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https://www.sec.gov/Archives/edgar/data/313616/000031361625000004/dhr-20250129xex991.htm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Second Quarter 2026 Results (ingresos 6.300 M, +5,5 %; orgánico 3 %; BPA ajustado 1,94; guía 8,45-8,60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vía BioSpace / 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https://www.biospace.com/press-releases/danaher-reports-second-quarter-2026-results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Form 10-Q del 2T26 (balance a 26-jun-2026)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https://www.sec.gov/Archives/edgar/data/0000313616/000031361626000161/dhr-20260626.htm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to acquire Masimo for $9.9 billion; Danaher completes acquisition of Masimo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InsideArbitrage / Respiratory Therapy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https://www.insidearbitrage.com/2026/02/danaher-to-acquire-masimo-for-9-9-billion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8-K de enero de 2024 (BPA ajustado de operaciones continuadas 7,58 en 2023 y 9,71 en 2022)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https://www.sec.gov/Archives/edgar/data/313616/000031361624000006/dhr-20240130xex991.htm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Form 10-K 2025 (flujo operativo 6.416 M y capex 1.156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https://www.sec.gov/Archives/edgar/data/313616/000031361626000062/dhr-20251231.htm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Q3 earnings snapshot (BPA ajustado 1,89 USD, ingresos 6.050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 vía 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https://www.barchart.com/story/news/35578897/danaher-q3-earnings-snapshot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stock is down 19% in the past 3 months (1T26 y 2T26)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https://www.tikr.com/blog/danaher-stock-is-down-19-in-the-past-3-months-could-dhr-reach-248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Thermo Fisher Scientific, a $44.6 billion science supplier (peso de los segmentos en 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Companies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https://americancompanies.com/news/inside-thermo-fisher-scientific-a-446-billion-science-supplier/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Stock Down 31% From Its 52-Week High Despite Raising Full-Year EPS Guidance (presión de los recortes de financiación pública en instrumentos).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https://www.tikr.com/blog/thermo-fisher-stock-down-31-from-its-52-week-high-despite-raising-full-year-eps-guidance-heres-what-happened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Scotiabank upgrades Thermo Fisher with worst case priced in; Barclays rebaja herramientas de ciencias de la vida a neutral.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TheFly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https://www.tipranks.com/news/the-fly/scotiabank-upgrades-thermo-fisher-with-worst-case-priced-in-thefly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Has Rallied 45% Off Its Lows to Near a 52-Week High (Casper en la conferencia de Morgan Stanley: mejora de la demanda en varios mercados finales).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https://www.tikr.com/blog/thermo-fisher-has-rallied-45-off-its-lows-to-near-a-52-week-high-is-it-too-late-to-buy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análisis del 12-oct-2026 en este repositorio: margen operativo 2025 de la CRO de Thermo Fisher (14,0 %) frente a IQVIA (13,4 %), ICON (5,4 %) y Medpace (21,1 %).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(informes/medpace-2026-10-12)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Statistics &amp; Valuation: capitalización 151.570 M USD y PER adelantado 24,37x (7-oct-2026), citado en el análisis de Thermo Fisher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Current share price for DHR (cierre 12-sep-2026 200,14 USD; máximo y mínimo de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https://www.investsmart.com.au/security/nyse/dhr/danaher-corp/share-price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Thermo Fisher del repositorio, nota D (comparables)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DHR returns by year (cierres anuales) y P/E history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 / VCP Scanner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https://chartrow.com/quote/dhr/returns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DHR price target: consenso 230,89 USD (43 analistas, 200-265)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VCP Scanner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https://www.vcpscanner.com/stock/dhr/price-target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Morgan Stanley 220, BofA 230, TD Cowen 236, Deutsche Bank 240, Stifel 220 (22-jul-2026)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https://za.investing.com/equities/danaher-corp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statistics (beta 0,8-0,92)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Lightyear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https://lightyear.com/gb/stock/DHR:NYSE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Danaher’s Q2 Earnings Call Shows Life Sciences at Its Best Quarter in Years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https://www.tikr.com/blog/danahers-q2-earnings-call-shows-life-sciences-at-its-best-quarter-in-years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(DHR) Down 12.2% — Should I Get Rid of This Name?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https://weissratings.com/en/instant-news-alerts/danaher-corporation-dhr-down-12-2-should-i-get-rid-of-this-name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valuation (narrativa «Bioprocess Recovery And Masimo Deal»)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https://simplywall.st/stocks/us/pharmaceuticals-biotech/nyse-dhr/danaher/valuation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DHR a Buy or a Sell? The Bull and Bear Case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https://walnutinvest.com/stocks/dhr/is-it-a-buy-or-sell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63,7 %</w:t>
      </w:r>
      <w:r>
        <w:t xml:space="preserve"> · Secciones con menos del 60 % de campos cubiertos: </w:t>
      </w:r>
      <w:r>
        <w:rPr>
          <w:b/>
          <w:bCs/>
        </w:rPr>
        <w:t xml:space="preserve">resumen, negocio, calidad, balance, gobierno, dcf, valoracion, riesgos, bolsa, capital, catalizadores, preguntas, flujos, multiplos_historicos, comparables, escenarios</w:t>
      </w:r>
      <w:r>
        <w:t xml:space="preserve"> · Generado el 14 oct 2026.</w:t>
      </w:r>
    </w:p>
    <w:p>
      <w:pPr>
        <w:pStyle w:val="Nota"/>
        <w:spacing w:after="100"/>
      </w:pPr>
      <w:r>
        <w:t xml:space="preserve">Análisis hecho desde la nube con la red limitada a la búsqueda web y con un presupuesto corto (≈20 minutos): las cifras salen de extractos de búsqueda de los comunicados, del 10-Q del 2T26 y de Stock Analysis. El precio (215,60 USD) está implícito en la capitalización del 7-oct-2026, no es un cierre del 13-oct. El EBIT y las amortizaciones de 2023-2025 son estimaciones. El PER histórico solo tiene tres años limpios (2023-2025). Sector y comparables se reutilizan del análisis de Thermo Fisher de hoy.</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Danaher Corporation (DHR)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215,60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(160,93 – 242,80)</c:v>
                </c:pt>
                <c:pt idx="1">
                  <c:v>Precio objetivo de los analistas (200,00 – 265,00)</c:v>
                </c:pt>
                <c:pt idx="2">
                  <c:v>Comparables: PER NTM (177,42 – 206,85)</c:v>
                </c:pt>
                <c:pt idx="3">
                  <c:v>DCF (WACC y g ± 0,5) (102,85 – 143,49)</c:v>
                </c:pt>
                <c:pt idx="4">
                  <c:v>Escenarios (bajista – alcista) (88,95 – 138,08)</c:v>
                </c:pt>
                <c:pt idx="5">
                  <c:v>DCF con la prima implícita del mercado (4,2 %)</c:v>
                </c:pt>
                <c:pt idx="6">
                  <c:v>Precio actual (215,60)</c:v>
                </c:pt>
              </c:strCache>
            </c:strRef>
          </c:cat>
          <c:val>
            <c:numRef>
              <c:f>Hoja1!$B$2:$B$8</c:f>
              <c:numCache>
                <c:formatCode>#,##0</c:formatCode>
                <c:ptCount val="7"/>
                <c:pt idx="0">
                  <c:v>160.93</c:v>
                </c:pt>
                <c:pt idx="1">
                  <c:v>200</c:v>
                </c:pt>
                <c:pt idx="2">
                  <c:v>177.42</c:v>
                </c:pt>
                <c:pt idx="3">
                  <c:v>102.85</c:v>
                </c:pt>
                <c:pt idx="4">
                  <c:v>88.95</c:v>
                </c:pt>
                <c:pt idx="5">
                  <c:v>132.45</c:v>
                </c:pt>
                <c:pt idx="6">
                  <c:v>214.52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(160,93 – 242,80)</c:v>
                </c:pt>
                <c:pt idx="1">
                  <c:v>Precio objetivo de los analistas (200,00 – 265,00)</c:v>
                </c:pt>
                <c:pt idx="2">
                  <c:v>Comparables: PER NTM (177,42 – 206,85)</c:v>
                </c:pt>
                <c:pt idx="3">
                  <c:v>DCF (WACC y g ± 0,5) (102,85 – 143,49)</c:v>
                </c:pt>
                <c:pt idx="4">
                  <c:v>Escenarios (bajista – alcista) (88,95 – 138,08)</c:v>
                </c:pt>
                <c:pt idx="5">
                  <c:v>DCF con la prima implícita del mercado (4,2 %)</c:v>
                </c:pt>
                <c:pt idx="6">
                  <c:v>Precio actual (215,60)</c:v>
                </c:pt>
              </c:strCache>
            </c:strRef>
          </c:cat>
          <c:val>
            <c:numRef>
              <c:f>Hoja1!$C$2:$C$8</c:f>
              <c:numCache>
                <c:formatCode>#,##0</c:formatCode>
                <c:ptCount val="7"/>
                <c:pt idx="0">
                  <c:v>81.87</c:v>
                </c:pt>
                <c:pt idx="1">
                  <c:v>65</c:v>
                </c:pt>
                <c:pt idx="2">
                  <c:v>29.430000000000007</c:v>
                </c:pt>
                <c:pt idx="3">
                  <c:v>40.640000000000015</c:v>
                </c:pt>
                <c:pt idx="4">
                  <c:v>49.13000000000001</c:v>
                </c:pt>
                <c:pt idx="5">
                  <c:v>34.69</c:v>
                </c:pt>
                <c:pt idx="6">
                  <c:v>2.1599999999999966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Danaher</c:v>
                </c:pt>
              </c:strCache>
            </c:strRef>
          </c:cat>
          <c:val>
            <c:numRef>
              <c:f>Hoja1!$B$2</c:f>
              <c:numCache>
                <c:formatCode>0.0"%"</c:formatCode>
                <c:ptCount val="1"/>
                <c:pt idx="0">
                  <c:v>19.1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24802</c:v>
                </c:pt>
                <c:pt idx="1">
                  <c:v>26643</c:v>
                </c:pt>
                <c:pt idx="2">
                  <c:v>23890</c:v>
                </c:pt>
                <c:pt idx="3">
                  <c:v>23875</c:v>
                </c:pt>
                <c:pt idx="4">
                  <c:v>24568</c:v>
                </c:pt>
                <c:pt idx="5">
                  <c:v>26533</c:v>
                </c:pt>
                <c:pt idx="6">
                  <c:v>28391</c:v>
                </c:pt>
                <c:pt idx="7">
                  <c:v>30094</c:v>
                </c:pt>
                <c:pt idx="8">
                  <c:v>31749</c:v>
                </c:pt>
                <c:pt idx="9">
                  <c:v>33337</c:v>
                </c:pt>
                <c:pt idx="10">
                  <c:v>34837</c:v>
                </c:pt>
                <c:pt idx="11">
                  <c:v>36231</c:v>
                </c:pt>
                <c:pt idx="12">
                  <c:v>37499</c:v>
                </c:pt>
                <c:pt idx="13">
                  <c:v>38624</c:v>
                </c:pt>
                <c:pt idx="14">
                  <c:v>39782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2">
                  <c:v>8050</c:v>
                </c:pt>
                <c:pt idx="3">
                  <c:v>7350</c:v>
                </c:pt>
                <c:pt idx="4">
                  <c:v>7090</c:v>
                </c:pt>
                <c:pt idx="5">
                  <c:v>7695</c:v>
                </c:pt>
                <c:pt idx="6">
                  <c:v>8375</c:v>
                </c:pt>
                <c:pt idx="7">
                  <c:v>9028</c:v>
                </c:pt>
                <c:pt idx="8">
                  <c:v>9684</c:v>
                </c:pt>
                <c:pt idx="9">
                  <c:v>10334</c:v>
                </c:pt>
                <c:pt idx="10">
                  <c:v>10799</c:v>
                </c:pt>
                <c:pt idx="11">
                  <c:v>11231</c:v>
                </c:pt>
                <c:pt idx="12">
                  <c:v>11625</c:v>
                </c:pt>
                <c:pt idx="13">
                  <c:v>11973</c:v>
                </c:pt>
                <c:pt idx="14">
                  <c:v>12332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33.7</c:v>
                </c:pt>
                <c:pt idx="3">
                  <c:v>30.8</c:v>
                </c:pt>
                <c:pt idx="4">
                  <c:v>28.9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23.9</c:v>
                </c:pt>
                <c:pt idx="3">
                  <c:v>20.7</c:v>
                </c:pt>
                <c:pt idx="4">
                  <c:v>19.1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21.4</c:v>
                </c:pt>
                <c:pt idx="1">
                  <c:v>23.4</c:v>
                </c:pt>
                <c:pt idx="2">
                  <c:v>19.9</c:v>
                </c:pt>
                <c:pt idx="3">
                  <c:v>16.3</c:v>
                </c:pt>
                <c:pt idx="4">
                  <c:v>14.7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3T25</c:v>
                </c:pt>
                <c:pt idx="1">
                  <c:v>1T26</c:v>
                </c:pt>
                <c:pt idx="2">
                  <c:v>2T26</c:v>
                </c:pt>
              </c:strCache>
            </c:strRef>
          </c:cat>
          <c:val>
            <c:numRef>
              <c:f>Hoja1!$B$2:$B$4</c:f>
              <c:numCache>
                <c:formatCode>0.0"%"</c:formatCode>
                <c:ptCount val="3"/>
                <c:pt idx="0">
                  <c:v>4.4</c:v>
                </c:pt>
                <c:pt idx="2">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3T25</c:v>
                </c:pt>
                <c:pt idx="1">
                  <c:v>1T26</c:v>
                </c:pt>
                <c:pt idx="2">
                  <c:v>2T26</c:v>
                </c:pt>
              </c:strCache>
            </c:strRef>
          </c:cat>
          <c:val>
            <c:numRef>
              <c:f>Hoja1!$C$2:$C$4</c:f>
              <c:numCache>
                <c:formatCode>0.0"%"</c:formatCode>
                <c:ptCount val="3"/>
                <c:pt idx="0">
                  <c:v>3</c:v>
                </c:pt>
                <c:pt idx="2">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7118</c:v>
                </c:pt>
                <c:pt idx="1">
                  <c:v>7401</c:v>
                </c:pt>
                <c:pt idx="2">
                  <c:v>5781</c:v>
                </c:pt>
                <c:pt idx="3">
                  <c:v>5296</c:v>
                </c:pt>
                <c:pt idx="4">
                  <c:v>5260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5300</c:v>
                </c:pt>
                <c:pt idx="1">
                  <c:v>6240</c:v>
                </c:pt>
                <c:pt idx="2">
                  <c:v>4764</c:v>
                </c:pt>
                <c:pt idx="3">
                  <c:v>3899</c:v>
                </c:pt>
                <c:pt idx="4">
                  <c:v>3610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5.5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9.2</c:v>
                </c:pt>
                <c:pt idx="1">
                  <c:v>9.2</c:v>
                </c:pt>
                <c:pt idx="2">
                  <c:v>9.2</c:v>
                </c:pt>
                <c:pt idx="3">
                  <c:v>9.2</c:v>
                </c:pt>
                <c:pt idx="4">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2T26</c:v>
                </c:pt>
              </c:strCache>
            </c:strRef>
          </c:cat>
          <c:val>
            <c:numRef>
              <c:f>Hoja1!$B$2:$B$3</c:f>
              <c:numCache>
                <c:formatCode>0.0"x"</c:formatCode>
                <c:ptCount val="2"/>
                <c:pt idx="0">
                  <c:v>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600</c:v>
                </c:pt>
                <c:pt idx="1">
                  <c:v>720</c:v>
                </c:pt>
                <c:pt idx="2">
                  <c:v>790</c:v>
                </c:pt>
                <c:pt idx="3">
                  <c:v>780</c:v>
                </c:pt>
                <c:pt idx="4">
                  <c:v>900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2000</c:v>
                </c:pt>
                <c:pt idx="4">
                  <c:v>1000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Dominical</c:v>
                </c:pt>
              </c:strCache>
            </c:strRef>
          </c:cat>
          <c:val>
            <c:numRef>
              <c:f>Hoja1!$B$2:$B$3</c:f>
              <c:numCache>
                <c:formatCode>0</c:formatCode>
                <c:ptCount val="2"/>
                <c:pt idx="0">
                  <c:v>1</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Danaher</c:v>
                </c:pt>
                <c:pt idx="1">
                  <c:v>Thermo Fisher</c:v>
                </c:pt>
                <c:pt idx="2">
                  <c:v>Agilent</c:v>
                </c:pt>
                <c:pt idx="3">
                  <c:v>Waters</c:v>
                </c:pt>
                <c:pt idx="4">
                  <c:v>Mettler-Toledo</c:v>
                </c:pt>
                <c:pt idx="5">
                  <c:v>IQVIA</c:v>
                </c:pt>
                <c:pt idx="6">
                  <c:v>Charles River Laboratories</c:v>
                </c:pt>
                <c:pt idx="7">
                  <c:v>Qiagen</c:v>
                </c:pt>
              </c:strCache>
            </c:strRef>
          </c:cat>
          <c:val>
            <c:numRef>
              <c:f>Hoja1!$B$2:$B$9</c:f>
              <c:numCache>
                <c:formatCode>0.0"x"</c:formatCode>
                <c:ptCount val="8"/>
                <c:pt idx="1">
                  <c:v>21.3</c:v>
                </c:pt>
                <c:pt idx="5">
                  <c:v>13.4</c:v>
                </c:pt>
                <c:pt idx="6">
                  <c:v>15.9</c:v>
                </c:pt>
                <c:pt idx="7">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IQVIA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5.8</c:v>
                </c:pt>
              </c:numCache>
            </c:numRef>
          </c:xVal>
          <c:yVal>
            <c:numRef>
              <c:f>Hoja1!$C$2</c:f>
              <c:numCache>
                <c:formatCode>0.0"x"</c:formatCode>
                <c:ptCount val="1"/>
                <c:pt idx="0">
                  <c:v>13.4</c:v>
                </c:pt>
              </c:numCache>
            </c:numRef>
          </c:yVal>
          <c:smooth val="0"/>
        </c:ser>
        <c:ser>
          <c:idx val="1"/>
          <c:order val="1"/>
          <c:tx>
            <c:strRef>
              <c:f>Hoja1!$A$3</c:f>
              <c:strCache>
                <c:ptCount val="1"/>
                <c:pt idx="0">
                  <c:v>Charles River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-0.1</c:v>
                </c:pt>
              </c:numCache>
            </c:numRef>
          </c:xVal>
          <c:yVal>
            <c:numRef>
              <c:f>Hoja1!$C$3</c:f>
              <c:numCache>
                <c:formatCode>0.0"x"</c:formatCode>
                <c:ptCount val="1"/>
                <c:pt idx="0">
                  <c:v>15.9</c:v>
                </c:pt>
              </c:numCache>
            </c:numRef>
          </c:yVal>
          <c:smooth val="0"/>
        </c:ser>
        <c:ser>
          <c:idx val="2"/>
          <c:order val="2"/>
          <c:tx>
            <c:strRef>
              <c:f>Hoja1!$A$4</c:f>
              <c:strCache>
                <c:ptCount val="1"/>
                <c:pt idx="0">
                  <c:v>Qiagen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c:v>
                </c:pt>
              </c:numCache>
            </c:numRef>
          </c:xVal>
          <c:yVal>
            <c:numRef>
              <c:f>Hoja1!$C$4</c:f>
              <c:numCache>
                <c:formatCode>0.0"x"</c:formatCode>
                <c:ptCount val="1"/>
                <c:pt idx="0">
                  <c:v>12.2</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1"/>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Masimo</c:v>
                </c:pt>
                <c:pt idx="1">
                  <c:v>Abcam</c:v>
                </c:pt>
                <c:pt idx="2">
                  <c:v>Clario</c:v>
                </c:pt>
                <c:pt idx="3">
                  <c:v>Cytiva</c:v>
                </c:pt>
              </c:strCache>
            </c:strRef>
          </c:cat>
          <c:val>
            <c:numRef>
              <c:f>Hoja1!$B$2:$B$5</c:f>
              <c:numCache>
                <c:formatCode>0.0"x"</c:formatCode>
                <c:ptCount val="4"/>
                <c:pt idx="0">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1613</c:v>
                </c:pt>
                <c:pt idx="1">
                  <c:v>5797</c:v>
                </c:pt>
                <c:pt idx="2">
                  <c:v>6281</c:v>
                </c:pt>
                <c:pt idx="3">
                  <c:v>6749</c:v>
                </c:pt>
                <c:pt idx="4">
                  <c:v>7216</c:v>
                </c:pt>
                <c:pt idx="5">
                  <c:v>7533</c:v>
                </c:pt>
                <c:pt idx="6">
                  <c:v>7827</c:v>
                </c:pt>
                <c:pt idx="7">
                  <c:v>8059</c:v>
                </c:pt>
                <c:pt idx="8">
                  <c:v>8259</c:v>
                </c:pt>
                <c:pt idx="9">
                  <c:v>8471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43978</c:v>
                </c:pt>
                <c:pt idx="1">
                  <c:v>62557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215,60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88.95</c:v>
                </c:pt>
                <c:pt idx="1">
                  <c:v>119.97</c:v>
                </c:pt>
                <c:pt idx="2">
                  <c:v>138.08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215,60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(160,93 – 242,80)</c:v>
                </c:pt>
                <c:pt idx="1">
                  <c:v>Precio objetivo de los analistas (200,00 – 265,00)</c:v>
                </c:pt>
                <c:pt idx="2">
                  <c:v>Comparables: PER NTM (177,42 – 206,85)</c:v>
                </c:pt>
                <c:pt idx="3">
                  <c:v>DCF (WACC y g ± 0,5) (102,85 – 143,49)</c:v>
                </c:pt>
                <c:pt idx="4">
                  <c:v>Escenarios (bajista – alcista) (88,95 – 138,08)</c:v>
                </c:pt>
                <c:pt idx="5">
                  <c:v>DCF con la prima implícita del mercado (4,2 %)</c:v>
                </c:pt>
                <c:pt idx="6">
                  <c:v>Precio actual (215,60)</c:v>
                </c:pt>
              </c:strCache>
            </c:strRef>
          </c:cat>
          <c:val>
            <c:numRef>
              <c:f>Hoja1!$B$2:$B$8</c:f>
              <c:numCache>
                <c:formatCode>#,##0</c:formatCode>
                <c:ptCount val="7"/>
                <c:pt idx="0">
                  <c:v>160.93</c:v>
                </c:pt>
                <c:pt idx="1">
                  <c:v>200</c:v>
                </c:pt>
                <c:pt idx="2">
                  <c:v>177.42</c:v>
                </c:pt>
                <c:pt idx="3">
                  <c:v>102.85</c:v>
                </c:pt>
                <c:pt idx="4">
                  <c:v>88.95</c:v>
                </c:pt>
                <c:pt idx="5">
                  <c:v>132.45</c:v>
                </c:pt>
                <c:pt idx="6">
                  <c:v>214.52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(160,93 – 242,80)</c:v>
                </c:pt>
                <c:pt idx="1">
                  <c:v>Precio objetivo de los analistas (200,00 – 265,00)</c:v>
                </c:pt>
                <c:pt idx="2">
                  <c:v>Comparables: PER NTM (177,42 – 206,85)</c:v>
                </c:pt>
                <c:pt idx="3">
                  <c:v>DCF (WACC y g ± 0,5) (102,85 – 143,49)</c:v>
                </c:pt>
                <c:pt idx="4">
                  <c:v>Escenarios (bajista – alcista) (88,95 – 138,08)</c:v>
                </c:pt>
                <c:pt idx="5">
                  <c:v>DCF con la prima implícita del mercado (4,2 %)</c:v>
                </c:pt>
                <c:pt idx="6">
                  <c:v>Precio actual (215,60)</c:v>
                </c:pt>
              </c:strCache>
            </c:strRef>
          </c:cat>
          <c:val>
            <c:numRef>
              <c:f>Hoja1!$C$2:$C$8</c:f>
              <c:numCache>
                <c:formatCode>#,##0</c:formatCode>
                <c:ptCount val="7"/>
                <c:pt idx="0">
                  <c:v>81.87</c:v>
                </c:pt>
                <c:pt idx="1">
                  <c:v>65</c:v>
                </c:pt>
                <c:pt idx="2">
                  <c:v>29.430000000000007</c:v>
                </c:pt>
                <c:pt idx="3">
                  <c:v>40.640000000000015</c:v>
                </c:pt>
                <c:pt idx="4">
                  <c:v>49.13000000000001</c:v>
                </c:pt>
                <c:pt idx="5">
                  <c:v>34.69</c:v>
                </c:pt>
                <c:pt idx="6">
                  <c:v>2.1599999999999966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