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APR Co., Ltd.</w:t>
      </w:r>
    </w:p>
    <w:p>
      <w:pPr>
        <w:spacing w:after="60"/>
        <w:rPr>
          <w:color w:val="52514E"/>
          <w:sz w:val="22"/>
          <w:szCs w:val="22"/>
        </w:rPr>
      </w:pPr>
      <w:r>
        <w:rPr>
          <w:color w:val="52514E"/>
          <w:sz w:val="22"/>
          <w:szCs w:val="22"/>
        </w:rPr>
        <w:t xml:space="preserve">278470 · KOSPI (Korea Exchange) · ISIN KR7278470000 · Consumer Staples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KRW</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331.500,00 KRW</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331.761,31 KRW</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+1,6 % (base +11,2 %)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256.462,69 KRW · mercado 291.893,94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12.411.360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APR Co., Ltd.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278470 / KR7278470000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KOSPI (Korea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KOSPI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Consumer Staples / Personal Care Products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Seúl (Lotte World Tower, piso 36, Songpa-gu) · 2014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https://apr-in.com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331.500,00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204.000,00 – 475.000,00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12.411.360 M KRW</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12.271.030 M KRW</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109.595 M KRW/día (3 meses; 299.712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331.761,31 KRW</w:t>
      </w:r>
      <w:r>
        <w:t xml:space="preserve"> frente a 331.500,00 · Rentabilidad a 12 meses </w:t>
      </w:r>
      <w:r>
        <w:rPr>
          <w:b/>
          <w:bCs/>
        </w:rPr>
        <w:t xml:space="preserve">+1,6 % (base +11,2 %)</w:t>
      </w:r>
      <w:r>
        <w:t xml:space="preserve"> · Valor intrínseco 256.462,69 KRW · con la prima implícita del mercado: 291.893,94 (-11,9 %) · Alcista / bajista +1,3 % / -67,0 %</w:t>
      </w:r>
    </w:p>
    <w:p>
      <w:pPr>
        <w:spacing w:after="100"/>
      </w:pPr>
      <w:r>
        <w:rPr>
          <w:b/>
        </w:rPr>
        <w:t xml:space="preserve">La recomendación y por qué.</w:t>
      </w:r>
      <w:r>
        <w:t xml:space="preserve"> Mantener, con convicción media; no comprar a este precio. Objetivo a 12 meses de 331.761 KRW: +1,6 % con dividendo (+11,2 % en el caso base), frente a un precio de 331.500 KRW (cierre del 19-oct-2026 en el KOSPI) [19]. El valor intrínseco es de 256.463 KRW, un 22,6 % por debajo. El negocio es excelente, pero el precio pide que la empresa cumpla las cifras de los analistas (BPA de 27.194 KRW en 2028e [12]); nosotros esperamos un 19,5 % menos porque el margen ya baja. La compra solo tendría sentido por debajo de ≈ 256.000 KRW o con un BPA cercano al del consenso. La convicción es media por eso: el negocio es de los mejores del sector, pero la conclusión depende del margen, que la propia empresa ya ha dicho que baja. La subiría un 3T26 con margen del 22 % o más y las existencias frenadas; la bajaría un margen por debajo del 20 % o una sanción seria de la KRX.</w:t>
      </w:r>
    </w:p>
    <w:p>
      <w:pPr>
        <w:spacing w:after="100"/>
      </w:pPr>
      <w:r>
        <w:rPr>
          <w:b/>
        </w:rPr>
        <w:t xml:space="preserve">Por qué ha caído un 30 %.</w:t>
      </w:r>
      <w:r>
        <w:t xml:space="preserve"> Del máximo de 475.000 KRW (1-sep-2026) a 331.500 [19]. El won fuerte en septiembre (−21 %) y, el 13-oct, la mayor caída diaria desde la salida a bolsa (−19,6 %): la víspera la empresa dijo a los analistas en una llamada privada que el margen operativo del 3T26 sería del 21-22 %, frente al ≈ 25 % esperado, por el won, la logística de Europa y la NIIF 18 [13, 33]. La KRX estudia si esa llamada incumplió la norma de comunicación equitativa [29]. Aun así sube un 43 % en el año.</w:t>
      </w:r>
    </w:p>
    <w:p>
      <w:pPr>
        <w:spacing w:after="100"/>
      </w:pPr>
      <w:r>
        <w:rPr>
          <w:b/>
        </w:rPr>
        <w:t xml:space="preserve">El negocio.</w:t>
      </w:r>
      <w:r>
        <w:t xml:space="preserve"> APR vende cosmética coreana y aparatos de belleza para el hogar con la marca Medicube, sobre todo en Amazon EE. UU. y, desde 2026, en Europa y en las cadenas de EE. UU. (Ulta, Target, Walmart, Costco) [5, 21]. Fabrica los aparatos y encarga la cosmética. El 92 % de las ventas es fuera de Corea y Norteamérica es la mitad (2T26) [5]. </w:t>
      </w:r>
      <w:r>
        <w:rPr>
          <w:b/>
        </w:rPr>
        <w:t xml:space="preserve">Calidad: Sí</w:t>
      </w:r>
      <w:r>
        <w:t xml:space="preserve">: ROIC del 100,2 % en 2025 frente a un WACC del 11,45 % (89 puntos). La sostenibilidad del crecimiento es </w:t>
      </w:r>
      <w:r>
        <w:rPr>
          <w:b/>
        </w:rPr>
        <w:t xml:space="preserve">sí</w:t>
      </w:r>
      <w:r>
        <w:t xml:space="preserve">: proyectamos un 12,9 % anual desde 2027 frente al 55,8 % de 2021-2025. Lo que no tiene es foso: cambiar de crema no cuesta nada.</w:t>
      </w:r>
    </w:p>
    <w:p>
      <w:pPr>
        <w:spacing w:after="100"/>
      </w:pPr>
      <w:r>
        <w:rPr>
          <w:b/>
        </w:rPr>
        <w:t xml:space="preserve">Finanzas.</w:t>
      </w:r>
      <w:r>
        <w:t xml:space="preserve"> Ventas de 1.527.345 M en 2025 (+111 %), margen operativo del 23,9 % y beneficio de 289.655 M (BPA 7.718 KRW) [1]. En el 1S26, ventas +129 % y margen operativo del 25,2 % [3]. Caja de 289.268 M sin deuda a 30-jun-2026; repartió el 66 % del beneficio de 2025 [1, 3]. El aviso: existencias y clientes se duplicaron en seis meses y el flujo operativo del 1S26 fue solo un tercio del beneficio [3].</w:t>
      </w:r>
    </w:p>
    <w:p>
      <w:pPr>
        <w:spacing w:after="100"/>
      </w:pPr>
      <w:r>
        <w:rPr>
          <w:b/>
        </w:rPr>
        <w:t xml:space="preserve">Equipo y gobierno.</w:t>
      </w:r>
      <w:r>
        <w:t xml:space="preserve"> El fundador, Kim Byung-hoon (37 años), es primer ejecutivo y controla el 35 % con sus relacionados; preside el consejo un independiente y la mayoría del consejo es independiente [3, 24]. Un 28,8 % del capital libre votó contra el límite de remuneración en marzo [24]. La llamada selectiva del 12-oct es la mancha reciente.</w:t>
      </w:r>
    </w:p>
    <w:p>
      <w:pPr>
        <w:spacing w:after="100"/>
      </w:pPr>
      <w:r>
        <w:rPr>
          <w:b/>
        </w:rPr>
        <w:t xml:space="preserve">Valoración.</w:t>
      </w:r>
      <w:r>
        <w:t xml:space="preserve"> El DCF da 250.455 KRW (WACC del 11,45 % con el bono coreano al 4,45 % [31]); el precio descuenta un crecimiento del 19,4 % anual desde 2027 (nuestro base, 12,9 %) o un margen EBITDA del 27 % para siempre. A 12 meses: PER de 16,6x sobre un BPA de 2028e de 21.894 KRW.</w:t>
      </w:r>
    </w:p>
    <w:p>
      <w:pPr>
        <w:spacing w:after="100"/>
      </w:pPr>
      <w:r>
        <w:rPr>
          <w:b/>
        </w:rPr>
        <w:t xml:space="preserve">Riesgos y catalizadores.</w:t>
      </w:r>
      <w:r>
        <w:t xml:space="preserve"> El riesgo principal es la moda: que la cosmética coreana se enfríe en EE. UU. y Europa (bajista a 12 meses: −45,3 %); le siguen la dependencia de Amazon y de EE. UU., los aranceles (12,5 % desde julio) y el won, y el circulante. </w:t>
      </w:r>
      <w:r>
        <w:rPr>
          <w:b/>
        </w:rPr>
        <w:t xml:space="preserve">Riesgo de IA: medio</w:t>
      </w:r>
      <w:r>
        <w:t xml:space="preserve">, neutral. Catalizador: resultados del 3T26 el 30-oct. Veredicto de precio y noticias: no cambia.</w:t>
      </w:r>
    </w:p>
    <w:p>
      <w:pPr>
        <w:spacing w:after="100"/>
      </w:pPr>
      <w:r>
        <w:rPr>
          <w:b/>
        </w:rPr>
        <w:t xml:space="preserve">Qué cambiaría la decisión.</w:t>
      </w:r>
      <w:r>
        <w:t xml:space="preserve"> La regla y la compra robusta (que aguanta un BPA un 10 % menor, con v3 y v2) exigen un precio por debajo de 256.463 KRW, un 23 % menos que hoy. Un 3T26 y un 4T26 con margen operativo del 24-25 % y ventas fuera de Corea creciendo más del 100 % nos harían subir el base hacia el consenso; publicidad y comisiones por encima del 40 % de las ventas, bajarlo.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331.761,31 KRW</w:t>
      </w:r>
      <w:r>
        <w:t xml:space="preserve"> (rentabilidad +1,6 % (base +11,2 %)) · Valor intrínseco: 256.462,69 KRW (-22,6 % sobre 331.500,00) · con la prima implícita del mercado: 291.893,94 (-11,9 %)</w:t>
      </w:r>
    </w:p>
    <w:p>
      <w:pPr>
        <w:spacing w:after="100"/>
      </w:pPr>
      <w:r>
        <w:t xml:space="preserve">APR es la marca coreana que mejor ha aprovechado la moda de la cosmética coreana en EE. UU.: ventas de 2,29 billones de KRW en los últimos doce meses, margen operativo del 25 % y un ROIC del 100 % con caja neta [1, 3].</w:t>
      </w:r>
    </w:p>
    <w:p>
      <w:pPr>
        <w:spacing w:after="100"/>
      </w:pPr>
      <w:r>
        <w:t xml:space="preserve">El problema es el precio: a 331.500 KRW el mercado paga un crecimiento del 19 % anual desde 2027 o un margen que la empresa no ha tenido nunca en un año entero (DCF de 250.455 KRW). La publicidad y las comisiones ya suben (del 31 % al 39 % de las ventas en un año), el arancel y el won restan, y la mitad del negocio depende de EE. UU. y de Amazon.</w:t>
      </w:r>
    </w:p>
    <w:p>
      <w:pPr>
        <w:spacing w:after="100"/>
      </w:pPr>
      <w:r>
        <w:t xml:space="preserve">Con un crecimiento del 35 % en 2027 y del 18 % en 2028, el BPA de 2028e es de 21.894 KRW y la rentabilidad a 12 meses del 11,2 % en el base y del 1,6 % ponderada: no compensa el bajista (−45,3 %). Es una acción para seguir y comprar más abajo.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331.761,31 KRW</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 × 13.637,69 = 181.381,28 · 16,6x × 21.893,86 = 363.438,08 · 16,6x × 25.228,18 = 418.787,79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 / 11,2 %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historia adelantada de 1 años: decide la más baja de v3 y v2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520.000,00 (nuestro base -30,1 %)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256.462,69 KRW</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 / -67,0 %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 frente a 11,4 % y 10,2 %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291.893,94 KRW</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 frente a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(23,9 %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256.462,69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256.462,69 y 374.279,23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374.279,23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Mantener: la ponderada es del 1,6 % y la del base del 11,2 %, lejos del 15 % y el 12 % exigidos, y el valor intrínseco (256.463 KRW) queda un 22,6 % por debajo del precio. Es una empresa de calidad (ROIC del 100 %) a un precio que ya descuenta el crecimiento del consenso. No es una compra; para quien no la tiene, la acción robusta es no comprar por encima de 256.463 KRW.</w:t>
      </w:r>
    </w:p>
    <w:p>
      <w:pPr>
        <w:pStyle w:val="Heading2"/>
      </w:pPr>
      <w:r>
        <w:t xml:space="preserve">Qué cambiaría la recomendación</w:t>
      </w:r>
    </w:p>
    <w:p>
      <w:pPr>
        <w:pStyle w:val="ListParagraph"/>
        <w:numPr>
          <w:ilvl w:val="0"/>
          <w:numId w:val="2"/>
        </w:numPr>
        <w:spacing w:after="60"/>
      </w:pPr>
      <w:r>
        <w:t xml:space="preserve">Precio por debajo de 256.463 KRW (límite robusto): la compra aguantaría un BPA un 10 % peor.</w:t>
      </w:r>
    </w:p>
    <w:p>
      <w:pPr>
        <w:pStyle w:val="ListParagraph"/>
        <w:numPr>
          <w:ilvl w:val="0"/>
          <w:numId w:val="2"/>
        </w:numPr>
        <w:spacing w:after="60"/>
      </w:pPr>
      <w:r>
        <w:t xml:space="preserve">Un 3T26 y 4T26 con margen operativo del 24-25 % y ventas fuera de Corea creciendo más del 100 %: subiríamos el base hacia el consenso.</w:t>
      </w:r>
    </w:p>
    <w:p>
      <w:pPr>
        <w:pStyle w:val="ListParagraph"/>
        <w:numPr>
          <w:ilvl w:val="0"/>
          <w:numId w:val="2"/>
        </w:numPr>
        <w:spacing w:after="60"/>
      </w:pPr>
      <w:r>
        <w:t xml:space="preserve">Ventas de Norteamérica creciendo menos del 30 % o margen operativo por debajo del 20 %: bajaríamos el base hacia el bajista.</w:t>
      </w:r>
    </w:p>
    <w:p>
      <w:pPr>
        <w:pStyle w:val="ListParagraph"/>
        <w:numPr>
          <w:ilvl w:val="0"/>
          <w:numId w:val="2"/>
        </w:numPr>
        <w:spacing w:after="60"/>
      </w:pPr>
      <w:r>
        <w:t xml:space="preserve">Precio por encima de 374.279 KRW: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19 % anual desde 2027, cerca del consenso (BPA de 27.194 KRW en 2028e y objetivo medio de 520.000 KRW de 22 casas, todas en comprar).</w:t>
      </w:r>
    </w:p>
    <w:p>
      <w:pPr>
        <w:keepNext/>
        <w:spacing w:after="100"/>
      </w:pPr>
      <w:r>
        <w:rPr>
          <w:b/>
          <w:bCs/>
        </w:rPr>
        <w:t xml:space="preserve">Lo que creemos nosotros.</w:t>
      </w:r>
    </w:p>
    <w:p>
      <w:pPr>
        <w:spacing w:after="100"/>
      </w:pPr>
      <w:r>
        <w:t xml:space="preserve">La empresa seguirá creciendo con fuerza (+35 % en 2027), pero con menos margen que el consenso: publicidad, comisiones, arancel y won. Nuestro BPA de 2028e es un 19,5 % menor y el valor intrínseco un 23 % inferior al precio.</w:t>
      </w:r>
    </w:p>
    <w:p>
      <w:pPr>
        <w:keepNext/>
        <w:spacing w:after="100"/>
      </w:pPr>
      <w:r>
        <w:rPr>
          <w:b/>
          <w:bCs/>
        </w:rPr>
        <w:t xml:space="preserve">Por qué podemos tener razón.</w:t>
      </w:r>
    </w:p>
    <w:p>
      <w:pPr>
        <w:spacing w:after="100"/>
      </w:pPr>
      <w:r>
        <w:t xml:space="preserve">La publicidad pasó del 15,9 % al 22,2 % de las ventas en un año y las comisiones del 14,4 % al 18,6 % [3]; la propia empresa anticipó un margen del 21-22 % para el 3T26 [13].</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KRW) · precio actual 331.5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250.455,12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301.368,77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236.537,91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Calidad</w:t>
      </w:r>
      <w:r>
        <w:t xml:space="preserve">: ROIC del 100,2 % en 2025 y caja neta de ≈ 290.000 M [1, 3].</w:t>
      </w:r>
    </w:p>
    <w:p>
      <w:pPr>
        <w:pStyle w:val="ListParagraph"/>
        <w:numPr>
          <w:ilvl w:val="0"/>
          <w:numId w:val="2"/>
        </w:numPr>
        <w:spacing w:after="60"/>
      </w:pPr>
      <w:r>
        <w:rPr>
          <w:b/>
        </w:rPr>
        <w:t xml:space="preserve">Crecimiento</w:t>
      </w:r>
      <w:r>
        <w:t xml:space="preserve">: ventas +134 % en el 2T26, Europa +380 % y Norteamérica +265 % [5].</w:t>
      </w:r>
    </w:p>
    <w:p>
      <w:pPr>
        <w:pStyle w:val="ListParagraph"/>
        <w:numPr>
          <w:ilvl w:val="0"/>
          <w:numId w:val="2"/>
        </w:numPr>
        <w:spacing w:after="60"/>
      </w:pPr>
      <w:r>
        <w:rPr>
          <w:b/>
        </w:rPr>
        <w:t xml:space="preserve">Canales nuevos</w:t>
      </w:r>
      <w:r>
        <w:t xml:space="preserve">: Ulta, Target, Walmart, Costco y CVS en EE. UU. [5, 21].</w:t>
      </w:r>
    </w:p>
    <w:p>
      <w:pPr>
        <w:pStyle w:val="ListParagraph"/>
        <w:numPr>
          <w:ilvl w:val="0"/>
          <w:numId w:val="2"/>
        </w:numPr>
        <w:spacing w:after="60"/>
      </w:pPr>
      <w:r>
        <w:rPr>
          <w:b/>
        </w:rPr>
        <w:t xml:space="preserve">Reparto</w:t>
      </w:r>
      <w:r>
        <w:t xml:space="preserve">: 66 % del beneficio de 2025 en dividendos [1].</w:t>
      </w:r>
    </w:p>
    <w:p>
      <w:pPr>
        <w:pStyle w:val="Heading2"/>
      </w:pPr>
      <w:r>
        <w:t xml:space="preserve">En contra</w:t>
      </w:r>
    </w:p>
    <w:p>
      <w:pPr>
        <w:pStyle w:val="ListParagraph"/>
        <w:numPr>
          <w:ilvl w:val="0"/>
          <w:numId w:val="2"/>
        </w:numPr>
        <w:spacing w:after="60"/>
      </w:pPr>
      <w:r>
        <w:rPr>
          <w:b/>
        </w:rPr>
        <w:t xml:space="preserve">Precio</w:t>
      </w:r>
      <w:r>
        <w:t xml:space="preserve">: el DCF da un 24 % menos que el precio [19].</w:t>
      </w:r>
    </w:p>
    <w:p>
      <w:pPr>
        <w:pStyle w:val="ListParagraph"/>
        <w:numPr>
          <w:ilvl w:val="0"/>
          <w:numId w:val="2"/>
        </w:numPr>
        <w:spacing w:after="60"/>
      </w:pPr>
      <w:r>
        <w:rPr>
          <w:b/>
        </w:rPr>
        <w:t xml:space="preserve">Margen</w:t>
      </w:r>
      <w:r>
        <w:t xml:space="preserve">: publicidad y comisiones del 39 % de las ventas y subiendo [3].</w:t>
      </w:r>
    </w:p>
    <w:p>
      <w:pPr>
        <w:pStyle w:val="ListParagraph"/>
        <w:numPr>
          <w:ilvl w:val="0"/>
          <w:numId w:val="2"/>
        </w:numPr>
        <w:spacing w:after="60"/>
      </w:pPr>
      <w:r>
        <w:rPr>
          <w:b/>
        </w:rPr>
        <w:t xml:space="preserve">Concentración</w:t>
      </w:r>
      <w:r>
        <w:t xml:space="preserve">: la mitad de las ventas en EE. UU., con Amazon como canal principal y arancel del 12,5 % [5, 20].</w:t>
      </w:r>
    </w:p>
    <w:p>
      <w:pPr>
        <w:pStyle w:val="ListParagraph"/>
        <w:numPr>
          <w:ilvl w:val="0"/>
          <w:numId w:val="2"/>
        </w:numPr>
        <w:spacing w:after="60"/>
      </w:pPr>
      <w:r>
        <w:rPr>
          <w:b/>
        </w:rPr>
        <w:t xml:space="preserve">Circulante y gobierno</w:t>
      </w:r>
      <w:r>
        <w:t xml:space="preserve">: existencias duplicadas en seis meses y la llamada selectiva del 12-oct [3, 29].</w:t>
      </w:r>
    </w:p>
    <w:p>
      <w:pPr>
        <w:pStyle w:val="Heading2"/>
      </w:pPr>
      <w:r>
        <w:t xml:space="preserve">Qué tiene que pasar para que la tesis funcione</w:t>
      </w:r>
    </w:p>
    <w:p>
      <w:pPr>
        <w:spacing w:after="100"/>
      </w:pPr>
      <w:r>
        <w:t xml:space="preserve">El margen y la caja. La señal de que la tesis del mercado aguanta: en el 3T26 (30-oct) un margen operativo de al menos el 22 % con ventas de 780.000 M o más, y un 4T26 de vuelta al 24-25 %; la de que falla: margen por debajo del 20 %, publicidad y comisiones por encima del 40 % de las ventas o existencias que siguen subiendo.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en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mitad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 (2T26); 21-22 % anticipado para el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escala compensa publicidad, arancel y won.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Publicidad + comisiones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poder de Amazon.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369.884 M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400.000 M sin más ventas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del beneficio y riesgo de descuentos.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Exportaciones coreanas de cosmética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Termómetro de la moda.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28,8x / 16,4x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APR nació el 10-oct-2014 en Seúl, fundada por Kim Byung-hoon (entonces de 26 años), con la marca Aprilskin (cosmética suave). En 2016 lanzó Medicube (cosmética «dermatológica»), y en 2017 diversificó hacia ropa (Nerdy), perfume (Forment) y fotomatones (Photogray) [1]. En 2021 entró en los aparatos de belleza para el hogar con Medicube AGE-R, que en 2023 se hicieron virales con el Booster Pro, y montó su propia fábrica (APR Factory, 2023-2024) [1]. Salió a bolsa en el KOSPI el 27-feb-2024. Desde 2024 la cosmética de Medicube (almohadillas «Zero Pore», colágeno, PDRN) despegó en Amazon EE. UU. y la empresa pasó de 722.754 M de ventas (2024) a 1.527.345 M (2025) y a 2,29 billones en los últimos doce meses; en 2026 entró en las cadenas físicas de EE. UU. y en Europa [1, 3,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y lanzamiento de Aprilskin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Medicube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Nerdy (ropa), Forment (perfume) y Photogray (fotomatones); nombre actual, APR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Aparatos de belleza Medicube AGE-R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Booster Pro y primera planta de APR Factory; premio al exportador de 50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KOSPI (27-feb); segunda planta; premio al exportador de 200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más de 1,5 billones (+111 %); número uno en tónicos de Amazon EE. UU. con las almohadillas Zero Pore [1,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Ulta, Target, Walmart, Nordstrom y Costco en EE. UU.; Amazon en cinco países europeos; exterior al 92 % de las ventas (2T26) [5, 21].</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APR diseña y vende cosmética coreana y aparatos de belleza para el hogar con la marca Medicube (y, mucho menores, Aprilskin y Forment) [1]. En 2025 la cosmética fue el 71 % de las ventas y los aparatos el 27 %; en el 2T26, el 84,5 % y el 14,6 % [1, 5]. No fabrica la cosmética: la encarga a fabricantes coreanos (Cosmax, Hankook Cosmetics, Nordinary); los aparatos sí los fabrica, en APR Factory [1, 3]. Vende sobre todo fuera de Corea (80 % en 2025, 92 % en el 2T26): Norteamérica es la mitad de las ventas (Amazon, Ulta, Target, Walmart, Costco), Europa el 19 % (Amazon en cinco países) y Asia el 16 % (Japón, China, Sudeste Asiático) [5].</w:t>
      </w:r>
    </w:p>
    <w:p>
      <w:pPr>
        <w:pStyle w:val="Heading2"/>
      </w:pPr>
      <w:r>
        <w:t xml:space="preserve">Cómo gana dinero</w:t>
      </w:r>
    </w:p>
    <w:p>
      <w:pPr>
        <w:spacing w:after="100"/>
      </w:pPr>
      <w:r>
        <w:t xml:space="preserve">Vende un producto barato de fabricar (coste de ventas del 23 % de las ventas en 2025 y del 22 % en el 1S26) a precio de marca, y gasta mucho en darlo a conocer y en venderlo: publicidad (influencers y anuncios en Amazon, TikTok y Meta: 21 % de las ventas en el 1S26), comisiones de las plataformas (18 %) y transporte (7 %) [1, 3]. Lo que queda es un margen operativo del 24-25 %. Los aparatos (300-500 USD) atraen al cliente y venden cosmética «a juego». Necesita poco capital: capex del 1-2 % de las ventas y circulante del 7-10 %. El online fue el 66,6 % de las ventas de 2025 y el 61,4 % del 1S26, a medida que entra en tiendas [1, 3]. Estacionalidad: el 4T (Black Friday, Navidad, días de ofertas de Amazon) es el trimestre fuerte.</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Cosmética y belleza (Medicube, Aprilskin, Forment)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1.077.126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Aparatos de belleza para el hogar (Medicube AGE-R)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406.984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(Nerdy, Photogray, Glam.D)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Cosmética y belleza (Medicube, Aprilskin, Forment)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338.518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1.077.126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Aparatos de belleza para el hogar (Medicube AGE-R)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312.643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406.984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(Nerdy, Photogray, Glam.D)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71.593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Consumidoras de 20-40 años en EE. UU., Europa y Asia que buscan cuidado de la piel «con resultados» a precio medio (20-40 USD el producto) [1]. Amazon es el canal principal y no se publica su peso: el informe semestral solo dice que un cliente (cliente A) superó el 10 % de las ventas (160.298 M en el 1S26, el 11,8 %) [3]. Con la venta directa en Amazon, el cliente final es la consumidora; con las cadenas (Ulta ≈ 1.400 tiendas, Target ≈ 1.500, Walmart ≈ 3.000, Costco ≈ 400 y CVS ≈ 3.000 antes de fin de año), el poder de negociación pasa al distribuidor [5, 21]. Poder de precios: limitado; mantuvo precios tras el arancel del 12,5 % [20].</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las ventas fuera de Corea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Pesos por región del 1S26: Norteamérica 647.849 M, Europa 228.856 M, Corea 128.606 M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Norteamérica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103.195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376.251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 más Ulta, Target, Walmart y Nordstrom; EE. UU. fue el 42 % de las ventas del 1T26 [5,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Europa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30.204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145.084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las tiendas de Amazon de cinco países europeos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Publicidad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venta del 14,4 % al 18,6 %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aparatos AGE-R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90.049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111.887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Pierden peso: del 27,5 % al 14,6 % de las ventas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mundial de belleza (cuidado de la piel, pelo, maquillaje, perfume e higiene) a precio neto de fabricante, que L'Oréal cifra en ≈ 300.000 M EUR en 2025, con crecimiento previsto de ≈ 4 % anual (ficha sectorial del repositorio) [18]; los aparatos de belleza para el hogar son un nicho dentro. La cosmética coreana es el segmento que más crece: las exportaciones coreanas de cosmética crecieron un 18,5 %, un 30,8 % y un 38,2 % en los tres primeros trimestres de 2026 (3.379 M USD en el 3T26, récord), con EE. UU. y Europa a la cabeza [17]. Usamos el mercado mundial de belleza como mercado final (prudente y amplio) y las exportaciones coreanas como indicador de la moda.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300.000 M EUR en 2025 (≈ 448 billones de KRW a 1492,4 KRW/EUR) [18]; exportaciones coreanas de cosmética de 3.379 M USD solo en el 3T26 [17]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 arriba y muy fragmentada por debajo de los diez primeros; las marcas coreanas independientes ganan cuota en online y ahora en tiendas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Moda de la cosmética coreana en EE. UU. y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Exportaciones coreanas de cosmética +38,2 % en el 3T26 [17]; APR: Norteamérica +265 % y Europa +380 % en el 2T26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en plataformas y redes (Amazon, TikTok Shop)</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Permiten a una marca coreana llegar a todo el mundo sin red física; el online es el 61-67 % de las ventas de APR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Fabricantes por encargo coreanos (Cosmax, Kolmar)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Bajan la barrera de entrada: cualquier marca puede lanzar productos parecidos en meses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tipo de cambio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 combinado del 12,5 % desde el 24-jul-2026 [20]; el won fuerte recorta las ventas en KRW (1 punto de margen por cada 5 % de bajada del dólar, según Shinyoung)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Sustitución de marcas: la moda pasa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VT perdió margen cuando su producto estrella dejó de crecer (margen operativo del 8 % hoy) [19]; Dr.Jart (Estée Lauder) pierde dinero seis años después de su compra (nota de d'Alba del repositorio).</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Cientos de marcas coreanas compiten en Amazon con productos parecidos (d'Alba, Beauty of Joseon, Anua, Torriden, COSRX, Skin1004)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 (el «cliente A», ≈ 12 % de las ventas solo como cliente directo) y las cadenas de EE. UU. controlan el acceso a la consumidora y cobran por visibilidad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Varios fabricantes por encargo compiten por los pedidos; el margen bruto ha subido al 78 %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fabricantes por encargo y redes sociales, lanzar una marca cuesta poco; los aparatos (fábrica y certificaciones) son algo más difíciles de copiar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marcas globales (L'Oréal, Estée Lauder), la dermocosmética y los tratamientos de clínica compiten por el mismo gasto.</w:t>
            </w:r>
          </w:p>
        </w:tc>
      </w:tr>
    </w:tbl>
    <w:p>
      <w:pPr>
        <w:spacing w:after="160" w:before="0"/>
      </w:pPr>
    </w:p>
    <w:p>
      <w:pPr>
        <w:pStyle w:val="Heading2"/>
      </w:pPr>
      <w:r>
        <w:t xml:space="preserve">Ciclo</w:t>
      </w:r>
    </w:p>
    <w:p>
      <w:pPr>
        <w:spacing w:after="100"/>
      </w:pPr>
      <w:r>
        <w:t xml:space="preserve">La cosmética es defensiva en volumen (en 2009 y 2020 cayó poco) [18], pero la cosmética coreana fuera de Corea vive una fase de moda con crecimientos del 30-40 % en las exportaciones y del 100-400 % en algunas marcas [17]. APR no ha vivido como cotizada un ciclo bajista del sector: el más cercano fue la caída de China en 2017-2022, que hundió a Amorepacific y LG H&amp;H. Indicadores: exportaciones mensuales de cosmética coreana (aduanas), rankings de Amazon y tipo de cambio.</w:t>
      </w:r>
    </w:p>
    <w:p>
      <w:pPr>
        <w:pStyle w:val="Heading2"/>
      </w:pPr>
      <w:r>
        <w:t xml:space="preserve">Regulación</w:t>
      </w:r>
    </w:p>
    <w:p>
      <w:pPr>
        <w:spacing w:after="100"/>
      </w:pPr>
      <w:r>
        <w:t xml:space="preserve">Cosmética: MFDS en Corea (APR fue sancionada dos veces por publicidad engañosa); en EE. UU., la ley MoCRA (registro y farmacovigilancia) y la FDA para protectores solares y aparatos de radiofrecuencia; en la UE, el reglamento 1223/2009 [18]. Aranceles de EE. UU.: 12,5 % combinado (nación más favorecida más sección 301) desde el 24-jul-2026, después de la anulación de los aranceles IEEPA, que se devuelven [20].</w:t>
      </w:r>
    </w:p>
    <w:p>
      <w:pPr>
        <w:pStyle w:val="Heading2"/>
      </w:pPr>
      <w:r>
        <w:t xml:space="preserve">Tendencias y disrupción</w:t>
      </w:r>
    </w:p>
    <w:p>
      <w:pPr>
        <w:spacing w:after="100"/>
      </w:pPr>
      <w:r>
        <w:t xml:space="preserve">Tres tendencias. (1) La cosmética coreana pasa de moda a categoría: entra en cadenas físicas (Ulta, Target, Walmart, Costco) y en Europa, y deja de depender solo de Amazon [5, 21]. (2) Las ventas se deciden en redes y plataformas: TikTok y Amazon premian a la marca que más invierte en contenido y anuncios, lo que sube el gasto de todas (la publicidad de APR pasó del 16 % al 22 % de las ventas en un año). (3) Los grandes compran marcas coreanas (Estée Lauder-Dr.Jart, Amorepacific-COSRX, L'Oréal-Dr.G), con resultados desiguales cuando pasa la moda. La IA entra en la recomendación de productos (agentes de compra): un riesgo para las marcas que viven del marketing.</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 marca coreana independiente más grande y la que más crece: 2,29 billones de KRW de ventas en los últimos doce meses (≈ 1.720 M USD), el ≈ 0,5 % del mercado mundial de belleza [18]. Número uno en tónicos de Amazon EE. UU. con las almohadillas Zero Pore desde febrero de 2025 [21] y, por su tamaño, por delante de LG H&amp;H y cerca de Amorepacific en beneficio operativo [19].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foso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d'Alba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483650.KS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635.706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coreana más pequeña con el mismo modelo (fabricación por encargo, Amazon y Costco en EE. UU.); un cuarto de las ventas de APR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Amorepacific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090430.KS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4.491.940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grande (Sulwhasoo, Laneige, COSRX); se recupera fuera de China; margen muy inferior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LG H&amp;H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051900.KS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6.286.751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Cosmética de lujo dependiente de China; ventas planas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Silicon2 (Stylekorean)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257720.KQ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1.354.478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Distribuidor de marcas coreanas en EE. UU. y Europa; compite por el mismo estante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VT Cosmetics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018290.KQ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471.172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coreana cuyo producto estrella (Reedle Shot) perdió tirón: el ejemplo del riesgo de moda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Goodai Global (Beauty of Joseon, Tirtir, Skin1004)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agrupa varias de las marcas coreanas más vendidas en Amazon.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e.l.f. Beauty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ELF</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2.345.856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Cosmética de masas en EE. UU., el mismo cliente y los mismos canales (Ulta, Target, Walmart, Amazon)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Classys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214150.KQ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369.113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Aparatos de estética para clínicas (Shurink); referencia de margen para la parte de aparatos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Reseñas y rankings en Amazon ayudan a la marca líder, pero no impiden que otra escale.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crema no cuesta nada; el aparato (300-500 USD) fideliza algo a la cosmética «a juego».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Medicube con productos líderes en Amazon EE. UU. y aparatos con tecnología propia (centro de I+D de aparatos) [B1, B8].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marketing y fábrica propia de aparatos; pero la publicidad sube como porcentaje de las ventas [B2].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enorme y fragmentado.</w:t>
            </w:r>
          </w:p>
        </w:tc>
      </w:tr>
    </w:tbl>
    <w:p>
      <w:pPr>
        <w:spacing w:after="160" w:before="0"/>
      </w:pPr>
    </w:p>
    <w:p>
      <w:pPr>
        <w:pStyle w:val="Heading2"/>
      </w:pPr>
      <w:r>
        <w:t xml:space="preserve">Amenazas</w:t>
      </w:r>
    </w:p>
    <w:p>
      <w:pPr>
        <w:spacing w:after="100"/>
      </w:pPr>
      <w:r>
        <w:t xml:space="preserve">Lo más probable es la competencia de otras marcas coreanas por el mismo espacio en Amazon, TikTok y las cadenas: entrar cuesta poco con fabricantes por encargo y el marketing decide (probabilidad alta, impacto en margen: la publicidad ya sube). Segunda: que la moda de la cosmética coreana se enfríe en EE. UU., donde está la mitad de las ventas (probabilidad media en 3-5 años, impacto alto). Tercera: Amazon, que puede subir comisiones o cambiar el algoritmo (media). Cuarta: aranceles y won fuerte, que se comen margen en cada trimestre.</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259.146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397.698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523.809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722.754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1.527.345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395.799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365.521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289.655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7.718,00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2021-2025: ingresos </w:t>
      </w:r>
      <w:r>
        <w:rPr>
          <w:b/>
          <w:bCs/>
        </w:rPr>
        <w:t xml:space="preserve">55,8 %</w:t>
      </w:r>
      <w:r>
        <w:t xml:space="preserve">, EBITDA </w:t>
      </w:r>
      <w:r>
        <w:rPr>
          <w:b/>
          <w:bCs/>
        </w:rPr>
        <w:t xml:space="preserve">107,0 %</w:t>
      </w:r>
      <w:r>
        <w:t xml:space="preserve">, BPA </w:t>
      </w:r>
      <w:r>
        <w:rPr>
          <w:b/>
          <w:bCs/>
        </w:rPr>
        <w:t xml:space="preserve">120,9 %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KRW,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259.146 M KRW en 2021 a 1.527.345 M en 2025: un crecimiento anual del 55,8 %, todo orgánico, y se duplicaron solo en 2025 (+111 %) [1, 2]. En el 1S26 volvieron a crecer un 129 % (1.360.889 M) [3]. El motor es la cosmética de la marca Medicube (de 214.291 M en 2023 a 1.077.126 M en 2025 y 1.100.824 M solo en el 1S26), vendida sobre todo en Amazon EE. UU. y, desde 2026, en Europa; los aparatos de belleza para el hogar (AGE-R) crecen menos (406.984 M en 2025, +30 %) [1, 3]. El margen operativo subió del 5,5 % (2021) al 23,9 % (2025) y al 25,2 % en el 1S26, con un margen bruto del 76,6 % (2025) y del 78,2 % (1S26). El gasto variable que decide el margen es el comercial: publicidad (17,5 % de las ventas en 2025 y 21,1 % en el 1S26), comisiones de venta de plataformas (16,5 % y 18,1 %) y transporte (7,4 % y 7,0 %) [1, 3]. Últimos doce meses: 2.294.466 M de ventas y 571.461 M de beneficio operativo (24,9 %).</w:t>
      </w:r>
    </w:p>
    <w:p>
      <w:pPr>
        <w:pStyle w:val="Heading2"/>
      </w:pPr>
      <w:r>
        <w:t xml:space="preserve">Ajustes y partidas no recurrentes</w:t>
      </w:r>
    </w:p>
    <w:p>
      <w:pPr>
        <w:spacing w:after="100"/>
      </w:pPr>
      <w:r>
        <w:t xml:space="preserve">Cifras publicadas K-IFRS, sin ajustes de no recurrentes. Tres avisos. (1) Desde 2026 la empresa aplica por adelantado la NIIF 18: los otros ingresos y gastos de explotación entran en el beneficio operativo y 2025 se reexpresa a 361.391 M (frente a 365.521 M publicados) [3, 5]; la serie de la tabla es la publicada. (2) 2022 se reexpresó en el informe de 2023 por la contabilidad de participadas e impuesto diferido: el beneficio de 2022 bajó en 992 M [2]. (3) El resultado financiero de 2024 (+10.595 M) incluye ganancias de valoración de activos financieros; desde 2025 es casi nulo. El 2T26 lleva parte de la devolución de los aranceles IEEPA pagados en EE. UU. (≈ 20.000-25.000 M en total, contabilizada por partes desde el 2T26 y hasta 2027) [14]. Pagos en acciones: opciones de empleados y directivos (ejercicios en 2024-2026).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244.215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327.735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385.943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1.981,00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547.634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2.639,00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593.356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3.132,00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767.533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199.570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3.780,00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Ventas y beneficio operativo de cada trimestre de los avisos de resultados provisionales y de las presentaciones (2026 con NIIF 18) [5, 6, 7, 8, 9]; EBITDA = beneficio operativo + la amortización del semestre repartida a partes iguales (5.623 M por trimestre en 2024, 7.309 M en el 1S25, 7.831 M en el 2S25 y 9.017 M en 2026: estimación); BPA básico de FnGuide [12]. No hemos encontrado el consenso previo de cada trimestre en una fuente primaria y lo dejamos en blanco. La presentación del 5-ago-2026 tuvo tres mensajes [5, 16]: (1) récord de ventas (767.533 M, +134 %) y de beneficio operativo (190.553 M, 24,8 % de margen) con el exterior al 92 % de las ventas; (2) Norteamérica +265 % (376.251 M, el 49 % de las ventas: Amazon más Ulta, Target, Walmart y Nordstrom) y Europa +380 % (145.084 M, el 19 %, con la entrada en las tiendas online de Amazon de cinco países); (3) Corea −14,5 % por el cierre de negocios no principales (ropa Nerdy, fotomatones Photogray). Lo que se explicó a medias: el gasto en publicidad saltó al 22,2 % de las ventas en el 2T26 (15,9 % un año antes) y las comisiones al 18,6 % (14,4 %) [3]. El 12-oct-2026, en una llamada privada con analistas, la empresa anticipó un margen operativo del 21-22 % para el 3T26 (el consenso esperaba ≈ 25 %) por el won fuerte (1.423 KRW/USD de media en el 3T frente a 1.502 en el 2T), la logística de Europa y los fletes aéreos [13].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99.266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287.309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565.144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771.738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113.502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279.460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100.711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-178.749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445.800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(2023-2024: APR Factory (fábrica propia de los aparatos AGE-R: primera planta en julio de 2023 y segunda en mayo de 2024) y filiales comerciales en EE. UU., Japón, China y otros países, todas de creación propia: crecimiento orgánico, sin compras [1].; 2026: Filiales nuevas en Países Bajos e India (1S26) y fusión por absorción de APR Factory decidida el 9-sep-2026: sin efecto en las cuentas consolidadas [3, 15].; 2024: el activo total crece un 97 % y los ingresos un 38 %).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de caja neta: 289.268 M de caja e inversiones a corto frente a cero deuda financiera a 30-jun-2026 [3]. El patrimonio pasó de 66.001 M (2021) a 648.034 M (jun-2026) con el beneficio y la salida a bolsa (febrero de 2024). La señal a vigilar es el circulante: las existencias pasaron de 165.457 M a 369.884 M en seis meses (+124 %) y los clientes de 91.114 M a 191.599 M (+110 %), más rápido que las ventas (+129 % interanual, pero solo +40 % frente al 2S25); el circulante comercial (existencias + clientes − proveedores) subió de 113.502 M (7,4 % de las ventas de 2025) a 314.088 M (≈ 10 % de las ventas anualizadas del 2T26) [1, 3]. Tiene explicación (más tiendas físicas en EE. UU. y Europa, stock en almacenes de Amazon y envío por barco en vez de avión), pero se ha comido el flujo operativo del semestre.</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2.356,79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341.046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305.166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289.655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8.131,25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422.219</w:t>
      </w:r>
      <w:r>
        <w:t xml:space="preserve">, conversión </w:t>
      </w:r>
      <w:r>
        <w:rPr>
          <w:b/>
          <w:bCs/>
        </w:rPr>
        <w:t xml:space="preserve">81 %</w:t>
      </w:r>
      <w:r>
        <w:t xml:space="preserve"> del beneficio neto; adquisiciones 0, dividendos 134.376, recompras 89.946.</w:t>
      </w:r>
    </w:p>
    <w:p>
      <w:pPr>
        <w:spacing w:after="100"/>
      </w:pPr>
      <w:r>
        <w:t xml:space="preserve">El flujo operativo pasó de 4.585 M en 2021 a 341.046 M en 2025 (118 % del beneficio) [1, 2]. En el 1S26 fue de solo 86.404 M, un 33 % del beneficio del semestre (258.793 M), por la subida de existencias (−206.090 M) y clientes (−99.111 M) y 62.055 M de impuestos pagados [3]. El capex es bajo: 1,2 % de las ventas en 2025 (17.917 M), salvo 2024 (47.822 M, 6,6 %) por la segunda planta de aparatos y la sede; la cosmética la fabrican otros (Cosmax, Hankook Cosmetics, Nordinary) [1]. Los arrendamientos (oficinas, almacenes, tiendas) cuestan 16.110 M al año. Usos de la caja: recompras de 59.944 M en 2024 y 30.002 M en 2025, todas amortizadas; dividendos desde 2025 (134.376 M pagados en 2025 y 149.752 M en 2026: el final de 1.500 KRW y el a cuenta de 2.500 KRW) [1, 10, 11]. La salida a bolsa aportó ≈ 74.329 M en 2024.</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Hyundai Accounting (현대회계법인) desde 2024; antes Deloitte Anjin (2023 y anteriores)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Hyundai Accounting auditó 2024 y 2025 con opinión favorable y sin cuestiones clave de auditoría declaradas en el informe anual [1]. Deloitte Anjin auditó 2023 y llamó la atención sobre la reexpresión de 2022 (participadas e impuesto diferido; −992 M de beneficio) [1, 2]. Criterios a vigilar: (1) la conversión en caja del 1S26 (33 % del beneficio) por la acumulación de existencias y clientes [3]; (2) el reconocimiento de ventas a distribuidores y a cadenas de EE. UU. (Ulta, Target, Walmart, Costco) con devoluciones y descuentos, que crece frente a la venta directa online (el online bajó del 66,6 % de las ventas en 2025 al 61,4 % en el 1S26) [1, 3]; (3) la NIIF 18 adoptada por adelantado en 2026 cambia el beneficio operativo y complica comparar con el consenso [5]; (4) la publicidad: el regulador sancionó dos veces anuncios que presentaban cosméticos como medicamentos [3].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y clientes que crecen más que las ventas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+124 % y clientes +110 % en seis meses; flujo operativo del 33 % del beneficio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 2022</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Participadas e impuesto diferido; −992 M; detectada por el auditor entrante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Adopción anticipada de la NIIF 18</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frontera del beneficio operativo; 2025 reexpresado a 361.391 M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Sanciones del MFDS por publicidad</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Suspensión de publicidad de 2 meses (2025) y 4 meses (2026) [3].</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61.219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68.435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80.838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199.400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289.913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196 M en 2025 (el 0 % del capital invertido medio); ha subido más de un 5 % en 0 de 4 años: sin compras. ROIC publicado 100,2 %; sin fondo de comercio, 100,3 %. Sin compras relevantes: el publicado ya es el ROIC del negocio.</w:t>
      </w:r>
    </w:p>
    <w:p>
      <w:pPr>
        <w:spacing w:after="100"/>
      </w:pPr>
      <w:r>
        <w:rPr>
          <w:b/>
          <w:bCs/>
        </w:rPr>
        <w:t xml:space="preserve">ROIC incremental</w:t>
      </w:r>
      <w:r>
        <w:t xml:space="preserve"> (variación del NOPAT sobre variación del capital invertido en el periodo): 121,9 % · </w:t>
      </w:r>
      <w:r>
        <w:rPr>
          <w:b/>
          <w:bCs/>
        </w:rPr>
        <w:t xml:space="preserve">WACC</w:t>
      </w:r>
      <w:r>
        <w:t xml:space="preserve">: 11,4 %.</w:t>
      </w:r>
    </w:p>
    <w:p>
      <w:pPr>
        <w:spacing w:after="100"/>
      </w:pPr>
      <w:r>
        <w:t xml:space="preserve">APR crea mucho valor: ROIC del 100,2 % en 2025 frente a un WACC del 11,45 % (89 puntos), por encima del 40 % todos los años desde 2022 (el más bajo, 49,7 % en 2024, el año de la fábrica y la nueva sede) [1]. Viene de un margen operativo del 24 % con poco capital invertido (289.913 M para 1,53 billones de ventas, rotación de 5 veces): fabrica solo los aparatos y la cosmética la encarga. El ROIC incremental de 2021-2025 es del 121,9 %. La cifra no cuenta la caja (≈ 290.000 M), pero aunque se sumara el rendimiento sobre el patrimonio sería del 75 % (ROE de 2025). Con nuestro 2028e (EBIT de 1.090.571 M) el ROIC seguiría por encima del 100 %. El riesgo no es de rentabilidad del capital sino de duración: un ROIC tan alto atrae competidores, y en cosmética entrar cuesta poco. El circulante del 1S26 es el primer aviso de que crecer en tiendas físicas pide más capital que vender en Amazon.</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-204.360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64.030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-140.330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efectivo de 94.463 M, activos financieros a corto a coste amortizado de 20.097 M y a valor razonable de 174.708 M (289.268 M en total) más 49.111 M de activos financieros a largo (17.846 M a coste amortizado y 31.265 M a valor razonable); sin deuda financiera desde 2025; 84.908 M de arrendamientos [3]. Después del cierre pagó 93.595 M del dividendo a cuenta (31-ago)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Pasivo neto por pensiones de 2.234 M e impuesto de sociedades a pagar de 90.365 M a 30-jun-2026 [3]. Sin garantías relevantes ni litigios importantes declarados. Sanciones de los últimos dos años: dos suspensiones de publicidad del regulador de medicamentos y cosmética (MFDS) por anunciar cosméticos como si fueran medicamentos (2 meses en enero de 2025 y 4 meses en enero de 2026) y multas pequeñas de aduanas (66 M) y del supervisor financiero (8 M) [3].</w:t>
      </w:r>
    </w:p>
    <w:p>
      <w:pPr>
        <w:pStyle w:val="Heading1"/>
      </w:pPr>
      <w:r>
        <w:t xml:space="preserve">12. Asignación de capital</w:t>
      </w:r>
    </w:p>
    <w:p>
      <w:pPr>
        <w:pStyle w:val="Confianza"/>
        <w:spacing w:after="100"/>
      </w:pPr>
      <w:r>
        <w:t xml:space="preserve">Confianza: Alta</w:t>
      </w:r>
    </w:p>
    <w:p>
      <w:pPr>
        <w:spacing w:after="100"/>
      </w:pPr>
      <w:r>
        <w:t xml:space="preserve">Reparte desde 2025: 5.090 KRW por acción de 2025 (3.590 a cuenta y 1.500 final; 190.533 M, el 65,8 % del beneficio) y 2.500 KRW a cuenta de 2026 (93.595 M) [1, 10, 11]. Antes recompraba y amortizaba: 59.944 M en 2024 y 30.002 M en 2025 (884.335 acciones amortizadas en enero de 2025 y 613.400 en agosto de 2025) [1]. El plan de valor del 31-mar-2026 promete repartir al menos el 25 % del beneficio hasta 2026 con dividendos y recompras para amortizar (nota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305.166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134.376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Asignación de capital sencilla: el negocio necesita poco capital (capex del 1-2 % de las ventas) y genera caja; la única inversión grande fue la fábrica de aparatos (2023-2024). No ha hecho compras. El ROE fue del 75 % en 2025 (FnGuide) con caja neta [12]. El reto es devolver la caja: el reparto del 66 % de 2025 lo cumple; el circulante de 2026 frena el ritmo.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 Byung-hoon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primer ejecutivo (representative director)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la empresa en 2014, nada más terminar la universidad, y la dirige desde entonces; nacido en noviembre de 1988. Tiene 11.953.660 acciones (31,93 %) y un 34,81 % con sus relacionados [3,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Shin Jae-ha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y director financiero (CFO),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APR desde junio de 2016; consejero desde 2023, reelegido en marzo de 2026. Tiene 457.310 acciones [3, 24].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500.000 M de ventas en 2026 (agosto de 2026) [nota B: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228.856 M (46 % del objetivo)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21-22 % (llamada privada a analistas del 12-oct-2026) [29]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(30-oct-2026)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Devolución de aranceles IEEPA de ≈ 20.000-25.000 M, contabilizada por partes desde el 2T26 (mayo de 2026) [nota A: 14]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dirige su fundador desde 2014, con un equipo joven (751 empleados en jun-2026) que ha multiplicado las ventas por nueve en cuatro años [3]. La empresa no da una guía anual de ventas: comunica objetivos sueltos (Europa) y previsiones a analistas. Como cotizada ha cumplido de sobra: cada trimestre desde 2025 ha crecido más del 100 %. El tropiezo reciente es de forma: el 12-oct-2026 anticipó en una llamada privada a analistas un margen del 3T26 por debajo de lo esperado, la acción empezó a caer diez minutos después, cerró el día con −5,3 % y cayó un 19,6 % al día siguiente, y la prensa habla de posible filtración de información [29]. Riesgo de persona clave: la estrategia, la marca y el control dependen del fundador (37 años); no hay plan de sucesión publicado.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 Hyung-yi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 Byung-hoon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Shin Jae-ha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(CFO)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Noh Yu-ri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(auditora de cuentas)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Oh Ju-dong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Transparencia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28,8 %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 Byung-hoon (fundador) y relacionados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accionista de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31,93 % a título personal (11.953.660 acciones) [3]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 Nacional de Pensiones (NPS)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(Corea)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de más del 5 % [3, 27]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Fidelity Management &amp; Research (FMR)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(EE. UU.)</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Pasó del 5 % el 17-jul-2026 [26]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 restante (extranjeros 38,37 % del total)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 del 64,95 % según FnGuide; 37.438.155 acciones emitidas, sin autocartera [27]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cobró 4.100 M KRW en 2025: 2.000 M fijos y 2.100 M de bonus ligado al beneficio operativo, no a la rentabilidad sobre el capital [1]. El directivo mejor pagado de 2025 fue otro (18.201 M), casi todo por ejercer opciones sobre acciones. En Corea la junta vota un límite global para los consejeros: en marzo de 2026 lo aprobó solo el 71,2 % de los votos emitidos, con un 28,8 % en contra; el fundador y sus relacionados no votaron ese punto (los votos a favor fueron el 34,6 % de las acciones, frente al ≈ 65 % que votó los demás), así que el 28,8 % es el rechazo del capital libre presente [24].</w:t>
      </w:r>
    </w:p>
    <w:p>
      <w:pPr>
        <w:pStyle w:val="Heading2"/>
      </w:pPr>
      <w:r>
        <w:t xml:space="preserve">Operaciones vinculadas, estructura de control y defensas</w:t>
      </w:r>
    </w:p>
    <w:p>
      <w:pPr>
        <w:spacing w:after="100"/>
      </w:pPr>
      <w:r>
        <w:t xml:space="preserve">El fundador controla con el 34,81 % junto a sus relacionados y no ha vendido como cotizado según las declaraciones revisadas [3]. Una acción, un voto; sin blindajes. Tres de los cinco consejeros son independientes, uno de ellos preside el consejo, y forman la comisión de auditoría; en 2026 se añadió una comisión de retribución y otra de transparencia y se reforzó la elección separada de consejeros de auditoría (los votos del control se limitan) [24, 28]. Los bloqueos de la salida a bolsa vencieron en 2024-2025.</w:t>
      </w:r>
    </w:p>
    <w:p>
      <w:pPr>
        <w:pStyle w:val="Heading2"/>
      </w:pPr>
      <w:r>
        <w:t xml:space="preserve">Señales de alerta</w:t>
      </w:r>
    </w:p>
    <w:p>
      <w:pPr>
        <w:pStyle w:val="ListParagraph"/>
        <w:numPr>
          <w:ilvl w:val="0"/>
          <w:numId w:val="2"/>
        </w:numPr>
        <w:spacing w:after="60"/>
      </w:pPr>
      <w:r>
        <w:t xml:space="preserve">Comunicación selectiva a analistas de la previsión del 3T26 (12-oct-2026); la KRX estudia si incumplió la norma de comunicación equitativa [29].</w:t>
      </w:r>
    </w:p>
    <w:p>
      <w:pPr>
        <w:pStyle w:val="ListParagraph"/>
        <w:numPr>
          <w:ilvl w:val="0"/>
          <w:numId w:val="2"/>
        </w:numPr>
        <w:spacing w:after="60"/>
      </w:pPr>
      <w:r>
        <w:t xml:space="preserve">Un 28,8 % del capital libre votó contra el límite de remuneración en marzo de 2026 [24].</w:t>
      </w:r>
    </w:p>
    <w:p>
      <w:pPr>
        <w:pStyle w:val="ListParagraph"/>
        <w:numPr>
          <w:ilvl w:val="0"/>
          <w:numId w:val="2"/>
        </w:numPr>
        <w:spacing w:after="60"/>
      </w:pPr>
      <w:r>
        <w:t xml:space="preserve">Bonus del primer ejecutivo ligado al beneficio operativo, no a la rentabilidad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empresa no publica una guía anual de ventas ni de beneficio. Objetivos sueltos: 500.000 M de ventas en Europa en 2026 [nota B: 9]; margen operativo del 21-22 % en el 3T26, comunicado a analistas en una llamada privada el 12-oct-2026 [nota C: 8]. Plan de valor: reparto de al menos el 25 % del beneficio [nota C: 4]. Resultados del 3T26 el 30-oct-2026 con conferencia a las 10:00 KST.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3.082.740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742.940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15.212,00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5.506,00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FnGuide, media de 3 meses a 16-oct-2026 [12]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4.257.900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1.044.190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21.394,00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FnGuide [12]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5.302.460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1.320.830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27.194,00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FnGuide [12]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3.069.963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3.082.740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761.351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4.144.451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4.257.900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994.668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4.890.452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5.302.460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1.149.256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520.000,00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410.000,00 – 570.000,00</w:t>
            </w:r>
          </w:p>
        </w:tc>
      </w:tr>
    </w:tbl>
    <w:p>
      <w:pPr>
        <w:spacing w:after="160" w:before="0"/>
      </w:pPr>
    </w:p>
    <w:p>
      <w:pPr>
        <w:pStyle w:val="Heading2"/>
      </w:pPr>
      <w:r>
        <w:t xml:space="preserve">Revisiones de estimaciones</w:t>
      </w:r>
    </w:p>
    <w:p>
      <w:pPr>
        <w:spacing w:after="100"/>
      </w:pPr>
      <w:r>
        <w:t xml:space="preserve">A la baja en octubre. Tras la llamada del 12-oct, siete casas recortaron el objetivo entre el 13 y el 14-oct: SK 560.000→480.000, Daol 560.000→500.000, Hyundai Motor 550.000→510.000, Meritz 550.000→520.000, Shinhan 540.000→510.000, NH 540.000→500.000 y Hana 510.000→410.000 [27, 33]; KIS mantuvo 520.000 y habló de «sobreventa clara» (PER de los próximos doce meses de ≈ 14 veces) [34]. El consenso de beneficio operativo del 3T26 bajó de 196.000 M a ≈ 181.900 M en un mes (ventas de 784.640 M) [12]. Todas las recomendaciones siguen en comprar; el objetivo medio de FnGuide es de 520.000 KRW (Yahoo: 505.185 con 27 analistas) [27, 30].</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salió a bolsa el 27-feb-2024 y cerró 2024 en 50.000 KRW (ajustado por el desdoblamiento 5:1) y 2025 en 231.000 KRW (+362 %) [19]. Llegó a 475.000 KRW el 1-sep-2026 y hoy cotiza a 331.500 (cierre del 19-oct), un 30 % por debajo del máximo y un 62 % por encima del mínimo de 52 semanas (204.000, nov-2025) [19]. En el año sube un ≈ 43 % frente al +34,5 % del KOSPI (empujado por los fabricantes de chips) y el +23,1 % del ETF de cosmética coreana; a un año sube un ≈ 38 % frente al +51 % del KOSPI (datos de Yahoo al 16-oct, llevados al cierre del 19-oct) [19]. Es muy volátil (66 % anual): en 2026 ha tenido meses de +47 % (agosto, por el 2T26) y de −21 % (septiembre, won fuerte), y el 13-oct cayó un 19,6 %, la mayor caída diaria desde que cotiza [33]. A 331.500 KRW cotiza a 28.8 veces el BPA de los últimos doce meses y a 21.8 veces el BPA de 2026e del consenso.</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 / -14,3 % / -10,9 % / +32,0 %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-29,9 % / +54,3 %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6-nov-2025 cayó un 10,5 % el día de los resultados provisionales del 3T25 (ventas de 385.943 M, +122 %; beneficio operativo de 96.128 M) [8, 19]; no hemos encontrado el consenso previo en una fuente primaria.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270.000 (enero) a 424.500 KRW (abril) con los resultados de 2025 (4-feb: ventas +111 %; el 22-ene ya había subido un 11,5 %) y la espera de un 1T26 récord [7, 19]; el 23-mar cayó un 9,7 % sin hecho de la empresa identificado en las fuentes leídas.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385.500 a 320.000 KRW: la bolsa coreana subió con los chips y la cosmética quedó fuera, con la bajada del dólar frente al won [38]; desde el 24-jul, arancel combinado del 12,5 %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récord (5-ago: ventas +134 %, beneficio operativo de 190.553 M, exterior al 92 %) y máximo histórico de 475.000 KRW el 1-sep [5, 16,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won se fortaleció (1.423 KRW/USD de media en el 3T frente a 1.502 en el 2T) y los analistas empezaron a recortar el margen del 3T26 [13,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13-oct cayó un 19,6 % (la mayor caída diaria desde la salida a bolsa; el KOSPI cayó un 5,5 % ese día) tras la llamada privada a analistas del 12-oct en la que la empresa anticipó un margen operativo del 21-22 % para el 3T26 por el won, la logística de Europa y la NIIF 18, y siete recortes de objetivo [13, 29, 33]. Rebotó un 9,2 % el 16-oct y cerró el 19-oct en 331.500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provisionales del 3T26 el 30-oct con conferencia a las 10:00 KST [12]. El margen anticipado (21-22 %) ya está en nuestro 2S26. Unos resultados cercanos no aplazan una compra (reglas 11 y 13 del método).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KRX estudia si la llamada privada del 12-oct infringió la norma de comunicación equitativa (prensa: posible filtración a institucionales) [29]. Sin fecha de decisión; la sanción típica (designación como «empresa de comunicación desleal», puntos de penalización y, como mucho, una multa o un día de suspensión) no cambia el valor del negocio.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objetivo de siete casas (SK 480.000, Daol 500.000, Hyundai Motor 510.000, Meritz 520.000, Shinhan 510.000, NH 500.000, Hana 410.000); todas siguen en comprar; KIS mantiene 520.000 [27, 33,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por absorción de la filial APR Factory (fabricante de aparatos), sin efecto en las cuentas consolidadas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aplica un arancel combinado del 12,5 % a las importaciones coreanas; APR mantiene precios y planes de distribución [20]. Ya está en nuestro margen.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Fidelity (FMR) pasa del 5 % (5,01 %) [26]. Compra de un institucional; sin ventas del fundador ni colocaciones anunciadas.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ha caído un 30 % desde el máximo de 475.000 KRW (1-sep) con causas conocidas: el won fuerte, la rotación de la bolsa coreana hacia los chips y, sobre todo, la previsión de un margen del 21-22 % en el 3T26 que la empresa dio a los analistas en privado el 12-oct. Esa previsión ya está en nuestras cifras (2S26 con margen operativo del 21,5-23 %). El único hecho pendiente sin fecha es la revisión de la KRX sobre esa llamada, de efecto pequeño en el valor. No hay bloqueos, colocaciones ni convertibles pendientes, y el fundador no ha vendido. Los resultados del 30-oct no aplazan nada según el método. Veredicto: no cambia (la recomendación es Mantener por precio, no por noticias).</w:t>
      </w:r>
    </w:p>
    <w:p>
      <w:pPr>
        <w:pStyle w:val="Heading1"/>
      </w:pPr>
      <w:r>
        <w:t xml:space="preserve">17. Múltiplos frente a su historia</w:t>
      </w:r>
    </w:p>
    <w:p>
      <w:pPr>
        <w:pStyle w:val="Confianza"/>
        <w:spacing w:after="100"/>
      </w:pPr>
      <w:r>
        <w:t xml:space="preserve">Confianza: Media</w:t>
      </w:r>
    </w:p>
    <w:p>
      <w:pPr>
        <w:spacing w:after="160" w:before="0"/>
      </w:pPr>
    </w:p>
    <w:p>
      <w:pPr>
        <w:spacing w:after="100"/>
      </w:pPr>
      <w:r>
        <w:t xml:space="preserve">Solo hay dos cierres de ejercicio como cotizada: 2024 (50.000 KRW, 17,7 veces el BPA de 2024 y 6,5 veces el BPA real de 2025) y 2025 (231.000 KRW, 29,9 veces el BPA de 2025 y ≈ 16 veces el de 2026 en nuestra estimación) [19]. El PER adelantado de 2024 (6,5x) mide la sorpresa del crecimiento de 2025 (el BPA pasó de 2.819 a 7.718 KRW, +174 %) más que una valoración: lo excluimos como BPA atípico y lo decimos en el objetivo a 12 meses. Con dos años de historia no hay mediana útil: el método aplica la regla de historia corta.</w:t>
      </w:r>
    </w:p>
    <w:p>
      <w:pPr>
        <w:pStyle w:val="Heading1"/>
      </w:pPr>
      <w:r>
        <w:t xml:space="preserve">18. Comparables cotizados</w:t>
      </w:r>
    </w:p>
    <w:p>
      <w:pPr>
        <w:pStyle w:val="Confianza"/>
        <w:spacing w:after="100"/>
      </w:pPr>
      <w:r>
        <w:t xml:space="preserve">Confianza: Media</w:t>
      </w:r>
    </w:p>
    <w:p>
      <w:pPr>
        <w:spacing w:after="100"/>
      </w:pPr>
      <w:r>
        <w:t xml:space="preserve">Marcas y grupos de cosmética coreanos cotizados (d'Alba, VT, Clio, Amorepacific, LG H&amp;H), el distribuidor Silicon2, los fabricantes por encargo (Kolmar Korea, Cosmax), Classys (aparatos de estética) y tres referencias fuera de Corea (e.l.f. Beauty en EE. UU., L'Oréal y Shiseido). PER de los próximos 12 meses = precio ÷ (0,2 × BPA 2026e + 0,8 × BPA 2027e) de Yahoo; en e.l.f., ejercicios a marzo de 2027 y 2028. EV/EBITDA de los próximos 12 meses en blanco: Yahoo no da un EBITDA futuro homogéneo.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12.411.360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d'Alba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2.100.632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Amorepacific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9.546.358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LG H&amp;H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4.607.912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Silicon2</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2.241.767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437.804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Clio Cosmetics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Kolmar Korea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3.028.531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Cosmax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3.227.841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Classys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1.953.330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e.l.f. Beauty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8.982.897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318.527.103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Shiseido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11.821.448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605.156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 / 12,8x / 14,6x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143.965,23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210.639,07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240.137,19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14,9x / 22,1x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196.544,85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301.368,77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444.997,70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2.294.466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 / 1,7x / 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86.021,65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106.398,52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204.912,25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-67,9 %</w:t>
            </w:r>
          </w:p>
        </w:tc>
      </w:tr>
    </w:tbl>
    <w:p>
      <w:pPr>
        <w:spacing w:after="160" w:before="0"/>
      </w:pPr>
    </w:p>
    <w:p>
      <w:pPr>
        <w:spacing w:after="100"/>
      </w:pPr>
      <w:r>
        <w:t xml:space="preserve">La cosmética coreana cotiza en dos grupos: los grupos maduros, los fabricantes y las marcas cuyo producto estrella ya pasó (VT, Clio, Silicon2, Classys) a 8-10 veces el BPA de los próximos doce meses, y los que tienen crecimiento o recuperación (d'Alba 12,7x, Kolmar 13,6x, Cosmax 16,3x, LG H&amp;H 17,2x, Amorepacific 20,5x). Las referencias globales (L'Oréal, Shiseido, e.l.f.) cotizan a 27-30 veces. Mediana del grupo: 15 veces. APR, a 331.500 KRW, cotiza a 16.6 veces el BPA del consenso de Yahoo y a ≈ 17 veces el nuestro (2027e), con más crecimiento y más margen que todos: la prima frente a d'Alba (≈ 13 veces) es el precio de ser la marca líder, y el descuento frente a e.l.f. o L'Oréal, el de la moda y Corea.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COSRX (54,8 %, hasta el 93,2 %)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Amorepacific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755.100 M por el 54,8 % = ≈ 1,38 billones por el 100 % (capital, aproximación al valor empresa). Múltiplos sobre el 1S23 anualizado (ventas ≈ 380.400 M, beneficio operativo ≈ 143.400 M, usado como EBITDA). Dato de la nota de d'Alba del repositorio (Etoday y News Tomato).</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Las marcas coreanas de éxito se han comprado a unas 3-4 veces las ventas y unas 10 veces el beneficio operativo (COSRX, 2023). APR vale hoy en bolsa ≈ 12.2 billones de valor empresa, 5.3 veces las ventas y 20.7 veces el EBITDA de los últimos doce meses: el doble que COSRX. El fundador controla el 35 %: una compra no es probable.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55,8 % anual entre 2021 y 2025 (259.146 M a 1.527.345 M) [1, 2], todo orgánico, y un 129 % en el 1S26 (1.360.889 M) [3]. Proyectamos 3.070.000 M en 2026e (+101 %: el 1S publicado y un 2S de ≈ 1.709.000 M con un 3T de ≈ 780.000 M, en línea con el consenso de 784.640 M [12]), un 35 % en 2027e (año completo de Costco, Walmart, Target y CVS en EE. UU. y de Europa) y un 18 % en 2028e, bajando al 4 % en 2033e. Es algo menos que el consenso (+38 % y +25 %) [12] porque la moda de la cosmética coreana no durará siempre al ritmo de 2025-2026 y la base de comparación de 2027 ya es de 3 billones. El mercado mundial de belleza crece un ≈ 4 % anual [18] y las exportaciones coreanas de cosmética un 30-40 % en 2026 [17].</w:t>
      </w:r>
    </w:p>
    <w:p>
      <w:pPr>
        <w:keepNext/>
        <w:spacing w:after="100"/>
      </w:pPr>
      <w:r>
        <w:rPr>
          <w:b/>
          <w:bCs/>
        </w:rPr>
        <w:t xml:space="preserve">Márgenes.</w:t>
      </w:r>
    </w:p>
    <w:p>
      <w:pPr>
        <w:spacing w:after="100"/>
      </w:pPr>
      <w:r>
        <w:t xml:space="preserve">El margen EBITDA pasó del 8,3 % (2021) al 25,9 % (2025), y el operativo fue del 25,2 % en el 1S26 [1, 3]. ¿Se mantiene? Proyectamos un margen EBITDA del 24,8 % en 2026e (3T26 con un margen operativo del 21,5 %, la previsión de la empresa a los analistas [13], y 4T del 23 %), del 24 % en 2027e y bajando al 21 % en 2033e. La razón: la publicidad y las comisiones de plataformas subieron del 30,7 % de las ventas en el 1S25 al 39,2 % en el 1S26 [3]; la entrada en cadenas físicas y en Europa exige más gasto, el arancel de EE. UU. es del 12,5 % desde julio y el won fuerte resta un punto de margen por cada 5 % de bajada del dólar [17, 20].</w:t>
      </w:r>
    </w:p>
    <w:p>
      <w:pPr>
        <w:keepNext/>
        <w:spacing w:after="100"/>
      </w:pPr>
      <w:r>
        <w:rPr>
          <w:b/>
          <w:bCs/>
        </w:rPr>
        <w:t xml:space="preserve">Inversión y circulante.</w:t>
      </w:r>
    </w:p>
    <w:p>
      <w:pPr>
        <w:spacing w:after="100"/>
      </w:pPr>
      <w:r>
        <w:t xml:space="preserve">Capex del 1,8 % de las ventas: inmovilizado (1,2 % en 2025 y en el 1S26) más las altas de derechos de uso de almacenes y oficinas (pagos de arrendamientos del 0,7-1,1 % de las ventas); amortización del 1,2 % (la de 2026: ≈ 36.000 M) [1, 3]. Circulante del 10 % de las ventas (7,4 % en 2025 y ≈ 10 % de las ventas anualizadas del 2T26, tras la subida de existencias para las tiendas de EE. UU. y Europa) [3].</w:t>
      </w:r>
    </w:p>
    <w:p>
      <w:pPr>
        <w:keepNext/>
        <w:spacing w:after="100"/>
      </w:pPr>
      <w:r>
        <w:rPr>
          <w:b/>
          <w:bCs/>
        </w:rPr>
        <w:t xml:space="preserve">Coste del capital.</w:t>
      </w:r>
    </w:p>
    <w:p>
      <w:pPr>
        <w:spacing w:after="100"/>
      </w:pPr>
      <w:r>
        <w:t xml:space="preserve">Todo en KRW: bono coreano a 10 años del 4,45 % (septiembre de 2026, FRED/OCDE) [31]. Beta de 1,0: la medida frente al KOSPI es de 0,42 mensual y 0,52 semanal (0,61-0,65 ajustadas) con 32 meses de historia y una volatilidad del 66 % [19]; es baja porque el KOSPI lo mueven los chips, y no refleja el riesgo de una marca de consumo de moda. Prima de mercado del 5,5 % (4,2 % implícita en EE. UU. [32] más riesgo de Corea) y prima adicional de 1,5 puntos: dependencia de la moda coreana, de EE. UU. (la mitad de las ventas) y de Amazon, y aranceles. Sin deuda: WACC del 11,45 %, el mismo que en d'Alba, la otra marca coreana del repositorio.</w:t>
      </w:r>
    </w:p>
    <w:p>
      <w:pPr>
        <w:keepNext/>
        <w:spacing w:after="100"/>
      </w:pPr>
      <w:r>
        <w:rPr>
          <w:b/>
          <w:bCs/>
        </w:rPr>
        <w:t xml:space="preserve">Valor terminal.</w:t>
      </w:r>
    </w:p>
    <w:p>
      <w:pPr>
        <w:spacing w:after="100"/>
      </w:pPr>
      <w:r>
        <w:t xml:space="preserve">Crecimiento a perpetuidad del 3,0 %, por debajo del bono coreano (4,45 %) y del mercado de belleza (≈ 4 %): supone que en 2033 la marca es madura. El valor terminal pesa el 58 % del valor; el múltiplo de salida implícito es de 8,0 veces el EBITDA, por debajo de los 12-15 veces de la cosmética mundial [18]: prudente para una marca sin foso.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3.069.963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761.351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4.144.451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994.668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240.958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571.661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529.551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4.890.452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1.149.256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708.532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589.204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5.477.306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1.259.780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304.483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798.020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595.057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5.970.264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1.343.309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324.275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862.274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576.955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6.388.182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1.405.400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338.829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909.792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546.249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6.707.591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1.442.132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347.218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942.236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507.862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6.975.895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1.464.938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352.213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125.566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960.328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464.135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11.705.779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17.579.255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3.873.830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5.362.879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9.236.710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204.360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9.377.040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250.455,12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261.942,39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272.250,50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283.942,25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297.316,27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312.763,77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247.208,82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256.112,31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266.135,74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277.504,59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290.509,24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234.054,01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241.796,44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250.455,12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260.202,95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271.259,21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222.239,02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229.012,68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236.543,16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244.964,83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254.445,82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211.570,70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217.529,21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224.118,26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231.443,51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239.635,65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206.090,98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214.994,83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224.283,13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233.970,02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244.070,04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217.913,48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227.433,70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237.369,12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247.735,23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258.547,93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229.735,98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239.872,57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250.455,12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261.500,44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273.025,81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241.558,48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252.311,44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263.541,12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275.265,64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287.503,70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253.380,98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264.750,31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276.627,12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289.030,85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301.981,58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845.832 M (12 %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 (reinvierte el 20 %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 (histórico: 121,9 %)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 frente al 23,9 %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 (hoy: 0,5 %)</w:t>
            </w:r>
          </w:p>
        </w:tc>
      </w:tr>
    </w:tbl>
    <w:p>
      <w:pPr>
        <w:spacing w:after="160" w:before="0"/>
      </w:pPr>
    </w:p>
    <w:p>
      <w:pPr>
        <w:spacing w:after="100"/>
      </w:pPr>
      <w:r>
        <w:t xml:space="preserve">La proyección apenas necesita inversión neta de la amortización (reinversión acumulada de 845.832 M, el 12 % del NOPAT, con un capex bruto medio del 1,8 % de las ventas). En un negocio de activos ligeros, el crecimiento medio del 23,9 % tiene que salir de subir precios y de ganar volumen sin capital nuevo, y la prueba es el poder de precios y la cuota (1,1 % del mercado en 2030e, frente al 0,5 %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+93 %: Europa (Amazon en cinco países, objetivo de 500.000 M [22]) y EE. UU. (Amazon más Ulta, Target, Walmart y Nordstrom) [5]; precio y mezcla del +2 %; 6 puntos de categorías nuevas (protector solar con colágeno, PDRN, nuevos aparatos).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+30 % (año completo de Costco con ≈ 400 tiendas, Walmart y CVS; Europa en tiendas), precio del +2 % y 3 puntos de categorías nuevas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+15 %, precio del +2 % y un punto de categorías nuevas.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+10 % y precio del +1,5 %.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+7,5 % y precio del +1,5 %. Ventas de 5,97 billones de KRW: el 1,1 % del mercado mundial de belleza en 2030e (≈ 545 billones de KRW [18]) frente al 0,5 % de hoy.</w:t>
            </w:r>
          </w:p>
        </w:tc>
      </w:tr>
    </w:tbl>
    <w:p>
      <w:pPr>
        <w:spacing w:after="160" w:before="0"/>
      </w:pPr>
    </w:p>
    <w:p>
      <w:pPr>
        <w:spacing w:after="100"/>
      </w:pPr>
      <w:r>
        <w:t xml:space="preserve">Sí. Las tres pruebas pasan: el crecimiento proyectado (23,9 % de media en 2026e-2033e, 12,9 % sin 2026e) es menos de la mitad del histórico (55,8 % en 2021-2025); crecer consume poco capital (reinversión del 12 % del NOPAT, con un ROIC del 100,2 % en 2025 y un incremental del 121,9 %); y la cuota implícita en 2030 (1,1 % del mercado mundial de belleza) sigue siendo pequeña. El riesgo no es de capital sino de demanda: la marca no tiene foso (cambiar de crema no cuesta nada) y depende de la moda coreana, de EE. UU. y de Amazon [3, 19]. Por eso el crecimiento proyectado está por debajo del consenso.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19,4 % (base: 12,9 %)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27,2 % (base: 21,0 %)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 (WACC: 11,4 %)</w:t>
            </w:r>
          </w:p>
        </w:tc>
      </w:tr>
    </w:tbl>
    <w:p>
      <w:pPr>
        <w:spacing w:after="160" w:before="0"/>
      </w:pPr>
    </w:p>
    <w:p>
      <w:pPr>
        <w:spacing w:after="100"/>
      </w:pPr>
      <w:r>
        <w:t xml:space="preserve">El DCF da 250.455 KRW por acción, un 24,4 % por debajo del precio, con el valor terminal en el 58 % del valor. El precio de 331.500 KRW equivale a que las ventas crezcan un 19,4 % al año desde 2027 (base 12,9 %) o a un margen EBITDA del 27,2 % para siempre (base 21 %): el mercado descuenta un crecimiento cercano al del consenso y un margen que la empresa no ha tenido nunca en un año entero. La rentabilidad implícita es del 9,4 % anual frente a un WACC del 11,45 %. Con medio punto menos de WACC el valor sube a 266.136 KRW; con dos puntos menos de margen en toda la proyección baja a 224.283 KRW; la tabla de sensibilidad va de 206.091 a 312.764 KRW. Ninguna combinación razonable llega al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109.331,41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moda de la cosmética coreana se enfría en EE. UU. y Europa, Amazon sube comisiones y hay que gastar más en publicidad: 10 puntos menos de crecimiento desde 2027 (las ventas se estancan desde 2029) y margen EBITDA 6 puntos más bajo (≈ 15-18 %), crecimiento terminal del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250.455,12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al 35 % en 2027 y al 18 % en 2028 con las tiendas de EE. UU. y Europa; margen EBITDA del 24 % bajando al 21 %; reparto de un 25-65 % del beneficio.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335.909,99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llega a las ventas del consenso (≈ 5,3 billones en 2028) y mantiene el margen de hoy: 5 puntos más de crecimiento y 1,5 puntos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KRW) · precio actual 331.5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236.537,91 KRW (-28,6 %).</w:t>
      </w:r>
    </w:p>
    <w:p>
      <w:pPr>
        <w:spacing w:after="100"/>
      </w:pPr>
      <w:r>
        <w:t xml:space="preserve">En el DCF el bajista (109.331 KRW) pierde un 67,0 % y el alcista (335.910 KRW) gana un 1,3 %: el precio ya está en nuestro alcista. A 12 meses, con el PER propio, el bajista pierde un 45,3 % y el alcista gana un 26,3 %. La tesis alcista necesita que la empresa cumpla las cifras del consenso (BPA de 27.194 KRW en 2028e); nuestro base (21.894) ya supone casi duplicar el beneficio de los últimos doce meses.</w:t>
      </w:r>
    </w:p>
    <w:p>
      <w:pPr>
        <w:pStyle w:val="Heading1"/>
      </w:pPr>
      <w:r>
        <w:t xml:space="preserve">22. Suma de partes</w:t>
      </w:r>
    </w:p>
    <w:p>
      <w:pPr>
        <w:pStyle w:val="Confianza"/>
        <w:spacing w:after="100"/>
      </w:pPr>
      <w:r>
        <w:t xml:space="preserve">Confianza: Media</w:t>
      </w:r>
    </w:p>
    <w:p>
      <w:pPr>
        <w:spacing w:after="100"/>
      </w:pPr>
      <w:r>
        <w:t xml:space="preserve">No la hacemos: cosmética y aparatos se venden con la misma marca (Medicube), por los mismos canales, y la empresa no publica el resultado de cada línea.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KRW) · precio actual 331.5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331.500,00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570.000,00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196.544,85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301.368,77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444.997,70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229.012,68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250.455,12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277.504,59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109.331,41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236.537,91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335.909,99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276.537,79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295.832,65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318.054,89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329.842,50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331.500,00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333.157,50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250.455,12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301.368,77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236.537,91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256.462,69 KRW (-22,6 % sobre 331.500,00).</w:t>
      </w:r>
    </w:p>
    <w:p>
      <w:pPr>
        <w:spacing w:after="100"/>
      </w:pPr>
      <w:r>
        <w:t xml:space="preserve">Pesamos el DCF un 50 %, los escenarios un 30 % y los comparables un 20 %. El DCF da 250.455 KRW (−24,4 %) con un WACC del 11,45 % y el valor terminal en el 58 % del valor; los escenarios van de 109.331 (bajista) a 335.910 KRW (alcista); los comparables por PER de los próximos doce meses dan 301.369 KRW (mediana de 15 veces). El valor intrínseco ponderado es de 256.463 KRW, un 22,6 % por debajo del precio. Con la prima implícita del mercado (4,2 %) el DCF sale 295.833 KRW, aún por debajo del precio. Las transacciones no se usan para el valor: la de COSRX (≈ 3,6 veces las ventas, 2023) es de control y de una marca más pequeña.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13.637,69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181.381,28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21.893,86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(17.5x) a mitad de camino hacia abajo, hacia la mediana de 5 años (15.8x)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363.438,08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25.228,18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418.787,79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+27,9 %</w:t>
            </w:r>
          </w:p>
        </w:tc>
      </w:tr>
    </w:tbl>
    <w:p>
      <w:pPr>
        <w:spacing w:after="160" w:before="0"/>
      </w:pPr>
    </w:p>
    <w:p>
      <w:pPr>
        <w:spacing w:after="100"/>
      </w:pPr>
      <w:r>
        <w:rPr>
          <w:b/>
          <w:bCs/>
        </w:rPr>
        <w:t xml:space="preserve">Objetivo a 12 meses (ponderado):</w:t>
      </w:r>
      <w:r>
        <w:t xml:space="preserve"> 331.761,31 KRW · rentabilidad +1,6 % (base +11,2 %) · señal Mantener.</w:t>
      </w:r>
    </w:p>
    <w:p>
      <w:pPr>
        <w:spacing w:after="100"/>
      </w:pPr>
      <w:r>
        <w:t xml:space="preserve">Para comparar, con la regla v2 (historia al cierre, mismo precio): 14,8x / 17,5x / 22,7x, 17,7 % Mantener. Decide la v3 con tope ×1,1, elegida por el selector de método (historia adelantada de 1 años: decide la más baja de v3 y v2 (v3); METODO-VIGENTE.md).</w:t>
      </w:r>
    </w:p>
    <w:p>
      <w:pPr>
        <w:keepNext/>
        <w:spacing w:after="100"/>
      </w:pPr>
      <w:r>
        <w:rPr>
          <w:b/>
          <w:bCs/>
        </w:rPr>
        <w:t xml:space="preserve">Frente al consenso (solo contraste).</w:t>
      </w:r>
    </w:p>
    <w:p>
      <w:pPr>
        <w:spacing w:after="100"/>
      </w:pPr>
      <w:r>
        <w:t xml:space="preserve">Nuestro BPA de 2027e (18.997 KRW) está un 11 % por debajo del consenso de FnGuide (21.394 KRW) y el de 2028e (21.894 KRW) un 19,5 % por debajo (27.194 KRW) [12]. La diferencia está más en el margen que en las ventas: el consenso supone ventas de 4,26 billones en 2027e (+38 %) y 5,30 billones en 2028e con un margen operativo del 24,5-24,9 %; nosotros, 4,14 billones (+35 %) y 4,89 billones (+18 %) con un margen operativo del 22,8 % y del 22,3 %, porque la publicidad y las comisiones ya suben (del 30 % al 39 % de las ventas entre el 1S25 y el 1S26) [3], el won fuerte resta y el arancel del 12,5 % lo paga la empresa [20]. Nuestro precio base a 12 meses (363.438 KRW) queda un 30 % por debajo del objetivo medio de los 22 analistas (520.000 KRW, rango 410.000-570.000) [27].</w:t>
      </w:r>
    </w:p>
    <w:p>
      <w:pPr>
        <w:keepNext/>
        <w:spacing w:after="100"/>
      </w:pPr>
      <w:r>
        <w:rPr>
          <w:b/>
          <w:bCs/>
        </w:rPr>
        <w:t xml:space="preserve">Del valor intrínseco al objetivo a 12 meses.</w:t>
      </w:r>
    </w:p>
    <w:p>
      <w:pPr>
        <w:spacing w:after="100"/>
      </w:pPr>
      <w:r>
        <w:t xml:space="preserve">El objetivo a 12 meses (331.761 KRW, ponderado 25/50/25) da un 1,6 % con dividendo (11,2 % el base): lejos del 15 % que pide la regla para comprar. El base es un PER de 16,6x (a mitad de camino entre el actual, 17,5x, y el único cierre adelantado útil, 15,8x) sobre un BPA de 2028e de 21.894 KRW, más un 1,5 % de dividendo (5.090 KRW de 2025). El BPA de 2028e supone un 41,6 % anual desde 2025, pero un 29 % desde los últimos doce meses (11.522 KRW): 2025 es un año de transición. El bajista (13,3x sobre 13.638) pierde un 45,3 %; el alcista (16,6x sobre 25.228) gana un 26,3 %. Con historia corta el selector compara v3 (1,6 %) y v2 (17,7 %) y se queda con la más baja. Para que la regla diera comprar haría falta un precio de ≈ 255.000 KRW o un BPA de 2028e cercano al del consenso.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2026-10-30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provisionales del 3T26 y conferencia a las 10:00 KST (anunciados el 16-oct) [12]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anticipó un margen operativo del 21-22 %; el consenso espera 784.640 M de ventas y ≈ 181.900 M de beneficio operativo (23,2 %) [12, 13]: un margen del 22 % con ventas por encima de 780.000 M despejaría la duda; uno por debajo del 20 %, no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 a 2026-12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 Friday y Navidad en EE. UU.; Costco (≈ 400 tiendas) y CVS (≈ 3.000) antes de fin de año [21]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físicas en Norteamérica; refuerza el 4T26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 a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Devolución de los aranceles IEEPA (≈ 20.000-25.000 M) por partes [14]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 no recurrente que mejora el margen contable de varios trimestres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dividendo final y nuevo plan de valor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reparto (el de 2025 fue del 66 %) o recompras para amortizar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Decisión de la KRX sobre la comunicación selectiva del 12-oct [29]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Sanción leve probable (puntos de penalización, multa o un día de suspensión); daño de reputación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moda de la cosmética coreana pasa en EE. UU. y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 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−45,3 % a 12 meses en el bajista (13,3x × 13.638); DCF de 109.331 KRW con 10 puntos menos de crecimiento y 6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Productos de varias líneas (almohadillas, colágeno, PDRN, protector solar) y aparatos que fidelizan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Exportaciones coreanas de cosmética creciendo menos del 10 % o ventas de Norteamérica planas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Amazon y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Canal / concentración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Norteamérica es el 49 % de las ventas (2T26) y Amazon el canal principal (cliente A: ≈ 12 % solo como cliente directo) [3, 5]; una subida de comisiones de 2 puntos ≈ −2 puntos de margen (DCF de 224.283 KRW)</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Ulta, Target, Walmart, Costco y CVS y en Europa [5,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venta por encima del 20 % de las ventas o caída en los rankings de Amazon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won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Arancel del 12,5 % desde el 24-jul-2026 sin subir precios [20]; ≈ 1 punto de margen por cada 5 % de bajada del dólar [17]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78 %; envío por barco en vez de avión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USD/KRW por debajo de 1.300 o arancel más alto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otras marcas coreanas y gasto en publicidad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Publicidad del 22,2 % de las ventas en el 2T26 (15,9 % un año antes) [3]</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y marca líder en Amazon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Publicidad por encima del 23 % de las ventas sin más crecimiento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y calidad del beneficio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Existencias +124 % y clientes +110 % en el 1S26; flujo operativo del 33 % del beneficio [3]</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289.268 M sin deuda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por encima de 400.000 M o descuentos para darles salida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comunicación selectiva y fundador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cuantificado; posible sanción de la KRX [29]</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con mayoría de independientes y presidente independiente [24]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sanción o salida de directivos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medio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Neutral a 3-5 años; no se recoge en ningún escenario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producto es físico; la IA abarata el contenido de marketing</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Agentes de compra que recomienden por precio y reseñas, no por marca</w:t>
            </w:r>
          </w:p>
        </w:tc>
      </w:tr>
    </w:tbl>
    <w:p>
      <w:pPr>
        <w:spacing w:after="160" w:before="0"/>
      </w:pPr>
    </w:p>
    <w:p>
      <w:pPr>
        <w:pStyle w:val="Heading2"/>
      </w:pPr>
      <w:r>
        <w:t xml:space="preserve">Pre-mortem</w:t>
      </w:r>
    </w:p>
    <w:p>
      <w:pPr>
        <w:spacing w:after="100"/>
      </w:pPr>
      <w:r>
        <w:t xml:space="preserve">Octubre de 2027: la acción ha perdido un 40 %. El 3T26 confirmó el margen del 21 % y el 4T26 no lo recuperó: el arancel, el won y la publicidad para defender el puesto en Amazon se comieron la escala. En 2027 las ventas crecieron un 20 % y no el 38 % del consenso; las existencias de las tiendas de EE. UU. obligaron a descuentos. El mercado pasó a pagar 12-13 veces el beneficio, como a d'Alba. Las señales: Norteamérica creciendo menos del 30 %, publicidad y comisiones por encima del 40 % de las ventas y existencias que siguen subiendo.</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Neutral · </w:t>
      </w:r>
      <w:r>
        <w:rPr>
          <w:b/>
          <w:bCs/>
        </w:rPr>
        <w:t xml:space="preserve">Efecto en valor (3-5 años):</w:t>
      </w:r>
      <w:r>
        <w:t xml:space="preserve"> ≈ 0 % a 3-5 años; no se recoge en ningún escenario</w:t>
      </w:r>
    </w:p>
    <w:p>
      <w:pPr>
        <w:spacing w:after="100"/>
      </w:pPr>
      <w:r>
        <w:t xml:space="preserve">La IA no sustituye una crema ni un aparato, pero cambia cómo se descubren y se compran: los agentes de compra y los buscadores conversacionales de Amazon pueden recomendar por ingredientes, reseñas y precio, y quitar valor a la marca que vive del marketing en redes (es la advertencia de la ficha sectorial) [18]. A favor, la IA abarata el contenido y las campañas por país, que son el gran gasto de APR. La señal: que el tráfico de Amazon venga de recomendaciones automáticas y Medicube pierda posiciones frente a marcas más baratas.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que toca las cifras: (1) la publicidad y las afirmaciones de eficacia (dos sanciones del MFDS por presentar cosméticos como medicamentos; en EE. UU., la FTC y las demandas colectivas) [3]; (2) la seguridad de producto en aparatos eléctricos de uso facial (certificaciones, retiradas); (3) gobierno: el fundador controla el 35 % con sus relacionados y el consejo tiene mayoría de independientes. Impacto ambiental bajo: envases y transporte aéreo.</w:t>
      </w:r>
    </w:p>
    <w:p>
      <w:pPr>
        <w:pStyle w:val="Heading2"/>
      </w:pPr>
      <w:r>
        <w:t xml:space="preserve">Controversias</w:t>
      </w:r>
    </w:p>
    <w:p>
      <w:pPr>
        <w:spacing w:after="100"/>
      </w:pPr>
      <w:r>
        <w:t xml:space="preserve">Suspensiones de publicidad del MFDS en enero de 2025 (2 meses) y enero de 2026 (4 meses); multa de aduanas de 66 M por control de cambios (2025) [3]. En octubre de 2026, posible revisión de la KRX por la comunicación selectiva de la previsión del 3T26 a analistas (nota D).</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viene de Amazon (EE. UU., Europa, Japón) y qué comisión y publicidad paga?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canal principal y no se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margen del 3T26 (21-22 %) es won, logística de Europa y NIIF 18, y cuánto vuelve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deja el margen operativo en el 22-23 %.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cuesta al año el arancel del 12,5 % y por qué no se sube el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lo absorbe.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subieron las existencias a 369.884 M y cuánto es para las tiendas físicas?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flujo operativo del 1S26 fue un tercio del beneficio.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Comunicación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dio la previsión del 3T26 en una llamada privada y no en un aviso público?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KRX lo revisa; afecta a la confianza.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Reparto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harán con la caja (≈ 290.000 M sin deuda) más allá del 25 % mínimo de reparto?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recompras o dividendos mejoran la rentabilidad.</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Naver (종목토론실), 13 al 15-oct-2026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Indignación tras la caída del 19,6 %: «se dio la información antes a los institucionales», quejas de compras a crédito y ventas forzosas, «24,5 se ve», críticas al fundador y a la recompra «de solo 30.000 M»; una minoría compra «en el miedo»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Naver, 16 al 19-oct-2026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rebote del 16-oct (+9,2 %): «a 40 (400.000)», comentarios sobre la subida de e.l.f. y la cosmética en EE. UU., el récord del Prime Day (+85 %) y Costco; persiste la sospecha sobre la llamada a analistas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y análisis coreanos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Posible filtración de información en la llamada del 12-oct y revisión de la KRX [29]; KIS habla de «sobreventa clara» a 14 veces el beneficio [34]; en julio, la cosmética quedó fuera de la subida de la bolsa por los chips y el won [38].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Filtración a institucionales en la llamada del 12-oct</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parte: la acción cayó desde las 15:10 del 12-oct y los informes salieron al día siguiente; la KRX estudia si hubo infracción [29]. Es un problema de gobierno (sanción leve probable), no de negocio.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a crédito y ventas forzosas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Plausible: hubo ventas forzosas el 13-oct con el KOSPI −5,5 %; es flujo, no negocio. Sin dato oficial de saldo de crédito en las fuentes leídas.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won fuerte y el margen del 3T26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el 92 % de las ventas es fuera de Corea; Shinyoung estima un punto de margen menos por cada 5 % de bajada del dólar (nota B).</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en EE. UU. y Europa (Prime Day, Costco)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ventas en EE. UU. +85 % en los días de ofertas de Amazon de octubre y entrada en ≈ 400 Costco (nota B).</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pequeñas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Parcial: reparte sobre todo con dividendo (66 % del beneficio de 2025) (nota A).</w:t>
            </w:r>
          </w:p>
        </w:tc>
      </w:tr>
    </w:tbl>
    <w:p>
      <w:pPr>
        <w:spacing w:after="160" w:before="0"/>
      </w:pPr>
    </w:p>
    <w:p>
      <w:pPr>
        <w:spacing w:after="100"/>
      </w:pPr>
      <w:r>
        <w:t xml:space="preserve">Los particulares coreanos están heridos tras la caída de 475.000 a 283.000 KRW en seis semanas y desconfían de la empresa por la llamada privada a analistas; hablan más de flujos (crédito, ventas en corto, institucionales) que del negocio, que sigue creciendo más del 100 %. Coinciden con los analistas en el miedo al margen del 3T26, pero no en el fondo: las 22 casas recomiendan comprar con objetivos de 410.000-570.000 KRW. No hay euforia; hay cansancio y una minoría que compra en el miedo.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3 explicados. Fuentes: 38 (16 primarias); citas distintas en el texto: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97 % y los ingresos un 38 %: si hubo una compra cerca del cierre, decláralo en financieros.cambios_perimetro y explícalo. Explicación: No hubo compras: el activo creció un 97 % en 2024 porque se activaron los derechos de uso de la nueva sede y de almacenes (los arrendamientos pasaron de 12.423 a 106.718 M), se construyó la segunda planta de aparatos (inmovilizado de 14.188 a 51.364 M) y las existencias casi se duplicaron (de 56.521 a 109.746 M) antes del salto de ventas de 2025 [1]. Las filiales nuevas son de creación propia.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1,1 % en 2030e frente al 0,5 %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10,0 % frente a 7,4 % real: genera una variación de circulante de 193.494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536.013 M de flujo libre medio en sus tres primeros años, frente a 136.814 M de media real en los tres últimos: justifica el salto (circulante, inversión, márgenes) o ajusta los supuestos. Explicación: La media real de 2023-2025 (136.814 M) es la de una empresa mucho más pequeña: las ventas pasaron de 523.809 M (2023) a 1.527.345 M (2025) y el flujo libre de 2024 se lo comieron la fábrica (capex de 47.822 M) y las existencias. El flujo libre real de 2025 fue de 305.166 M (flujo operativo de 341.046 M menos capex, arrendamientos e intereses) [1]. Los 536.013 M de media de 2026e-2028e salen de un beneficio operativo de 724.511-1.090.571 M con capex del 1,8 % y circulante del 10 % de las ventas; en 2026e el circulante resta 193.494 M, coherente con el 1S26, en el que la acumulación de existencias y clientes dejó el flujo operativo en 86.404 M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(21.893,86) supone un 41,6 % anual desde 7.718,00 (2025): explícalo en valoracion.objetivo_12m.comentario o la confianza es baja. Explicación: El BPA de 2025 (7.718 KRW) es el de una empresa que duplicó ventas en el año: el del 1S26 ya es de 6.913 KRW (+121 %) y el de los últimos doce meses de 11.522 KRW [3]. Desde ahí hasta nuestro 2028e (21.894 KRW) el crecimiento es del 29 % anual, y desde nuestro 2026e (14.612 KRW, con el 1S publicado) del 22 %. Nuestro 2028e queda un 19,5 % por debajo del consenso (27.194 KRW) [12]. Va explicado en el comentario del objetivo a 12 meses.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fuentes (16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23, 25, 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previo de cada trimestre y BPA de 3T24-2T25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FnGuide (BPA trimestral solo desde el 3T25; consenso solo vigente); 2) presentaciones de la empresa (sin BPA ni consenso); 3) prensa (cifras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libre de los últimos doce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semestral de 2026 (solo 1S26 y 1S25 del estado de flujos con el desglose del 1S26); 2) informe semestral de 2025 (no descargado); 3) FnGuide (sin flujos trimestrales)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KCGS (sin calificación encontrada en la búsqueda); 2) MSCI (sin ficha pública); 3) informe anual 2025 (no menciona calificaciones)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margen de Goodai Global (Beauty of Joseon, Tirtir, Skin1004) y Anua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cotizan; 2) DART, informes de auditoría (no leídos por tiempo); 3) prensa (cifras dispersas)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consejeros y directivos de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DART, búsqueda de 임원ㆍ주요주주특정증권등소유상황보고서 (no hecha por tiempo); 2) FnGuide (solo accionistas principales); 3) prensa (sin ventas del fundador)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insiders_sin_operaciones en false por no haberlo comprobado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KRX (data.krx.co.kr sin acceso desde este entorno); 2) FnGuide (no la publica); 3) foro de Naver (solo comentarios sobre ventas en corto)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 de múltiplos de más de dos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Salida a bolsa en febrero de 2024: no existe; 2) FnGuide (PER de 2024 y 2025); 3) folleto de la salida a bolsa (valoración por comparables, no leída)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regla de historia corta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사업보고서 2025 (informe anual): estados consolidados K-IFRS de 2025, 2024 y 2023 auditados por Hyundai Accounting (현대회계법인), notas (gastos comerciales, amortizaciones, flujos), ventas por producto, región y canal, dividendos, consejo y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https://dart.fss.or.kr/dsaf001/main.do?rcpNo=20260323001257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사업보고서 2023 (informe anual): estados consolidados de 2023, 2022 reexpresado (participadas e impuesto diferido) y 2021, auditados por Deloitte Anjin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https://dart.fss.or.kr/dsaf001/main.do?rcpNo=20240321000964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반기보고서 2026 (informe semestral, revisión limitada): estados consolidados a 30-jun-2026 con NIIF 18 adoptada por adelantado, 2T26 y 1S26, gastos comerciales, ventas por producto y región, accionistas, sanciones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https://dart.fss.or.kr/dsaf001/main.do?rcpNo=20260814002503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사업보고서 2022 (informe anual): cuentas de 2022 y 2021 publicadas antes de la reexpresión, gastos comerciales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https://dart.fss.or.kr/dsaf001/main.do?rcpNo=20230329001036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2026년 2분기 경영실적 (presentación de resultados del 2T26): ventas por línea y región, cuenta y balance resumidos con NIIF 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https://apr-in.aprd.io/ir/APR_%EA%B2%BD%EC%98%81%EC%8B%A4%EC%A0%81_2Q26_KOR_vF.pdf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2026년 1분기 경영실적 (presentación de resultados del 1T26): ventas por línea y región (EE. UU. 42 % de las ventas), serie trimestral desde el 1T23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https://apr-in.aprd.io/ir/APR_%EA%B2%BD%EC%98%81%EC%8B%A4%EC%A0%81_1Q26_KOR_vF.pdf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연결재무제표기준영업(잠정)실적 (resultados provisionales del 4T25 y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https://dart.fss.or.kr/dsaf001/main.do?rcpNo=20260204800151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연결재무제표기준영업(잠정)실적 (resultados provisionales del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https://dart.fss.or.kr/dsaf001/main.do?rcpNo=20251106800081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연결재무제표기준영업(잠정)실적 (resultados provisionales del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https://dart.fss.or.kr/dsaf001/main.do?rcpNo=20241106800193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현금ㆍ현물 배당 결정 (dividendo final de 2025: 1.500 KRW, 56.157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https://dart.fss.or.kr/dsaf001/main.do?rcpNo=20260227800370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현금ㆍ현물 배당 결정 (dividendo a cuenta de 2026: 2.500 KRW, 93.595 M, pagado en agosto)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https://dart.fss.or.kr/dsaf001/main.do?rcpNo=20260716800385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anual y trimestral; BPA trimestral real 3T25-2T26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FnGuide (Naver WiseReport)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https://navercomp.wisereport.co.kr/v2/company/c1050001.aspx?cmp_cd=278470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[인사이드 스토리] 주가 '급락'한 에이피알…이유는 "너무 잘 팔려서" (margen del 3T26 por debajo de lo esperado: won, logística de Europa, fletes aéreos)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Bizwatch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https://n.news.naver.com/mnews/article/648/0000051647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 에이피알 "美 트럼프 관세 환급 200억대…2분기부터 분할 반영" (devolución de aranceles IEEPA y fletes aéreos del 1T26, CFO Shin Jae-ha)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https://n.news.naver.com/mnews/article/421/0008930631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회사합병 결정 (fusión por absorción de la filial APR Factory, fabricante de los aparatos)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https://dart.fss.or.kr/dsaf001/main.do?rcpNo=20260909800113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에이피알, 2분기도 최대 실적 달성…상반기 매출만 1조3609억원</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https://www.newsis.com/view/NISX20260805_0003736987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잘 팔렸지만 환율 하락에 '발목'…K뷰티, 3분기 눈높이 하향 (exportaciones de cosmética del 3T26: 3.379 M USD, +38,2 %, según la aduana coreana; efecto del won)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https://n.news.naver.com/mnews/article/018/0006391667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«Higiene personal y cosmética de gran consumo» (este repositorio): mercado mundial de belleza de ≈ 300.000 M EUR en 2025 según L'Oréal (2025 Universal Registration Document), ≈ 4 % anual, CR5 ≈ 40 %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 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sectores/higiene-cosmetica-2026-10-14.md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d'Alba, Amorepacific, LG H&amp;H, Silicon2, VT, Clio, Kolmar Korea, Cosmax, Classys, e.l.f., L'Oréal y Shiseido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https://finance.yahoo.com/quote/278470.KS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美 관세 발효…기업들 "직격탄" vs "영향 확인부터" (arancel combinado del 12,5 % a las importaciones coreanas desde el 24-jul-2026; APR mantiene precios y planes)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https://n.news.naver.com/mnews/article/421/0009077713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에이피알 '메디큐브' 美 코스트코 400곳 입점 (Costco EE. UU., ≈ 400 tiendas; número uno en tónicos de Amazon desde febrero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Hankyung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https://n.news.naver.com/mnews/article/015/0005344089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에이피알, '전략 시장' 올 유럽 매출 5000억 목표 (objetivo de 500.000 M de ventas en Europa en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https://n.news.naver.com/mnews/article/014/0005563644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커지는 중남미 시장, 높아진 관세 장벽…李 대통령 주목한 K-뷰티 숙제 (mercado latinoamericano y barreras arancelarias)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https://n.news.naver.com/mnews/article/003/0014217921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정기주주총회결과 (junta del 31-mar-2026: votos de cada punto; límite de remuneración aprobado con el 71,2 % de los votos emitidos)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https://dart.fss.or.kr/dsaf001/main.do?rcpNo=20260331804213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기업가치 제고 계획 (plan de valor: reparto de al menos el 25 % del beneficio con dividendos y recompras para amortizar)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https://dart.fss.or.kr/dsaf001/main.do?rcpNo=20260331804449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주식등의 대량보유상황보고서 de Fidelity Management &amp; Research (5,01 %)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https://dart.fss.or.kr/dsaf001/main.do?rcpNo=20260806000334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principales, capital flotante (64,95 %) y extranjeros (38,37 %) a 16-oct-2026; objetivos de 22 casas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FnGuide (Naver WiseReport)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https://navercomp.wisereport.co.kr/v2/company/c1010001.aspx?cmp_cd=278470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기업지배구조 보고서 (informe de gobierno corporativo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https://dart.fss.or.kr/dsaf001/main.do?rcpNo=20260529801251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[단독] 미공개정보 샜나...에이피알, 비공개 그룹콜 10분 뒤 주가 급락 (llamada privada a analistas del 12-oct; la KRX estudia una posible infracción de la norma de comunicación equitativa)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Maeil Business (매경)</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https://n.news.naver.com/mnews/article/024/0000108959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comparables (precio, capitalización, valor empresa, ventas, EBITDA, estimaciones de BPA) y tipos de cambio KRW=X (1.331,28), JPYKRW=X (8,38) y EURKRW=X (1.492,4)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https://finance.yahoo.com/quote/483650.KS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Government Bond Yields: 10-year for Korea (IRLTLT01KRM156N), septiembre de 2026: 4,454 %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OECD vía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https://fred.stlouisfed.org/series/IRLTLT01KRM156N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에이피알, 상장 이후 최대 낙폭…목표가 줄하향 19.6%↓ (13-oct: SK 560.000→480.000, Daol 560.000→500.000, Hyundai Motor 550.000→510.000, Meritz 550.000→520.000, Shinhan 540.000→510.000)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https://n.news.naver.com/mnews/article/421/0009225467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급락에도 "목표가 52만원"…한국투자證 "분명한 과매도" (PER de los próximos 12 meses de ≈ 14 veces, el más bajo del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Korea Economic TV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https://n.news.naver.com/mnews/article/215/0001269240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"너무 빠진 것 아니냐"…증권가 전망에 주가 20% '와르르'</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Hankyung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https://n.news.naver.com/mnews/article/015/0005342253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원화 강세에 흔들린 화장품주…에이피알 한달 새 21% 뚝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Seoul Economic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https://n.news.naver.com/mnews/article/011/0004666992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Naver (종목토론실) de 278470: 400 mensajes del 13 al 19-oct-2026 (hora de Corea)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Naver Pay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https://m.stock.naver.com/domestic/stock/278470/discussion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'매수 사이드카' 속 소외된 화장품·미용·관광주… "환율 하락 미워요" (la cosmética se queda fuera de la subida de la bolsa por los chips y el won)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Seoul Economic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https://n.news.naver.com/mnews/article/011/0004641760</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85,3 %</w:t>
      </w:r>
      <w:r>
        <w:t xml:space="preserve"> · Secciones con menos del 60 % de campos cubiertos: </w:t>
      </w:r>
      <w:r>
        <w:rPr>
          <w:b/>
          <w:bCs/>
        </w:rPr>
        <w:t xml:space="preserve">capital, gobierno</w:t>
      </w:r>
      <w:r>
        <w:t xml:space="preserve"> · Generado el 19 oct 2026.</w:t>
      </w:r>
    </w:p>
    <w:p>
      <w:pPr>
        <w:pStyle w:val="Nota"/>
        <w:spacing w:after="100"/>
      </w:pPr>
      <w:r>
        <w:t xml:space="preserve">Cuentas consolidadas K-IFRS en millones de KRW. Fuente primaria: DART (dart.fss.or.kr) por su visor de secciones: informes anuales de 2025 [1], 2023 [2] y 2022 [4] e informe semestral de 2026 [3], más los avisos de la KRX. Corea no tiene XBRL en herramientas/cuentas.mjs. Desde 2026 la empresa aplica la NIIF 18 por adelantado: el beneficio operativo de 2026 incluye otros ingresos y gastos de explotación y no es del todo comparable con la serie publicada de 2021-2025 [5]. La empresa cotiza desde el 27-feb-2024: solo hay dos cierres de ejercicio y la historia de múltiplos es corta (regla de historia corta en el objetivo a 12 meses). El EBITDA trimestral lleva una amortización repartida a partes iguales (estimación, ≈ 1,2-2 % de las ventas). La empresa no publica el peso de Amazon. Precio: cierre del 19-oct-2026 en el KOSPI (331.500 KRW), tomado de la cotización de Yahoo a las 15:30 KST porque el histórico diario aún no traía la barra del día; la beta, las rentabilidades y el movimiento usan el cierre del 16-oct (325.500) [19].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APR Co., Ltd. (278470)</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(KRW) · precio actual 331.500,00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(204.000,00 – 475.000,00)</c:v>
                </c:pt>
                <c:pt idx="1">
                  <c:v>Precio objetivo de los analistas (410.000,00 – 570.000,00)</c:v>
                </c:pt>
                <c:pt idx="2">
                  <c:v>Comparables: PER NTM (196.544,85 – 444.997,70)</c:v>
                </c:pt>
                <c:pt idx="3">
                  <c:v>DCF (WACC y g ± 0,5) (229.012,68 – 277.504,59)</c:v>
                </c:pt>
                <c:pt idx="4">
                  <c:v>Escenarios (bajista – alcista) (109.331,41 – 335.909,99)</c:v>
                </c:pt>
                <c:pt idx="5">
                  <c:v>DCF con la prima implícita del mercado (4,2 %)</c:v>
                </c:pt>
                <c:pt idx="6">
                  <c:v>Precio actual (331.500,00)</c:v>
                </c:pt>
              </c:strCache>
            </c:strRef>
          </c:cat>
          <c:val>
            <c:numRef>
              <c:f>Hoja1!$B$2:$B$8</c:f>
              <c:numCache>
                <c:formatCode>#,##0</c:formatCode>
                <c:ptCount val="7"/>
                <c:pt idx="0">
                  <c:v>204000</c:v>
                </c:pt>
                <c:pt idx="1">
                  <c:v>410000</c:v>
                </c:pt>
                <c:pt idx="2">
                  <c:v>196544.85</c:v>
                </c:pt>
                <c:pt idx="3">
                  <c:v>229012.68</c:v>
                </c:pt>
                <c:pt idx="4">
                  <c:v>109331.41</c:v>
                </c:pt>
                <c:pt idx="5">
                  <c:v>276537.79</c:v>
                </c:pt>
                <c:pt idx="6">
                  <c:v>329842.5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(204.000,00 – 475.000,00)</c:v>
                </c:pt>
                <c:pt idx="1">
                  <c:v>Precio objetivo de los analistas (410.000,00 – 570.000,00)</c:v>
                </c:pt>
                <c:pt idx="2">
                  <c:v>Comparables: PER NTM (196.544,85 – 444.997,70)</c:v>
                </c:pt>
                <c:pt idx="3">
                  <c:v>DCF (WACC y g ± 0,5) (229.012,68 – 277.504,59)</c:v>
                </c:pt>
                <c:pt idx="4">
                  <c:v>Escenarios (bajista – alcista) (109.331,41 – 335.909,99)</c:v>
                </c:pt>
                <c:pt idx="5">
                  <c:v>DCF con la prima implícita del mercado (4,2 %)</c:v>
                </c:pt>
                <c:pt idx="6">
                  <c:v>Precio actual (331.500,00)</c:v>
                </c:pt>
              </c:strCache>
            </c:strRef>
          </c:cat>
          <c:val>
            <c:numRef>
              <c:f>Hoja1!$C$2:$C$8</c:f>
              <c:numCache>
                <c:formatCode>#,##0</c:formatCode>
                <c:ptCount val="7"/>
                <c:pt idx="0">
                  <c:v>271000</c:v>
                </c:pt>
                <c:pt idx="1">
                  <c:v>160000</c:v>
                </c:pt>
                <c:pt idx="2">
                  <c:v>248452.85</c:v>
                </c:pt>
                <c:pt idx="3">
                  <c:v>48491.91000000003</c:v>
                </c:pt>
                <c:pt idx="4">
                  <c:v>226578.58</c:v>
                </c:pt>
                <c:pt idx="5">
                  <c:v>41517.100000000035</c:v>
                </c:pt>
                <c:pt idx="6">
                  <c:v>3315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(KRW, millones)</a:t>
            </a:r>
          </a:p>
        </c:rich>
      </c:tx>
      <c:overlay val="0"/>
    </c:title>
    <c:autoTitleDeleted val="0"/>
    <c:plotArea>
      <c:layout/>
      <c:barChart>
        <c:barDir val="col"/>
        <c:grouping val="stacked"/>
        <c:varyColors val="0"/>
        <c:ser>
          <c:idx val="0"/>
          <c:order val="0"/>
          <c:tx>
            <c:strRef>
              <c:f>Hoja1!$B$1</c:f>
              <c:strCache>
                <c:ptCount val="1"/>
                <c:pt idx="0">
                  <c:v>Cosmética y belleza (Medicube, Aprilskin, Forment)</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214291</c:v>
                </c:pt>
                <c:pt idx="1">
                  <c:v>338518</c:v>
                </c:pt>
                <c:pt idx="2">
                  <c:v>1077126</c:v>
                </c:pt>
              </c:numCache>
            </c:numRef>
          </c:val>
        </c:ser>
        <c:ser>
          <c:idx val="1"/>
          <c:order val="1"/>
          <c:tx>
            <c:strRef>
              <c:f>Hoja1!$C$1</c:f>
              <c:strCache>
                <c:ptCount val="1"/>
                <c:pt idx="0">
                  <c:v>Aparatos de belleza para el hogar (Medicube AGE-R)</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216190</c:v>
                </c:pt>
                <c:pt idx="1">
                  <c:v>312643</c:v>
                </c:pt>
                <c:pt idx="2">
                  <c:v>406984</c:v>
                </c:pt>
              </c:numCache>
            </c:numRef>
          </c:val>
        </c:ser>
        <c:ser>
          <c:idx val="2"/>
          <c:order val="2"/>
          <c:tx>
            <c:strRef>
              <c:f>Hoja1!$D$1</c:f>
              <c:strCache>
                <c:ptCount val="1"/>
                <c:pt idx="0">
                  <c:v>Otros (Nerdy, Photogray, Glam.D)</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93328</c:v>
                </c:pt>
                <c:pt idx="1">
                  <c:v>71593</c:v>
                </c:pt>
                <c:pt idx="2">
                  <c:v>43235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Cosmética y belleza (Medicube, Aprilskin, Forment)</c:v>
                </c:pt>
                <c:pt idx="1">
                  <c:v>Aparatos de belleza para el hogar (Medicube AGE-R)</c:v>
                </c:pt>
                <c:pt idx="2">
                  <c:v>Otros (Nerdy, Photogray, Glam.D)</c:v>
                </c:pt>
              </c:strCache>
            </c:strRef>
          </c:cat>
          <c:val>
            <c:numRef>
              <c:f>Hoja1!$B$2:$B$4</c:f>
              <c:numCache>
                <c:formatCode>General</c:formatCode>
                <c:ptCount val="3"/>
                <c:pt idx="0">
                  <c:v>70.5</c:v>
                </c:pt>
                <c:pt idx="1">
                  <c:v>26.6</c:v>
                </c:pt>
                <c:pt idx="2">
                  <c:v>2.8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Norteamérica</c:v>
                </c:pt>
                <c:pt idx="1">
                  <c:v>Asia (Japón, China, Sudeste Asiático)</c:v>
                </c:pt>
                <c:pt idx="2">
                  <c:v>Europa</c:v>
                </c:pt>
                <c:pt idx="3">
                  <c:v>Corea</c:v>
                </c:pt>
                <c:pt idx="4">
                  <c:v>Otros (Oriente Medio, Latinoamérica)</c:v>
                </c:pt>
              </c:strCache>
            </c:strRef>
          </c:cat>
          <c:val>
            <c:numRef>
              <c:f>Hoja1!$B$2:$B$6</c:f>
              <c:numCache>
                <c:formatCode>0"%"</c:formatCode>
                <c:ptCount val="5"/>
                <c:pt idx="0">
                  <c:v>47.6</c:v>
                </c:pt>
                <c:pt idx="1">
                  <c:v>18.9</c:v>
                </c:pt>
                <c:pt idx="2">
                  <c:v>16.8</c:v>
                </c:pt>
                <c:pt idx="3">
                  <c:v>9.5</c:v>
                </c:pt>
                <c:pt idx="4">
                  <c:v>7.2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2021</c:v>
                </c:pt>
                <c:pt idx="1">
                  <c:v>2025</c:v>
                </c:pt>
                <c:pt idx="2">
                  <c:v>2026e</c:v>
                </c:pt>
                <c:pt idx="3">
                  <c:v>2027e</c:v>
                </c:pt>
                <c:pt idx="4">
                  <c:v>2028e</c:v>
                </c:pt>
                <c:pt idx="5">
                  <c:v>2030e</c:v>
                </c:pt>
              </c:strCache>
            </c:strRef>
          </c:cat>
          <c:val>
            <c:numRef>
              <c:f>Hoja1!$B$2:$B$7</c:f>
              <c:numCache>
                <c:formatCode>#,##0</c:formatCode>
                <c:ptCount val="6"/>
                <c:pt idx="0">
                  <c:v>244000</c:v>
                </c:pt>
                <c:pt idx="1">
                  <c:v>300000</c:v>
                </c:pt>
                <c:pt idx="2">
                  <c:v>312000</c:v>
                </c:pt>
                <c:pt idx="3">
                  <c:v>324500</c:v>
                </c:pt>
                <c:pt idx="4">
                  <c:v>337500</c:v>
                </c:pt>
                <c:pt idx="5">
                  <c:v>365000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5</c:v>
                </c:pt>
                <c:pt idx="1">
                  <c:v>4</c:v>
                </c:pt>
                <c:pt idx="2">
                  <c:v>2</c:v>
                </c:pt>
                <c:pt idx="3">
                  <c:v>4</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APR</c:v>
                </c:pt>
                <c:pt idx="1">
                  <c:v>d'Alba Global</c:v>
                </c:pt>
                <c:pt idx="2">
                  <c:v>Amorepacific</c:v>
                </c:pt>
                <c:pt idx="3">
                  <c:v>LG H&amp;H</c:v>
                </c:pt>
                <c:pt idx="4">
                  <c:v>Silicon2 (Stylekorean)</c:v>
                </c:pt>
                <c:pt idx="5">
                  <c:v>VT Cosmetics</c:v>
                </c:pt>
                <c:pt idx="6">
                  <c:v>Goodai Global (Beauty of Joseon, Tirtir, Skin1004)</c:v>
                </c:pt>
                <c:pt idx="7">
                  <c:v>e.l.f. Beauty</c:v>
                </c:pt>
                <c:pt idx="8">
                  <c:v>Classys</c:v>
                </c:pt>
              </c:strCache>
            </c:strRef>
          </c:cat>
          <c:val>
            <c:numRef>
              <c:f>Hoja1!$B$2:$B$10</c:f>
              <c:numCache>
                <c:formatCode>0.0"%"</c:formatCode>
                <c:ptCount val="9"/>
                <c:pt idx="0">
                  <c:v>23.9</c:v>
                </c:pt>
                <c:pt idx="1">
                  <c:v>25.3</c:v>
                </c:pt>
                <c:pt idx="2">
                  <c:v>10</c:v>
                </c:pt>
                <c:pt idx="3">
                  <c:v>6.2</c:v>
                </c:pt>
                <c:pt idx="4">
                  <c:v>20.6</c:v>
                </c:pt>
                <c:pt idx="5">
                  <c:v>8.1</c:v>
                </c:pt>
                <c:pt idx="7">
                  <c:v>14.3</c:v>
                </c:pt>
                <c:pt idx="8">
                  <c:v>41.6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3</c:v>
                </c:pt>
                <c:pt idx="3">
                  <c:v>2</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(KRW,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259146</c:v>
                </c:pt>
                <c:pt idx="1">
                  <c:v>397698</c:v>
                </c:pt>
                <c:pt idx="2">
                  <c:v>523809</c:v>
                </c:pt>
                <c:pt idx="3">
                  <c:v>722754</c:v>
                </c:pt>
                <c:pt idx="4">
                  <c:v>1527345</c:v>
                </c:pt>
                <c:pt idx="5">
                  <c:v>3069963</c:v>
                </c:pt>
                <c:pt idx="6">
                  <c:v>4144451</c:v>
                </c:pt>
                <c:pt idx="7">
                  <c:v>4890452</c:v>
                </c:pt>
                <c:pt idx="8">
                  <c:v>5477306</c:v>
                </c:pt>
                <c:pt idx="9">
                  <c:v>5970264</c:v>
                </c:pt>
                <c:pt idx="10">
                  <c:v>6388182</c:v>
                </c:pt>
                <c:pt idx="11">
                  <c:v>6707591</c:v>
                </c:pt>
                <c:pt idx="12">
                  <c:v>6975895</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21568</c:v>
                </c:pt>
                <c:pt idx="1">
                  <c:v>49984</c:v>
                </c:pt>
                <c:pt idx="2">
                  <c:v>118117</c:v>
                </c:pt>
                <c:pt idx="3">
                  <c:v>145197</c:v>
                </c:pt>
                <c:pt idx="4">
                  <c:v>395799</c:v>
                </c:pt>
                <c:pt idx="5">
                  <c:v>761351</c:v>
                </c:pt>
                <c:pt idx="6">
                  <c:v>994668</c:v>
                </c:pt>
                <c:pt idx="7">
                  <c:v>1149256</c:v>
                </c:pt>
                <c:pt idx="8">
                  <c:v>1259780</c:v>
                </c:pt>
                <c:pt idx="9">
                  <c:v>1343309</c:v>
                </c:pt>
                <c:pt idx="10">
                  <c:v>1405400</c:v>
                </c:pt>
                <c:pt idx="11">
                  <c:v>1442132</c:v>
                </c:pt>
                <c:pt idx="12">
                  <c:v>1464938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72.4</c:v>
                </c:pt>
                <c:pt idx="1">
                  <c:v>73.3</c:v>
                </c:pt>
                <c:pt idx="2">
                  <c:v>75.5</c:v>
                </c:pt>
                <c:pt idx="3">
                  <c:v>75.2</c:v>
                </c:pt>
                <c:pt idx="4">
                  <c:v>76.6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8.3</c:v>
                </c:pt>
                <c:pt idx="1">
                  <c:v>12.6</c:v>
                </c:pt>
                <c:pt idx="2">
                  <c:v>22.5</c:v>
                </c:pt>
                <c:pt idx="3">
                  <c:v>20.1</c:v>
                </c:pt>
                <c:pt idx="4">
                  <c:v>25.9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5.5</c:v>
                </c:pt>
                <c:pt idx="1">
                  <c:v>9.9</c:v>
                </c:pt>
                <c:pt idx="2">
                  <c:v>19.9</c:v>
                </c:pt>
                <c:pt idx="3">
                  <c:v>17</c:v>
                </c:pt>
                <c:pt idx="4">
                  <c:v>23.9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4.4</c:v>
                </c:pt>
                <c:pt idx="1">
                  <c:v>7.3</c:v>
                </c:pt>
                <c:pt idx="2">
                  <c:v>15.6</c:v>
                </c:pt>
                <c:pt idx="3">
                  <c:v>14.9</c:v>
                </c:pt>
                <c:pt idx="4">
                  <c:v>19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42.8</c:v>
                </c:pt>
                <c:pt idx="1">
                  <c:v>60.7</c:v>
                </c:pt>
                <c:pt idx="2">
                  <c:v>78.7</c:v>
                </c:pt>
                <c:pt idx="3">
                  <c:v>110.8</c:v>
                </c:pt>
                <c:pt idx="4">
                  <c:v>121.7</c:v>
                </c:pt>
                <c:pt idx="5">
                  <c:v>124.2</c:v>
                </c:pt>
                <c:pt idx="6">
                  <c:v>123</c:v>
                </c:pt>
                <c:pt idx="7">
                  <c:v>134.2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42.8</c:v>
                </c:pt>
                <c:pt idx="1">
                  <c:v>60.7</c:v>
                </c:pt>
                <c:pt idx="2">
                  <c:v>78.7</c:v>
                </c:pt>
                <c:pt idx="3">
                  <c:v>110.8</c:v>
                </c:pt>
                <c:pt idx="4">
                  <c:v>121.7</c:v>
                </c:pt>
                <c:pt idx="5">
                  <c:v>124.2</c:v>
                </c:pt>
                <c:pt idx="6">
                  <c:v>123</c:v>
                </c:pt>
                <c:pt idx="7">
                  <c:v>134.2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19</c:v>
                </c:pt>
                <c:pt idx="1">
                  <c:v>19</c:v>
                </c:pt>
                <c:pt idx="2">
                  <c:v>16</c:v>
                </c:pt>
                <c:pt idx="3">
                  <c:v>24</c:v>
                </c:pt>
                <c:pt idx="4">
                  <c:v>22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193</c:v>
                </c:pt>
                <c:pt idx="1">
                  <c:v>173</c:v>
                </c:pt>
                <c:pt idx="2">
                  <c:v>161</c:v>
                </c:pt>
                <c:pt idx="3">
                  <c:v>224</c:v>
                </c:pt>
                <c:pt idx="4">
                  <c:v>169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112</c:v>
                </c:pt>
                <c:pt idx="1">
                  <c:v>94</c:v>
                </c:pt>
                <c:pt idx="2">
                  <c:v>110</c:v>
                </c:pt>
                <c:pt idx="3">
                  <c:v>139</c:v>
                </c:pt>
                <c:pt idx="4">
                  <c:v>146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(KRW,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-5726</c:v>
                </c:pt>
                <c:pt idx="1">
                  <c:v>17502</c:v>
                </c:pt>
                <c:pt idx="2">
                  <c:v>86612</c:v>
                </c:pt>
                <c:pt idx="3">
                  <c:v>18665</c:v>
                </c:pt>
                <c:pt idx="4">
                  <c:v>305166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11399</c:v>
                </c:pt>
                <c:pt idx="1">
                  <c:v>28963</c:v>
                </c:pt>
                <c:pt idx="2">
                  <c:v>81546</c:v>
                </c:pt>
                <c:pt idx="3">
                  <c:v>107590</c:v>
                </c:pt>
                <c:pt idx="4">
                  <c:v>289655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19.3</c:v>
                </c:pt>
                <c:pt idx="1">
                  <c:v>42.3</c:v>
                </c:pt>
                <c:pt idx="2">
                  <c:v>99.3</c:v>
                </c:pt>
                <c:pt idx="3">
                  <c:v>49.7</c:v>
                </c:pt>
                <c:pt idx="4">
                  <c:v>100.2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11.5</c:v>
                </c:pt>
                <c:pt idx="1">
                  <c:v>11.5</c:v>
                </c:pt>
                <c:pt idx="2">
                  <c:v>11.5</c:v>
                </c:pt>
                <c:pt idx="3">
                  <c:v>11.5</c:v>
                </c:pt>
                <c:pt idx="4">
                  <c:v>11.5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17.3</c:v>
                </c:pt>
                <c:pt idx="1">
                  <c:v>35</c:v>
                </c:pt>
                <c:pt idx="2">
                  <c:v>55.1</c:v>
                </c:pt>
                <c:pt idx="3">
                  <c:v>41.3</c:v>
                </c:pt>
                <c:pt idx="4">
                  <c:v>75.3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-0.22</c:v>
                </c:pt>
                <c:pt idx="1">
                  <c:v>-0.47</c:v>
                </c:pt>
                <c:pt idx="2">
                  <c:v>-0.94</c:v>
                </c:pt>
                <c:pt idx="3">
                  <c:v>-0.07</c:v>
                </c:pt>
                <c:pt idx="4">
                  <c:v>-0.45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(KRW,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134376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59944</c:v>
                </c:pt>
                <c:pt idx="4">
                  <c:v>30002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3</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Kim Byung-hoon (fundador) y relacionados</c:v>
                </c:pt>
                <c:pt idx="1">
                  <c:v>Servicio Nacional de Pensiones (NPS)</c:v>
                </c:pt>
                <c:pt idx="2">
                  <c:v>Fidelity Management &amp; Research (FMR)</c:v>
                </c:pt>
                <c:pt idx="3">
                  <c:v>Capital flotante restante (extranjeros 38,37 % del total)</c:v>
                </c:pt>
              </c:strCache>
            </c:strRef>
          </c:cat>
          <c:val>
            <c:numRef>
              <c:f>Hoja1!$B$2:$B$5</c:f>
              <c:numCache>
                <c:formatCode>0.0"%"</c:formatCode>
                <c:ptCount val="4"/>
                <c:pt idx="0">
                  <c:v>34.81</c:v>
                </c:pt>
                <c:pt idx="1">
                  <c:v>9</c:v>
                </c:pt>
                <c:pt idx="2">
                  <c:v>5.01</c:v>
                </c:pt>
                <c:pt idx="3">
                  <c:v>51.18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c:f>
              <c:strCache>
                <c:ptCount val="1"/>
                <c:pt idx="0">
                  <c:v>2025</c:v>
                </c:pt>
              </c:strCache>
            </c:strRef>
          </c:cat>
          <c:val>
            <c:numRef>
              <c:f>Hoja1!$B$2</c:f>
              <c:numCache>
                <c:formatCode>0"%"</c:formatCode>
                <c:ptCount val="1"/>
                <c:pt idx="0">
                  <c:v>362</c:v>
                </c:pt>
              </c:numCache>
            </c:numRef>
          </c:val>
        </c:ser>
        <c:ser>
          <c:idx val="1"/>
          <c:order val="1"/>
          <c:tx>
            <c:strRef>
              <c:f>Hoja1!$C$1</c:f>
              <c:strCache>
                <c:ptCount val="1"/>
                <c:pt idx="0">
                  <c:v>Índice</c:v>
                </c:pt>
              </c:strCache>
            </c:strRef>
          </c:tx>
          <c:spPr>
            <a:solidFill>
              <a:srgbClr val="EB6834"/>
            </a:solidFill>
            <a:ln w="9525">
              <a:noFill/>
            </a:ln>
          </c:spPr>
          <c:invertIfNegative val="0"/>
          <c:cat>
            <c:strRef>
              <c:f>Hoja1!$A$2</c:f>
              <c:strCache>
                <c:ptCount val="1"/>
                <c:pt idx="0">
                  <c:v>2025</c:v>
                </c:pt>
              </c:strCache>
            </c:strRef>
          </c:cat>
          <c:val>
            <c:numRef>
              <c:f>Hoja1!$C$2</c:f>
              <c:numCache>
                <c:formatCode>0"%"</c:formatCode>
                <c:ptCount val="1"/>
                <c:pt idx="0">
                  <c:v>75.6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COSRX (54,8 %, hasta el 93,2 %)</c:v>
                </c:pt>
              </c:strCache>
            </c:strRef>
          </c:cat>
          <c:val>
            <c:numRef>
              <c:f>Hoja1!$B$2</c:f>
              <c:numCache>
                <c:formatCode>0.0"x"</c:formatCode>
                <c:ptCount val="1"/>
                <c:pt idx="0">
                  <c:v>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(KRW,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327847</c:v>
                </c:pt>
                <c:pt idx="1">
                  <c:v>571661</c:v>
                </c:pt>
                <c:pt idx="2">
                  <c:v>708532</c:v>
                </c:pt>
                <c:pt idx="3">
                  <c:v>798020</c:v>
                </c:pt>
                <c:pt idx="4">
                  <c:v>862274</c:v>
                </c:pt>
                <c:pt idx="5">
                  <c:v>909792</c:v>
                </c:pt>
                <c:pt idx="6">
                  <c:v>942236</c:v>
                </c:pt>
                <c:pt idx="7">
                  <c:v>960328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(KRW,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3873830</c:v>
                </c:pt>
                <c:pt idx="1">
                  <c:v>5362879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(KRW) · precio actual 331.500,00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109331.41</c:v>
                </c:pt>
                <c:pt idx="1">
                  <c:v>250455.12</c:v>
                </c:pt>
                <c:pt idx="2">
                  <c:v>335909.99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(KRW) · precio actual 331.500,00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(204.000,00 – 475.000,00)</c:v>
                </c:pt>
                <c:pt idx="1">
                  <c:v>Precio objetivo de los analistas (410.000,00 – 570.000,00)</c:v>
                </c:pt>
                <c:pt idx="2">
                  <c:v>Comparables: PER NTM (196.544,85 – 444.997,70)</c:v>
                </c:pt>
                <c:pt idx="3">
                  <c:v>DCF (WACC y g ± 0,5) (229.012,68 – 277.504,59)</c:v>
                </c:pt>
                <c:pt idx="4">
                  <c:v>Escenarios (bajista – alcista) (109.331,41 – 335.909,99)</c:v>
                </c:pt>
                <c:pt idx="5">
                  <c:v>DCF con la prima implícita del mercado (4,2 %)</c:v>
                </c:pt>
                <c:pt idx="6">
                  <c:v>Precio actual (331.500,00)</c:v>
                </c:pt>
              </c:strCache>
            </c:strRef>
          </c:cat>
          <c:val>
            <c:numRef>
              <c:f>Hoja1!$B$2:$B$8</c:f>
              <c:numCache>
                <c:formatCode>#,##0</c:formatCode>
                <c:ptCount val="7"/>
                <c:pt idx="0">
                  <c:v>204000</c:v>
                </c:pt>
                <c:pt idx="1">
                  <c:v>410000</c:v>
                </c:pt>
                <c:pt idx="2">
                  <c:v>196544.85</c:v>
                </c:pt>
                <c:pt idx="3">
                  <c:v>229012.68</c:v>
                </c:pt>
                <c:pt idx="4">
                  <c:v>109331.41</c:v>
                </c:pt>
                <c:pt idx="5">
                  <c:v>276537.79</c:v>
                </c:pt>
                <c:pt idx="6">
                  <c:v>329842.5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(204.000,00 – 475.000,00)</c:v>
                </c:pt>
                <c:pt idx="1">
                  <c:v>Precio objetivo de los analistas (410.000,00 – 570.000,00)</c:v>
                </c:pt>
                <c:pt idx="2">
                  <c:v>Comparables: PER NTM (196.544,85 – 444.997,70)</c:v>
                </c:pt>
                <c:pt idx="3">
                  <c:v>DCF (WACC y g ± 0,5) (229.012,68 – 277.504,59)</c:v>
                </c:pt>
                <c:pt idx="4">
                  <c:v>Escenarios (bajista – alcista) (109.331,41 – 335.909,99)</c:v>
                </c:pt>
                <c:pt idx="5">
                  <c:v>DCF con la prima implícita del mercado (4,2 %)</c:v>
                </c:pt>
                <c:pt idx="6">
                  <c:v>Precio actual (331.500,00)</c:v>
                </c:pt>
              </c:strCache>
            </c:strRef>
          </c:cat>
          <c:val>
            <c:numRef>
              <c:f>Hoja1!$C$2:$C$8</c:f>
              <c:numCache>
                <c:formatCode>#,##0</c:formatCode>
                <c:ptCount val="7"/>
                <c:pt idx="0">
                  <c:v>271000</c:v>
                </c:pt>
                <c:pt idx="1">
                  <c:v>160000</c:v>
                </c:pt>
                <c:pt idx="2">
                  <c:v>248452.85</c:v>
                </c:pt>
                <c:pt idx="3">
                  <c:v>48491.91000000003</c:v>
                </c:pt>
                <c:pt idx="4">
                  <c:v>226578.58</c:v>
                </c:pt>
                <c:pt idx="5">
                  <c:v>41517.100000000035</c:v>
                </c:pt>
                <c:pt idx="6">
                  <c:v>3315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