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Tencent Holdings Limited</w:t>
      </w:r>
    </w:p>
    <w:p>
      <w:pPr>
        <w:spacing w:after="60"/>
        <w:rPr>
          <w:color w:val="52514E"/>
          <w:sz w:val="22"/>
          <w:szCs w:val="22"/>
        </w:rPr>
      </w:pPr>
      <w:r>
        <w:rPr>
          <w:color w:val="52514E"/>
          <w:sz w:val="22"/>
          <w:szCs w:val="22"/>
        </w:rPr>
        <w:t xml:space="preserve">0700.HK · Bolsa de Hong Kong (HKEX), en HKD · ISIN KYG875721634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365,25 CNY (425,20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404,75 CNY (471,19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+12,1 % (base +8,5 %)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470,61 CNY (547,86 HKD) · mercado 523,27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3.378.563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Tencent Holdings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0700.HK / KYG875721634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(HKEX), en HKD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y servicios interactivos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 1998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https://www.tencent.com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365,25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353,05 – 570,38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3.378.563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2.707.196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M de acciones el 13-oct (≈5.400 M HKD)</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404,75 CNY (471,19 HKD)</w:t>
      </w:r>
      <w:r>
        <w:t xml:space="preserve"> frente a 365,25 (425,20 HKD) · Rentabilidad a 12 meses </w:t>
      </w:r>
      <w:r>
        <w:rPr>
          <w:b/>
          <w:bCs/>
        </w:rPr>
        <w:t xml:space="preserve">+12,1 % (base +8,5 %)</w:t>
      </w:r>
      <w:r>
        <w:t xml:space="preserve"> · Valor intrínseco 470,61 CNY (547,86 HKD) · con la prima implícita del mercado: 523,27 (609,16 HKD) (+43,3 %) · Alcista / bajista +49,1 % / -10,9 %</w:t>
      </w:r>
    </w:p>
    <w:p>
      <w:pPr>
        <w:spacing w:after="100"/>
      </w:pPr>
      <w:r>
        <w:rPr>
          <w:b/>
        </w:rPr>
        <w:t xml:space="preserve">La recomendación y por qué.</w:t>
      </w:r>
      <w:r>
        <w:t xml:space="preserve"> Mantener, con convicción media. Con nuestro BPA y nuestro PER, el objetivo a 12 meses es de 404,75 RMB (471,2 HKD) frente a 365,25 RMB (425,20 HKD, cierre del 13 de octubre): +12,1 % con el dividendo, y +8,5 % en el caso base. No llega a los umbrales de compra (15 % y 12 %), aunque la asimetría es buena (2,4 veces: el bajista pierde un 19,4 % y el alcista gana un 51 %). El valor intrínseco es mayor (470,61 RMB, 547,9 HKD, +28,8 %), y el objetivo medio de los analistas, aún más (581,91 RMB, 677 HKD). La razón principal: la acción es barata frente a su historia, pero la inversión en IA aplasta la caja libre de 2026 y el beneficio de 2027-28, y sin esa prueba el mercado no volverá a pagar 16-17 veces. La convicción es media porque las reglas coinciden y estamos lejos de los umbrales; subiría si el 3T26 muestra caja libre positiva y bajaría si la inversión de 2027 pasa del 20 % de las ventas.</w:t>
      </w:r>
    </w:p>
    <w:p>
      <w:pPr>
        <w:spacing w:after="100"/>
      </w:pPr>
      <w:r>
        <w:rPr>
          <w:b/>
        </w:rPr>
        <w:t xml:space="preserve">El negocio.</w:t>
      </w:r>
      <w:r>
        <w:t xml:space="preserve"> Weixin, los juegos de diez años y la publicidad con IA dan un foso amplio: margen EBITDA del 37,2 % en 2025 (27,1 % en 2021), margen bruto del 56,3 % y un ROIC del 17,5 % frente a un WACC del 9,31 % (8,2 puntos), deprimido porque el capital incluye la cartera de participaciones [3]. Sostenibilidad del crecimiento: </w:t>
      </w:r>
      <w:r>
        <w:rPr>
          <w:b/>
        </w:rPr>
        <w:t xml:space="preserve">en parte</w:t>
      </w:r>
      <w:r>
        <w:t xml:space="preserve">; el foso sostiene un 7-9 % sin capital, pero que la IA rinda el ≈15 % que suponemos para el capital nuevo de 2026-28 está por demostrar.</w:t>
      </w:r>
    </w:p>
    <w:p>
      <w:pPr>
        <w:spacing w:after="100"/>
      </w:pPr>
      <w:r>
        <w:rPr>
          <w:b/>
        </w:rPr>
        <w:t xml:space="preserve">Finanzas.</w:t>
      </w:r>
      <w:r>
        <w:t xml:space="preserve"> Ingresos de 751.766 M en 2025 (+13,9 %) y +9-11 % en 2026 [1, 14]. La inversión del 2T26 fue de 52.800 M (+176 %) y la caja libre del trimestre, negativa (−13.800 M); la caja neta bajó a 58.200 M [1]. El beneficio NIIF no sirve (lleva las participadas); usamos el no NIIF (259.600 M en 2025).</w:t>
      </w:r>
    </w:p>
    <w:p>
      <w:pPr>
        <w:spacing w:after="100"/>
      </w:pPr>
      <w:r>
        <w:rPr>
          <w:b/>
        </w:rPr>
        <w:t xml:space="preserve">Equipo y gobierno.</w:t>
      </w:r>
      <w:r>
        <w:t xml:space="preserve"> Equipo estable desde hace dos décadas, Ma Huateng (8,84 %) preside y dirige [29]; Prosus (≈23 %) vende de forma continua [27]. Restan la estructura VIE, la lista 1260H del Pentágono y la falta de un consejero coordinador.</w:t>
      </w:r>
    </w:p>
    <w:p>
      <w:pPr>
        <w:spacing w:after="100"/>
      </w:pPr>
      <w:r>
        <w:rPr>
          <w:b/>
        </w:rPr>
        <w:t xml:space="preserve">Valoración.</w:t>
      </w:r>
      <w:r>
        <w:t xml:space="preserve"> El DCF da 464,31 RMB y el inverso dice que el precio descuenta solo un 2,7 % de crecimiento anual (nuestro base: 7,0 %) o un margen del 32,9 %. El PER de los comparables (mediana 15,3 veces) da 507,08 RMB. Discrepamos del mercado en que la IA no destruirá el margen; discrepamos de los analistas en el múltiplo: usamos el PER de hoy (11,7 veces nuestro BPA de 2027e), no el histórico (16,8). Nuestro base queda un 32,7 % por debajo del objetivo medio: un tercio por el BPA (amortización de la IA) y dos tercios por el múltiplo.</w:t>
      </w:r>
    </w:p>
    <w:p>
      <w:pPr>
        <w:spacing w:after="100"/>
      </w:pPr>
      <w:r>
        <w:rPr>
          <w:b/>
        </w:rPr>
        <w:t xml:space="preserve">Riesgos y catalizadores.</w:t>
      </w:r>
      <w:r>
        <w:t xml:space="preserve"> Que la IA no se cobre (escenario bajista, −19,4 % a 12 meses), un endurecimiento regulatorio como el de 2021-22 y la geopolítica (chips, 1260H). Catalizadores: resultados del 3T26 (mediados de noviembre) y de 2026 (marzo de 2027, con el plan de inversión y recompras). Los foros están divididos, como el precio: no aportan un riesgo nuevo.</w:t>
      </w:r>
    </w:p>
    <w:p>
      <w:pPr>
        <w:spacing w:after="100"/>
      </w:pPr>
      <w:r>
        <w:rPr>
          <w:b/>
        </w:rPr>
        <w:t xml:space="preserve">Qué cambiaría la decisión.</w:t>
      </w:r>
      <w:r>
        <w:t xml:space="preserve"> Compraríamos por debajo de 353,70 RMB (411,76 HKD), cerca del mínimo de 52 semanas (411 HKD), o si la caja libre vuelve a ser positiva con el margen estable; venderíamos por encima de 455,02 RMB (529,71 HKD).</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404,75 CNY (471,19 HKD)</w:t>
      </w:r>
      <w:r>
        <w:t xml:space="preserve"> (rentabilidad +12,1 % (base +8,5 %)) · Valor intrínseco: 470,61 CNY (547,86 HKD) (+28,8 % sobre 365,25) · con la prima implícita del mercado: 523,27 (609,16 HKD) (+43,3 %)</w:t>
      </w:r>
    </w:p>
    <w:p>
      <w:pPr>
        <w:spacing w:after="100"/>
      </w:pPr>
      <w:r>
        <w:t xml:space="preserve">Tencent es la plataforma de internet más rentable de China: Weixin une comunicación, pagos y miniaplicaciones de más de mil millones de usuarios; los juegos (369.300 M en 2025) duran una década y la publicidad (145.000 M, +19 %) sube precio con la IA [3]. En 2021-2025 los ingresos crecieron al 7,6 % anual y el margen EBITDA ganó diez puntos, hasta el 37,2 %.</w:t>
      </w:r>
    </w:p>
    <w:p>
      <w:pPr>
        <w:spacing w:after="100"/>
      </w:pPr>
      <w:r>
        <w:t xml:space="preserve">El precio (425,20 HKD, −36 % desde el máximo de 52 semanas) descuenta poco: 9,7 veces el EBITDA de 2025 y ≈11,7 veces nuestro BPA de 2027e; el DCF inverso, un crecimiento del 2,7 % anual. El mercado no paga el beneficio, sino la caja libre, y la inversión en IA (52.800 M en el 2T26) la lleva a cero en 2026 [1].</w:t>
      </w:r>
    </w:p>
    <w:p>
      <w:pPr>
        <w:spacing w:after="100"/>
      </w:pPr>
      <w:r>
        <w:t xml:space="preserve">Para invertir hay que creer que la IA rinde como la publicidad: que la amortización que se triplica hasta 2029 se paga con precio por impresión, nube y agentes. Si es así, el múltiplo vuelve hacia 16-17 veces y el valor intrínseco (470,61 RMB) se alcanza en 18-24 meses. A 12 meses, sin esa prueba, el objetivo es 404,75 RMB: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404,75 CNY (471,19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29,26 = 289,67 · 11,7x × 33,45 = 391,37 · 15,2x × 35,96 = 546,59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 /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581,91 (nuestro base -32,7 %)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470,61 CNY (547,86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0,8590 CNY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365,25 CNY (425,20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 / -10,9 %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frente a 9,3 %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523,27 CNY (609,16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353,70 (411,76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353,70 y 455,02 (411,76 y 529,71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455,02 (529,71 HKD)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353,70 RMB (411,76 HKD), pasaríamos a Comprar.</w:t>
      </w:r>
    </w:p>
    <w:p>
      <w:pPr>
        <w:pStyle w:val="ListParagraph"/>
        <w:numPr>
          <w:ilvl w:val="0"/>
          <w:numId w:val="2"/>
        </w:numPr>
        <w:spacing w:after="60"/>
      </w:pPr>
      <w:r>
        <w:t xml:space="preserve">Si el precio supera 455,02 RMB (529,71 HKD) sin mejora del BPA, pasaríamos a Vender o reducir.</w:t>
      </w:r>
    </w:p>
    <w:p>
      <w:pPr>
        <w:pStyle w:val="ListParagraph"/>
        <w:numPr>
          <w:ilvl w:val="0"/>
          <w:numId w:val="2"/>
        </w:numPr>
        <w:spacing w:after="60"/>
      </w:pPr>
      <w:r>
        <w:t xml:space="preserve">Si la caja libre del 3T26 y el 4T26 vuelve a ser positiva con la inversión estable, subiríamos el múltiplo base hacia la mediana histórica (16,8 veces).</w:t>
      </w:r>
    </w:p>
    <w:p>
      <w:pPr>
        <w:pStyle w:val="ListParagraph"/>
        <w:numPr>
          <w:ilvl w:val="0"/>
          <w:numId w:val="2"/>
        </w:numPr>
        <w:spacing w:after="60"/>
      </w:pPr>
      <w:r>
        <w:t xml:space="preserve">Si la inversión de 2027 supera el 20 % de las ventas o el resultado operativo no NIIF cae, bajaríamos el BPA de 2028e.</w:t>
      </w:r>
    </w:p>
    <w:p>
      <w:pPr>
        <w:pStyle w:val="ListParagraph"/>
        <w:numPr>
          <w:ilvl w:val="0"/>
          <w:numId w:val="2"/>
        </w:numPr>
        <w:spacing w:after="60"/>
      </w:pPr>
      <w:r>
        <w:t xml:space="preserve">Una nueva congelación de licencias de juegos nos llevaría al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inversión en IA es un coste defensivo que no subirá el beneficio: un crecimiento del 2,7 % anual o un margen EBITDA del 32,9 % para siempre, y un descuento país permanente (PER de 11-12 veces frente a 21 de Meta).</w:t>
      </w:r>
    </w:p>
    <w:p>
      <w:pPr>
        <w:keepNext/>
        <w:spacing w:after="100"/>
      </w:pPr>
      <w:r>
        <w:rPr>
          <w:b/>
          <w:bCs/>
        </w:rPr>
        <w:t xml:space="preserve">Lo que creemos nosotros.</w:t>
      </w:r>
    </w:p>
    <w:p>
      <w:pPr>
        <w:spacing w:after="100"/>
      </w:pPr>
      <w:r>
        <w:t xml:space="preserve">Que el negocio de siempre crece al 8-10 % y el margen sube al 40 % (valor intrínseco de 470,61 RMB), pero que a 12 meses el múltiplo no cambiará sin pruebas: por eso nuestro objetivo (404,75 RMB) queda muy por debajo del de los analistas (581,91 RMB).</w:t>
      </w:r>
    </w:p>
    <w:p>
      <w:pPr>
        <w:keepNext/>
        <w:spacing w:after="100"/>
      </w:pPr>
      <w:r>
        <w:rPr>
          <w:b/>
          <w:bCs/>
        </w:rPr>
        <w:t xml:space="preserve">Por qué podemos tener razón.</w:t>
      </w:r>
    </w:p>
    <w:p>
      <w:pPr>
        <w:spacing w:after="100"/>
      </w:pPr>
      <w:r>
        <w:t xml:space="preserve">La publicidad ya demuestra que la IA se cobra (+22 % en el 2T26 [1]) y el resultado operativo sin los nuevos productos de IA crece un 19 % [20]; la amortización de los servidores, en cambio, aún no ha llegado a la cuenta, y eso es lo que el consenso infravalora.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36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margen EBITDA del 37,2 % y ROIC del 17,5 % frente a un WACC del 9,31 %.</w:t>
      </w:r>
    </w:p>
    <w:p>
      <w:pPr>
        <w:pStyle w:val="ListParagraph"/>
        <w:numPr>
          <w:ilvl w:val="0"/>
          <w:numId w:val="2"/>
        </w:numPr>
        <w:spacing w:after="60"/>
      </w:pPr>
      <w:r>
        <w:rPr>
          <w:b/>
        </w:rPr>
        <w:t xml:space="preserve">Precio exigente para la baja</w:t>
      </w:r>
      <w:r>
        <w:t xml:space="preserve">: el DCF inverso solo pide un 2,7 % de crecimiento anual.</w:t>
      </w:r>
    </w:p>
    <w:p>
      <w:pPr>
        <w:pStyle w:val="ListParagraph"/>
        <w:numPr>
          <w:ilvl w:val="0"/>
          <w:numId w:val="2"/>
        </w:numPr>
        <w:spacing w:after="60"/>
      </w:pPr>
      <w:r>
        <w:rPr>
          <w:b/>
        </w:rPr>
        <w:t xml:space="preserve">Publicidad con IA</w:t>
      </w:r>
      <w:r>
        <w:t xml:space="preserve">: +22 % en el 2T26 por precio y por impresiones [1].</w:t>
      </w:r>
    </w:p>
    <w:p>
      <w:pPr>
        <w:pStyle w:val="ListParagraph"/>
        <w:numPr>
          <w:ilvl w:val="0"/>
          <w:numId w:val="2"/>
        </w:numPr>
        <w:spacing w:after="60"/>
      </w:pPr>
      <w:r>
        <w:rPr>
          <w:b/>
        </w:rPr>
        <w:t xml:space="preserve">Cartera de participaciones</w:t>
      </w:r>
      <w:r>
        <w:t xml:space="preserve"> de 875.100 M (≈95 RMB por acción antes del descuento) [1].</w:t>
      </w:r>
    </w:p>
    <w:p>
      <w:pPr>
        <w:pStyle w:val="ListParagraph"/>
        <w:numPr>
          <w:ilvl w:val="0"/>
          <w:numId w:val="2"/>
        </w:numPr>
        <w:spacing w:after="60"/>
      </w:pPr>
      <w:r>
        <w:rPr>
          <w:b/>
        </w:rPr>
        <w:t xml:space="preserve">Dividendo creciente</w:t>
      </w:r>
      <w:r>
        <w:t xml:space="preserve">: 5,30 HKD por acción (1,25 % de rentabilidad) [3].</w:t>
      </w:r>
    </w:p>
    <w:p>
      <w:pPr>
        <w:pStyle w:val="Heading2"/>
      </w:pPr>
      <w:r>
        <w:t xml:space="preserve">En contra</w:t>
      </w:r>
    </w:p>
    <w:p>
      <w:pPr>
        <w:pStyle w:val="ListParagraph"/>
        <w:numPr>
          <w:ilvl w:val="0"/>
          <w:numId w:val="2"/>
        </w:numPr>
        <w:spacing w:after="60"/>
      </w:pPr>
      <w:r>
        <w:rPr>
          <w:b/>
        </w:rPr>
        <w:t xml:space="preserve">Caja libre negativa</w:t>
      </w:r>
      <w:r>
        <w:t xml:space="preserve"> en el 2T26 (−13.800 M) por la inversión en IA [1].</w:t>
      </w:r>
    </w:p>
    <w:p>
      <w:pPr>
        <w:pStyle w:val="ListParagraph"/>
        <w:numPr>
          <w:ilvl w:val="0"/>
          <w:numId w:val="2"/>
        </w:numPr>
        <w:spacing w:after="60"/>
      </w:pPr>
      <w:r>
        <w:rPr>
          <w:b/>
        </w:rPr>
        <w:t xml:space="preserve">Amortización al alza</w:t>
      </w:r>
      <w:r>
        <w:t xml:space="preserve">: del 4,5 % al 10,5 % de las ventas en nuestro caso base hasta 2029.</w:t>
      </w:r>
    </w:p>
    <w:p>
      <w:pPr>
        <w:pStyle w:val="ListParagraph"/>
        <w:numPr>
          <w:ilvl w:val="0"/>
          <w:numId w:val="2"/>
        </w:numPr>
        <w:spacing w:after="60"/>
      </w:pPr>
      <w:r>
        <w:rPr>
          <w:b/>
        </w:rPr>
        <w:t xml:space="preserve">Menos recompras</w:t>
      </w:r>
      <w:r>
        <w:t xml:space="preserve">: 34,98 M de acciones a julio frente a ≈112.000 M HKD en 2024 [4, 18].</w:t>
      </w:r>
    </w:p>
    <w:p>
      <w:pPr>
        <w:pStyle w:val="ListParagraph"/>
        <w:numPr>
          <w:ilvl w:val="0"/>
          <w:numId w:val="2"/>
        </w:numPr>
        <w:spacing w:after="60"/>
      </w:pPr>
      <w:r>
        <w:rPr>
          <w:b/>
        </w:rPr>
        <w:t xml:space="preserve">Riesgo país</w:t>
      </w:r>
      <w:r>
        <w:t xml:space="preserve">: estructura VIE, lista 1260H y controles de chips (prima de 2,9 puntos).</w:t>
      </w:r>
    </w:p>
    <w:p>
      <w:pPr>
        <w:pStyle w:val="ListParagraph"/>
        <w:numPr>
          <w:ilvl w:val="0"/>
          <w:numId w:val="2"/>
        </w:numPr>
        <w:spacing w:after="60"/>
      </w:pPr>
      <w:r>
        <w:rPr>
          <w:b/>
        </w:rPr>
        <w:t xml:space="preserve">Vendedor permanente</w:t>
      </w:r>
      <w:r>
        <w:t xml:space="preserve">: Prosus/Naspers reduce desde ≈29 % a ≈23 % [27].</w:t>
      </w:r>
    </w:p>
    <w:p>
      <w:pPr>
        <w:pStyle w:val="Heading2"/>
      </w:pPr>
      <w:r>
        <w:t xml:space="preserve">Qué tiene que pasar para que la tesis funcione</w:t>
      </w:r>
    </w:p>
    <w:p>
      <w:pPr>
        <w:spacing w:after="100"/>
      </w:pPr>
      <w:r>
        <w:t xml:space="preserve">La tesis depende de que la inversión en IA (≈22 % de las ventas en 2026) se traduzca en ingresos de nube y precio de publicidad antes de que la amortización llegue a la cuenta. La señal de que no se cumple: caja libre negativa también en el 3T26 y el 4T26 con la nube creciendo por debajo del 15 %, o un margen operativo no NIIF que baje del 35 %.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 en el 3T26 y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consume más caja de la que genera.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70.000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inversión eleva la amortización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marketing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IA se cobra en la publicidad.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Juegos nacionales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 principal de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Deuda neta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financia con deuda y menos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11,0x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Tencent nació en Shenzhen en 1998, fundada por Ma Huateng (Pony Ma) y otros cuatro socios, con un servicio de mensajería (OICQ, luego QQ). En 2001 entró Naspers (hoy Prosus), que llegó a tener un tercio del capital y sigue siendo el primer accionista [3]. Salió a la bolsa de Hong Kong en 2004. QQ financió el salto a los juegos en línea a mediados de los 2000 y Weixin (WeChat, 2011) se convirtió en la plataforma de comunicación, pagos y miniaplicaciones de China. Desde 2018 ha vivido dos golpes regulatorios (congelación de licencias de juegos en 2018 y 2021-22, campaña contra las plataformas en 2021) y ha repartido en especie participaciones en JD.com y Meituan. Desde 2024 el eje es la IA (modelos Hunyuan, nube y agentes) [3,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Shenzhen; servicio de mensajería OICQ (QQ).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Naspers (MIH) en el capital.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Hong Kong.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Weixin/WeChat.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Weixin Pay; inicio de los pagos móviles frente a Alipay.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Supercell (Finlandia) con un consorcio.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regulatoria y congelación de licencias de juegos; repartos en especie de JD.com (2021) y Meituan (2022).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Giro a la IA: modelos Hunyuan, Yuanbao y WorkBuddy; la inversión se triplica en el 2T26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Tencent es la mayor empresa de internet de China por beneficio. Sus tres negocios comparten la base de usuarios de Weixin y QQ: (1) servicios de valor añadido (49 % de los ingresos de 2025): juegos propios y licenciados en China y fuera (Honour of Kings, Peacekeeper Elite, Delta Force, Supercell, Riot) y suscripciones de vídeo y música; (2) servicios de marketing (19 %): publicidad en Video Accounts, Mini Programs y búsqueda de Weixin; y (3) fintech y servicios empresariales (31 %): Weixin Pay, gestión patrimonial, crédito al consumo y la nube [3]. Además posee una cartera de inversiones en cotizadas y no cotizadas valorada en ≈875.000 M a junio de 2026 [1].</w:t>
      </w:r>
    </w:p>
    <w:p>
      <w:pPr>
        <w:pStyle w:val="Heading2"/>
      </w:pPr>
      <w:r>
        <w:t xml:space="preserve">Cómo gana dinero</w:t>
      </w:r>
    </w:p>
    <w:p>
      <w:pPr>
        <w:spacing w:after="100"/>
      </w:pPr>
      <w:r>
        <w:t xml:space="preserve">El margen sale de la escala: un usuario más en Weixin cuesta casi nada y los juegos de móvil de éxito duran diez años. El margen bruto pasó del 44 % en 2021 al 56 % en 2025 por la mezcla (más publicidad y juegos propios, menos contenido de vídeo caro) [3]. Casi todos los ingresos son recurrentes: compras dentro de los juegos, publicidad y comisiones de pago. El gran cambio de 2026 es la inversión: la IA exige servidores que se amortizan en 4-6 años, y la inversión trimestral pasó de 19.100 M a 52.800 M [1]. El beneficio futuro depende de que la IA suba el precio de la publicidad y el gasto en la nube más deprisa que la amortización.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(juegos y redes sociales)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marketing (publicidad)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Fintech y servicios empresariales (pagos, nube)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(juegos y redes sociales)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marketing (publicidad)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Fintech y servicios empresariales (pagos, nube)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8.066</w:t>
            </w:r>
          </w:p>
        </w:tc>
      </w:tr>
    </w:tbl>
    <w:p>
      <w:pPr>
        <w:spacing w:after="160" w:before="0"/>
      </w:pPr>
    </w:p>
    <w:p>
      <w:pPr>
        <w:pStyle w:val="Heading2"/>
      </w:pPr>
      <w:r>
        <w:t xml:space="preserve">Clientes, recurrencia y poder de precios</w:t>
      </w:r>
    </w:p>
    <w:p>
      <w:pPr>
        <w:spacing w:after="100"/>
      </w:pPr>
      <w:r>
        <w:t xml:space="preserve">Ningún cliente pesa de forma relevante: cientos de millones de jugadores y usuarios de pago, millones de anunciantes y comercios. El poder de precios se ve en la publicidad: los ingresos de marketing crecieron un 19 % en 2025 por precio y por impresiones, y un 22 % en el 2T26, gracias a la segmentación con IA [1, 3]. En juegos, la regulación limita el tiempo de los menores, pero no el precio de los objetos virtuales.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juegos nacionales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≈40.400 M (2T25,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Delta Force, Honour of Kings y Peacekeeper Elite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marketing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≈35.700 M (2T25,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Mejores modelos de recomendación con IA y más inventario en Video Accounts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≈91.100 M (2T25,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98.414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juegos crecen; las redes sociales, menos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inmovilizado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19.100 M (2T25,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Servidores y centros de datos para IA; la caja libre del trimestre fue de −13.800 M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Usuarios mensuales de Yuanbao (asistente de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pasó recursos a WorkBuddy (agentes para empresas) y bajó la prioridad de Yuanbao [20].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Tencent no tiene un solo mercado: juegos, publicidad digital, pagos y nube en China. Usamos como referencia el mercado de videojuegos de China (CADPA, ventas reales), el que más pesa en su beneficio: 350.790 M RMB en 2025 (+7,7 %), con 683 millones de jugadores [21]. Niko Partners lo sitúa en 51.800 M USD (≈370.000 M RMB) [22]. La publicidad, los pagos y la nube no tienen una cifra de mercado contrastada en las fuentes consultadas.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≈350.800 M RMB en 2025 (videojuegos en China, CADPA)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RMB)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la publicidad (segmentación y creatividades)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Marketing +19 % en 2025 y +22 % en el 2T26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juegos y regulación de menores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Congelaciones de 2018 y 2021-22; en 2025 el mercado crece un 7,7 % con licencias normalizadas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capacidad de cálculo (chips)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del 2T26 de 52.800 M (+176 %); los controles de EE. UU. obligan a chips ASIC chinos [1,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comerciales y crédito al consumo crecen; fintech y empresas +8 % en 2025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ByteDance (Douyin) compite por el tiempo de uso y la publicidad; Alibaba, ByteDance y Huawei, en la nube e IA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Usuarios y anunciantes atomizados; Weixin es casi obligatorio en China.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de IA escasos por los controles de exportación de EE. UU.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Weixin y la escala de los juegos son difíciles de replicar.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Vídeo corto y asistentes de IA pueden desplazar el tiempo de uso de las aplicaciones de Tencent.</w:t>
            </w:r>
          </w:p>
        </w:tc>
      </w:tr>
    </w:tbl>
    <w:p>
      <w:pPr>
        <w:spacing w:after="160" w:before="0"/>
      </w:pPr>
    </w:p>
    <w:p>
      <w:pPr>
        <w:pStyle w:val="Heading2"/>
      </w:pPr>
      <w:r>
        <w:t xml:space="preserve">Ciclo</w:t>
      </w:r>
    </w:p>
    <w:p>
      <w:pPr>
        <w:spacing w:after="100"/>
      </w:pPr>
      <w:r>
        <w:t xml:space="preserve">Los juegos y la publicidad en China crecen a un dígito alto (videojuegos +7,7 % en 2025 [21]); el ciclo lo marca más la regulación que la economía: en 2021-22 los ingresos de Tencent cayeron (−1 % en 2022) por la congelación de licencias y los confinamientos [3]. En 2026 la variable es el ciclo de inversión en IA.</w:t>
      </w:r>
    </w:p>
    <w:p>
      <w:pPr>
        <w:pStyle w:val="Heading2"/>
      </w:pPr>
      <w:r>
        <w:t xml:space="preserve">Regulación</w:t>
      </w:r>
    </w:p>
    <w:p>
      <w:pPr>
        <w:spacing w:after="100"/>
      </w:pPr>
      <w:r>
        <w:t xml:space="preserve">Licencias de juegos de la NPPA y límites al tiempo de juego de los menores; supervisión de los pagos y el crédito por el banco central; seguridad de datos. En EE. UU., Tencent está en la lista 1260H de empresas militares chinas del Pentágono desde enero de 2025, lo que limita a algunos inversores estadounidenses [26]; los controles de exportación de chips frenan la IA [24].</w:t>
      </w:r>
    </w:p>
    <w:p>
      <w:pPr>
        <w:pStyle w:val="Heading2"/>
      </w:pPr>
      <w:r>
        <w:t xml:space="preserve">Tendencias y disrupción</w:t>
      </w:r>
    </w:p>
    <w:p>
      <w:pPr>
        <w:spacing w:after="100"/>
      </w:pPr>
      <w:r>
        <w:t xml:space="preserve">La IA es la tendencia que decide: mejora la publicidad (precio por impresión) y abre la nube y los agentes (WorkBuddy), pero exige una inversión que se triplica [1]. El vídeo corto (Douyin, Kuaishou) sigue ganando tiempo de uso; Tencent responde con Video Accounts. En juegos, los títulos para PC y consola y el mercado internacional ganan peso.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juegos en China (más de la mitad de las ventas del mercado según la industria; sin cifra contrastada aquí), 1.º en mensajería (Weixin) y 2.º en pagos móviles tras Alipay.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(Douyin, Doubao)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publicidad, tiempo de uso e IA de consumo;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NetEase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NTES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juegos de China.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BABA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1.023.670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e IA (Qwen) y publicidad de comercio electrónico; plan de inversión de 380.000 M RMB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 Group (Alipay)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pagos móviles y gestión patrimonial.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Kuaishou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1024.HK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Vídeo corto y publicidad.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Weixin reúne la comunicación, los pagos y las miniaplicaciones de más de mil millones de usuarios; el margen bruto sube del 44 % al 56 % en 2021-2025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Contactos, grupos, pagos y cuentas de juego viven en Weixin y QQ.</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Franquicias de juegos que duran una década (Honour of Kings) y licencias de la NPPA.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propia de juegos y publicidad sin coste de adquisición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Tencent, Alibaba, ByteDance y Huawei pueden financiar la IA a esta escala [5, 7].</w:t>
            </w:r>
          </w:p>
        </w:tc>
      </w:tr>
    </w:tbl>
    <w:p>
      <w:pPr>
        <w:spacing w:after="160" w:before="0"/>
      </w:pPr>
    </w:p>
    <w:p>
      <w:pPr>
        <w:pStyle w:val="Heading2"/>
      </w:pPr>
      <w:r>
        <w:t xml:space="preserve">Amenazas</w:t>
      </w:r>
    </w:p>
    <w:p>
      <w:pPr>
        <w:spacing w:after="100"/>
      </w:pPr>
      <w:r>
        <w:t xml:space="preserve">Tres amenazas: (1) que la IA de consumo cambie la puerta de entrada a internet (asistentes como Doubao de ByteDance) y Weixin pierda tiempo de uso; probabilidad media a cinco años; (2) un nuevo endurecimiento regulatorio sobre juegos o fintech, como en 2021-22 (media); (3) que la inversión en IA no se recupere y el foso se mantenga con un ROIC menor (media-alta en 2026-28) [1, 24].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2"/>
        <w:gridCol w:w="973"/>
        <w:gridCol w:w="778"/>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751.766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r>
    </w:tbl>
    <w:p>
      <w:pPr>
        <w:spacing w:after="160" w:before="0"/>
      </w:pPr>
    </w:p>
    <w:p>
      <w:pPr>
        <w:spacing w:after="100"/>
      </w:pPr>
      <w:r>
        <w:t xml:space="preserve">Crecimiento anual compuesto 2021-2025: ingresos </w:t>
      </w:r>
      <w:r>
        <w:rPr>
          <w:b/>
          <w:bCs/>
        </w:rPr>
        <w:t xml:space="preserve">7,6 %</w:t>
      </w:r>
      <w:r>
        <w:t xml:space="preserve">, EBITDA </w:t>
      </w:r>
      <w:r>
        <w:rPr>
          <w:b/>
          <w:bCs/>
        </w:rPr>
        <w:t xml:space="preserve">16,5 %</w:t>
      </w:r>
      <w:r>
        <w:t xml:space="preserve">, BPA </w:t>
      </w:r>
      <w:r>
        <w:rPr>
          <w:b/>
          <w:bCs/>
        </w:rPr>
        <w:t xml:space="preserve">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Tencent pasó de 560.118 M de ingresos en 2021 a 751.766 M en 2025 (TCAC del 7,6 %), con un 2022 negativo (−1 %) por la congelación de licencias de juegos y los confinamientos, y un 2025 fuerte (+13,9 %) por juegos nuevos y publicidad con IA [3, 5]. Todo es orgánico. El margen bruto subió del 43,9 % al 56,3 % y el EBITDA del 27,1 % al 37,2 %: más publicidad y juegos propios, menos contenido de vídeo caro y recorte de negocios con pérdidas desde 2022. En 2026 crece al 9-11 % (1T26 196.500 M, 2T26 204.785 M) [1, 14], pero el beneficio se frena: el atribuido NIIF del 2T26 sube un 0,7 % y el no NIIF un 9 %, porque la amortización y el gasto de los nuevos productos de IA crecen más que las ventas [1].</w:t>
      </w:r>
    </w:p>
    <w:p>
      <w:pPr>
        <w:pStyle w:val="Heading2"/>
      </w:pPr>
      <w:r>
        <w:t xml:space="preserve">Ajustes y partidas no recurrentes</w:t>
      </w:r>
    </w:p>
    <w:p>
      <w:pPr>
        <w:spacing w:after="100"/>
      </w:pPr>
      <w:r>
        <w:t xml:space="preserve">El beneficio NIIF no sirve para comparar años: incluye revalorizaciones, deterioros y repartos en especie de participadas (JD.com en 2021, Meituan en 2022), por eso va de 224.822 M en 2021 a 115.216 M en 2023 y vuelve a 224.842 M en 2025 [7]. Tencent publica un beneficio no NIIF (123.788 M en 2021, 259.600 M en 2025) que excluye esas partidas, los pagos en acciones y la amortización de intangibles comprados [3, 12]. Usamos el resultado operativo sin otras ganancias como EBIT del DCF y el BPA no NIIF para el PER, sabiendo que este excluye un coste real (pagos en acciones, ≈4-5 % de las ventas).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(12 de agosto) Tencent facturó 204.785 M (+11 %), por encima del consenso, pero el beneficio atribuido NIIF (56.000 M, +0,7 %) quedó por debajo de los ≈58.400 M esperados, y el no NIIF (68.400 M) creció un 9 % [1, 16]. La inversión en inmovilizado se disparó a 52.800 M (+176 %) y la caja libre fue negativa (−13.800 M; 37.600 M sin los anticipos por capacidad de cálculo para IA), la primera vez desde que la publica [1, 15]. La dirección presentó un resultado operativo no NIIF «sin los nuevos productos de IA» de 86.100 M (+19 %) para separar el negocio de siempre del gasto en IA, y anunció un aumento sustancial de la inversión en el segundo semestre con la llegada de chips ASIC diseñados en China [20]. Frente al 1T26 (ingresos +9 %, por debajo de lo esperado [14]), el discurso pasó de «ritmo prudente» a «aceleración»: en marzo había dicho que recortaría recompras para financiar la IA [3]. Los analistas preguntaron sobre todo por el retorno de la inversión en IA y por si la publicidad y los juegos la financian; la dirección no dio cifra de inversión anual ni plazo de retorno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1.612.364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1.578.131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721.391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1.577.246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1.780.995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2.038.986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1.154.152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balance es de holding de internet: 2,04 billones de activo, 1,15 billones de patrimonio atribuido y una cartera de participaciones de 875.100 M (487.200 M cotizadas a valor de mercado y 387.900 M no cotizadas a coste) a junio de 2026 [1, 10]. La deuda bruta ronda los 453.000 M frente a 511.200 M de caja: caja neta pequeña, 58.200 M [1]. La caja de 2021-2023 sale de Stockopedia (caja e inversiones a corto) y no es comparable al 100 % con el «total cash» de Tencent de 2024; la deuda de esos años no se ha podido obtener.</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744.775</w:t>
      </w:r>
      <w:r>
        <w:t xml:space="preserve">, conversión </w:t>
      </w:r>
      <w:r>
        <w:rPr>
          <w:b/>
          <w:bCs/>
        </w:rPr>
        <w:t xml:space="preserve">79 %</w:t>
      </w:r>
      <w:r>
        <w:t xml:space="preserve"> del beneficio neto; adquisiciones 0, dividendos 0, recompras 0.</w:t>
      </w:r>
    </w:p>
    <w:p>
      <w:pPr>
        <w:spacing w:after="100"/>
      </w:pPr>
      <w:r>
        <w:t xml:space="preserve">El flujo operativo pasó de 175.186 M en 2021 a 303.052 M en 2025, y la caja libre propia de Tencent (después de inversión, contenidos y arrendamientos) a 182.600 M en 2025 (+18 %) [3, 6]. La conversión del EBITDA en caja libre fue del 85 % en 2025. La inversión en inmovilizado e intangibles subió de 47.050 M en 2023 a 112.881 M en 2025 [8], y en 2026 se dispara: 52.800 M solo en el 2T26 y caja libre negativa en el trimestre (−13.800 M; 37.600 M sin anticipos de IA) [1]. Antes de la IA el capex de mantenimiento era de ≈5-7 % de las ventas (estimación propia: 2021-2023); el resto, ahora la mayoría, es de crecimiento en servidores de 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(Hong Kong)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PwC, opinión favorable [10]. Los riesgos de calidad son de presentación más que de manipulación: (1) el beneficio NIIF depende de la cartera de participaciones; (2) el no NIIF excluye los pagos en acciones, un coste recurrente de ≈4-5 % de las ventas; (3) la inversión devengada y la pagada difieren por los anticipos de servidores [19]. El Altman Z (3,31) es cómodo y el Piotroski F (7) bueno; el Beneish M no se calcula porque faltan clientes y activo corriente. Nada en las fuentes consultadas sugiere ingresos adelantados ni capitalización agresiva de gastos, pero no hemos podido leer las notas.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NIIF lleno de partidas de la cartera de inversiones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atribuido salta de 224.822 M (2021) a 115.216 M (2023) y vuelve a 224.842 M (2025) por revalorizaciones, deterioros y repartos en especie de participadas (JD.com en 2021, Meituan en 2022), no por el negocio [7, 12]. El no NIIF (123.788 M en 2021, 259.600 M en 2025) es la medida útil [3,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excluida del beneficio no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el resultado operativo no NIIF (280.700 M) y el operativo sin otras ganancias (245.628 M) en 2025, ≈35.000 M (4,7 % de las ventas), es sobre todo pagos en acciones y amortización de intangibles comprados [3, 5]: un coste real que el no NIIF no resta.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registrada frente a pagada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3T25 la inversión contable (12.980 M) y la pagada (≈20.000 M) difirieron por el devengo de servidores [19]; en el 2T26 la caja libre incluye anticipos por capacidad de cálculo: vigilar la diferencia entre devengo y pago.</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735.811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1.055.531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20,6 % · </w:t>
      </w:r>
      <w:r>
        <w:rPr>
          <w:b/>
          <w:bCs/>
        </w:rPr>
        <w:t xml:space="preserve">WACC</w:t>
      </w:r>
      <w:r>
        <w:t xml:space="preserve">: 9,3 %.</w:t>
      </w:r>
    </w:p>
    <w:p>
      <w:pPr>
        <w:spacing w:after="100"/>
      </w:pPr>
      <w:r>
        <w:t xml:space="preserve">Tencent crea valor: el ROIC del motor fue del 15,2 % en 2021, del 24,8 % en 2023 y del 17,5 % en 2025, frente a un WACC del 9,31 %: 8,2 puntos de diferencial. Ese ROIC está deprimido por el método: el capital invertido incluye la cartera de participaciones (875.100 M a valor de mercado y contable [1]), cuyo rendimiento no está en el EBIT; sin ella, el ROIC del negocio operativo pasaría del 40 % (estimación propia). Lo mueve el margen (EBITDA del 27,1 % al 37,2 % en 2021-2025), no la rotación (0,39 veces). El ROIC incremental (20,6 %) dice que el crecimiento reciente ha sido rentable; la caída de 2024-2025 (21,2 % a 17,5 %) recoge el primer año de capital para IA.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total de 511.200 M y caja neta de 58.200 M a 30-jun-2026 (−22 % interanual): la deuda bruta (préstamos y bonos) ronda los 453.000 M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No hemos podido leer las notas del informe anual (covenants, garantías, compromisos de compra de servidores). Lo relevante: (1) la caja neta bajó a 58.200 M en junio de 2026 (−22 % interanual) porque la deuda financia la IA [1]; (2) los anticipos por capacidad de cálculo para IA salen de la caja antes de que el activo entre en el balance, de modo que la deuda neta seguirá subiendo en el segundo semestre; (3) la estructura VIE no crea pasivos en balance, pero sí un riesgo jurídico.</w:t>
      </w:r>
    </w:p>
    <w:p>
      <w:pPr>
        <w:pStyle w:val="Heading1"/>
      </w:pPr>
      <w:r>
        <w:t xml:space="preserve">12. Asignación de capital</w:t>
      </w:r>
    </w:p>
    <w:p>
      <w:pPr>
        <w:pStyle w:val="Confianza"/>
        <w:spacing w:after="100"/>
      </w:pPr>
      <w:r>
        <w:t xml:space="preserve">Confianza: Media</w:t>
      </w:r>
    </w:p>
    <w:p>
      <w:pPr>
        <w:spacing w:after="100"/>
      </w:pPr>
      <w:r>
        <w:t xml:space="preserve">Dividendo ordinario creciente en HKD (1,60 por acción por 2021, 2,40 por 2022, 3,40 por 2023, 4,50 por 2024 y 5,30 por 2025, pagado el 1-jun-2026) [3, 4] y recompras: unos 112.000 M HKD en 2024 [4]. En marzo de 2026 la dirección dijo que recompraría menos para financiar la IA, manteniendo el dividendo [3]; la junta del 13-may-2026 renovó el mandato (hasta 911,8 M de acciones, el 10 %) [17]. A 6-jul-2026 el programa del año sumaba 34,98 M de acciones (≈0,38 % del capital)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0"/>
        <w:gridCol w:w="1126"/>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9.312,0</w:t>
            </w:r>
          </w:p>
        </w:tc>
      </w:tr>
    </w:tbl>
    <w:p>
      <w:pPr>
        <w:spacing w:after="160" w:before="0"/>
      </w:pPr>
    </w:p>
    <w:p>
      <w:pPr>
        <w:spacing w:after="100"/>
      </w:pPr>
      <w:r>
        <w:t xml:space="preserve">Tencent ha repartido mucho y bien: dividendo de 1,60 a 5,30 HKD por acción entre 2021 y 2025 y recompras de ≈112.000 M HKD en 2024 [4], que bajaron las acciones diluidas de 9.700 M a ≈9.312 M. Repartió en especie JD.com y Meituan en lugar de venderlas. El ROIC incremental de 2021-2025 (20,6 %) confirma que el crecimiento reciente ha creado valor. El cambio de 2026 es de fondo: recompras menores (34,98 M de acciones a julio) para financiar una inversión en IA que triplica la de 2025 [1, 18]. Si la IA rinde como la publicidad (marketing +22 %), la decisión será buena; si se parece a los años de inversiones fallidas (2021-22), se habrá destruido parte del ROIC.</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Huateng (Pony 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Tencent en 1998 y la dirige desde entonces; único consejero ejecutivo. Con él los ingresos pasaron de 560.118 M en 2021 a 751.766 M en 2025 tras superar la campaña regulatoria [10,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Lau Chi Ping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banquero de inversión; dirige la estrategia, las inversiones y la relación con los inversores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Lo Shek Hon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2016; responsable de la política de recompras y de la financiación de la inversión en IA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James Gordon Mitchell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la estrategia y las inversiones internacionales (juegos)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2025 por encima de la de 2024, dentro del rango dado a principios de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por debajo del rango por la escasez de chips, aunque por encima de 2024 (aviso de noviembre de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menores para financiar la IA; dividendo mantenido (marzo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5,30 HKD pagado; recompras más lentas (34,98 M de acciones a 6-jul)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muy estable: Ma Huateng (desde 1998), Martin Lau (desde 2006) y John Lo (desde 2016) han pasado juntos la campaña regulatoria de 2021-22 [10]. Tencent no da guía numérica de ingresos ni de beneficio, así que el historial se mide por la inversión y la política de capital: la inversión de 2025 quedó por debajo del rango por falta de chips [19] y el giro de 2026 (menos recompras, más IA) se anunció y se cumplió [32]. La sucesión es el riesgo: Ma Huateng tiene 55 años y no hay número dos designado públicamente.</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Huateng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Jacobus Petrus (Koos) Bekker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St Leger Searle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Dong Sheng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Charles Stone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Siu Shun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 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Xiulan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ambiente, sociedad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Prosus / Naspers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(primer accionista)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de forma continua desde 2022 (≈29 % entonces) para financiar sus recompras; 22,999 % en julio de 2025 [27,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 Huateng (vía Advance Data Services)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Estable [29,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Hong Kong la remuneración no se somete a voto consultivo anual. El grueso de la retribución de la cúpula es en acciones (planes de opciones y de acciones restringidas), cuyo coste (≈4-5 % de las ventas junto con la amortización de intangibles comprados) el beneficio no NIIF excluye [10]. No hemos podido leer las métricas del variable ni la remuneración del consejero delegado: el informe anual no abre desde este entorno.</w:t>
      </w:r>
    </w:p>
    <w:p>
      <w:pPr>
        <w:pStyle w:val="Heading2"/>
      </w:pPr>
      <w:r>
        <w:t xml:space="preserve">Operaciones vinculadas, estructura de control y defensas</w:t>
      </w:r>
    </w:p>
    <w:p>
      <w:pPr>
        <w:spacing w:after="100"/>
      </w:pPr>
      <w:r>
        <w:t xml:space="preserve">Tencent es una sociedad de las Islas Caimán con una sola clase de acciones, pero opera en China a través de entidades de interés variable (VIE) por las restricciones a la inversión extranjera en internet: el accionista tiene derechos contractuales, no la propiedad directa de las licencias. Prosus (≈23 %) es el primer accionista y tiene dos consejeros dominicales, pero no controla la junta; el fundador (8,84 %) preside el consejo y es el único ejecutivo [10, 27, 29]. La venta continua de Prosus es un vendedor permanente en el mercado.</w:t>
      </w:r>
    </w:p>
    <w:p>
      <w:pPr>
        <w:pStyle w:val="Heading2"/>
      </w:pPr>
      <w:r>
        <w:t xml:space="preserve">Señales de alerta</w:t>
      </w:r>
    </w:p>
    <w:p>
      <w:pPr>
        <w:pStyle w:val="ListParagraph"/>
        <w:numPr>
          <w:ilvl w:val="0"/>
          <w:numId w:val="2"/>
        </w:numPr>
        <w:spacing w:after="60"/>
      </w:pPr>
      <w:r>
        <w:t xml:space="preserve">Presidente y consejero delegado en la misma persona, sin consejero coordinador independiente.</w:t>
      </w:r>
    </w:p>
    <w:p>
      <w:pPr>
        <w:pStyle w:val="ListParagraph"/>
        <w:numPr>
          <w:ilvl w:val="0"/>
          <w:numId w:val="2"/>
        </w:numPr>
        <w:spacing w:after="60"/>
      </w:pPr>
      <w:r>
        <w:t xml:space="preserve">Estructura VIE: los derechos del accionista extranjero dependen de contratos con entidades chinas.</w:t>
      </w:r>
    </w:p>
    <w:p>
      <w:pPr>
        <w:pStyle w:val="ListParagraph"/>
        <w:numPr>
          <w:ilvl w:val="0"/>
          <w:numId w:val="2"/>
        </w:numPr>
        <w:spacing w:after="60"/>
      </w:pPr>
      <w:r>
        <w:t xml:space="preserve">Inclusión en la lista 1260H del Pentágono (enero de 2025): limita a ciertos inversores de EE. UU.</w:t>
      </w:r>
    </w:p>
    <w:p>
      <w:pPr>
        <w:pStyle w:val="ListParagraph"/>
        <w:numPr>
          <w:ilvl w:val="0"/>
          <w:numId w:val="2"/>
        </w:numPr>
        <w:spacing w:after="60"/>
      </w:pPr>
      <w:r>
        <w:t xml:space="preserve">Venta continua de Prosus/Naspers (de ≈29 % a ≈23 % desde 2022).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Tencent no publica guía de ingresos ni de beneficio. En marzo de 2026 dijo que al menos duplicaría la inversión en IA en 2026 y que recompraría menos para financiarla, manteniendo el dividendo [49]; en agosto anunció un aumento sustancial de la inversión en el segundo semestre con chips ASIC chinos.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47 analistas, 35,64 HKD a 0,859 RMB/HKD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 39,38 HKD a 0,859 RMB/HKD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308.750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926.251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351.975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369,59 – 794,62</w:t>
            </w:r>
          </w:p>
        </w:tc>
      </w:tr>
    </w:tbl>
    <w:p>
      <w:pPr>
        <w:spacing w:after="160" w:before="0"/>
      </w:pPr>
    </w:p>
    <w:p>
      <w:pPr>
        <w:pStyle w:val="Heading2"/>
      </w:pPr>
      <w:r>
        <w:t xml:space="preserve">Revisiones de estimaciones</w:t>
      </w:r>
    </w:p>
    <w:p>
      <w:pPr>
        <w:spacing w:after="100"/>
      </w:pPr>
      <w:r>
        <w:t xml:space="preserve">Tras el 2T26 los objetivos se separan: Mizuho baja de 610 a 560 HKD (neutral) por la caja libre negativa [51]; Citi sube a 765 HKD y Bank of America mantiene 780 HKD (compra), aunque sube su inversión estimada de 2026-28 un 23-25 % y baja su caja libre de 2026 a 67.200 M [49]. En marzo Morgan Stanley había recortado un 6-7 % su resultado operativo no NIIF de 2026-27 por el gasto en IA. Tendencia: recortes de beneficio y caja, objetivos estables en media (677 HKD [37]).</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 365,25 RMB (425,20 HKD) la acción cotiza a 9,7 veces el EBITDA de 2025, frente a una media de 16,8 veces en los cierres de 2022-2025, y a 15,2 veces el BPA NIIF frente a 20,9 de media. Con el BPA no NIIF, el PER de cierre fue de 23,8 en 2022 (beneficio deprimido), 16,3 en 2023, 16,8 en 2024 y 19,3 en 2025; hoy es de ≈11,7 sobre nuestro BPA de 2027e. El descuento tiene causa: el mercado ya no paga por el beneficio de hoy, sino por la caja libre, que la inversión en IA reduce a casi cero en 2026 [49]. Faltan los cierres de 2018-2021.</w:t>
      </w:r>
    </w:p>
    <w:p>
      <w:pPr>
        <w:pStyle w:val="Heading1"/>
      </w:pPr>
      <w:r>
        <w:t xml:space="preserve">18. Comparables cotizados</w:t>
      </w:r>
    </w:p>
    <w:p>
      <w:pPr>
        <w:pStyle w:val="Confianza"/>
        <w:spacing w:after="100"/>
      </w:pPr>
      <w:r>
        <w:t xml:space="preserve">Confianza: Baja</w:t>
      </w:r>
    </w:p>
    <w:p>
      <w:pPr>
        <w:spacing w:after="100"/>
      </w:pPr>
      <w:r>
        <w:t xml:space="preserve">Plataformas de internet con publicidad, juegos o nube. Chinas (Alibaba, NetEase, Baidu, PDD), con el mismo riesgo país y la misma base de BPA ajustado, y estadounidenses (Meta, Alphabet, Netflix), con el mismo modelo de publicidad e IA. Los múltiplos de las estadounidenses vienen de los informes del repo de 7-14 de octubre; los de las chinas, de MarketScreener, Citi y el informe de Alibaba [42, 43, 44, 45, 46, 47, 48]. Capitalización en millones de RMB a 6,70 RMB/USD.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NetEase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Baidu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12.345.889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29.053.786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18,9x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15,3x / 20,0x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751.766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 / 7,1x / 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Tencent cotiza a 11,0 veces el BPA de los próximos 12 meses del consenso, por debajo de la mediana de los comparables (15,3 veces) y en la zona de las chinas (Alibaba 15,3, Baidu 13,3, NetEase 12,8, PDD 9,4), muy por debajo de las estadounidenses (Meta 21,4, Alphabet 24,5, Netflix 18,7) [42, 43, 44, 45, 46, 47, 48]. El descuento frente a Meta, con márgenes y ROIC parecidos, es el descuento país (VIE, lista 1260H, regulación); frente a las chinas, Tencent tiene más margen y menos inversión relativa que Alibaba, lo que justificaría una prima, no un descuento. Usamos la mediana del PER para el objetivo alcista; el EV/EBITDA de los comparables (643,90 RMB) lo inflan las estadounidenses y no se usa.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+11 % en 2026e (fijo: +9 % en el 1T26 y +11 % en el 2T26 [1, 14]) y en 2027e, bajando a +3 % en 2035e. Es la TCAC de 2021-2025 (7,6 %) más la nube y la publicidad con IA en los primeros años; el consenso implica un 9-10 % [39]. El mercado de juegos de China crece al 7,7 % [21].</w:t>
      </w:r>
    </w:p>
    <w:p>
      <w:pPr>
        <w:keepNext/>
        <w:spacing w:after="100"/>
      </w:pPr>
      <w:r>
        <w:rPr>
          <w:b/>
          <w:bCs/>
        </w:rPr>
        <w:t xml:space="preserve">Márgenes.</w:t>
      </w:r>
    </w:p>
    <w:p>
      <w:pPr>
        <w:spacing w:after="100"/>
      </w:pPr>
      <w:r>
        <w:t xml:space="preserve">Margen EBITDA del 37,0 % en 2026e (37,2 % en 2025: los nuevos productos de IA restan) que sube al 40 % en 2030e por el apalancamiento de la publicidad y la nube. Es el gran supuesto: el margen subió diez puntos en 2021-2025, pero la IA añade costes de cálculo que no pasan por la amortización.</w:t>
      </w:r>
    </w:p>
    <w:p>
      <w:pPr>
        <w:keepNext/>
        <w:spacing w:after="100"/>
      </w:pPr>
      <w:r>
        <w:rPr>
          <w:b/>
          <w:bCs/>
        </w:rPr>
        <w:t xml:space="preserve">Inversión y circulante.</w:t>
      </w:r>
    </w:p>
    <w:p>
      <w:pPr>
        <w:spacing w:after="100"/>
      </w:pPr>
      <w:r>
        <w:t xml:space="preserve">Capex del 22 % de las ventas en 2026e (≈183.000 M; el 2T26 ya fue de 52.800 M y la dirección anuncia más en el segundo semestre [1, 20]), 18 % en 2027e y 10,5 % al final (frente al 6,7 % de 2021-2023 y 15 % de 2025). La amortización sube del 4,5 % de las ventas en 2025 al 10,5 % en 2029e (servidores a 4-6 años). Circulante nulo: Tencent cobra por adelantado en juegos y publicidad.</w:t>
      </w:r>
    </w:p>
    <w:p>
      <w:pPr>
        <w:keepNext/>
        <w:spacing w:after="100"/>
      </w:pPr>
      <w:r>
        <w:rPr>
          <w:b/>
          <w:bCs/>
        </w:rPr>
        <w:t xml:space="preserve">Coste del capital.</w:t>
      </w:r>
    </w:p>
    <w:p>
      <w:pPr>
        <w:spacing w:after="100"/>
      </w:pPr>
      <w:r>
        <w:t xml:space="preserve">Todo en RMB: bono chino a 10 años del 1,67 % [36], beta 1,0 (sin datos de bolsa; la de un grupo de internet diversificado), prima de mercado del 5,5 % y prima adicional de 2,9 puntos (estructura VIE, lista 1260H y riesgo regulatorio, igual que en el informe de Alibaba), coste de la deuda del 3,0 % y un 10 % de deuda: WACC del 9,31 %.</w:t>
      </w:r>
    </w:p>
    <w:p>
      <w:pPr>
        <w:keepNext/>
        <w:spacing w:after="100"/>
      </w:pPr>
      <w:r>
        <w:rPr>
          <w:b/>
          <w:bCs/>
        </w:rPr>
        <w:t xml:space="preserve">Valor terminal.</w:t>
      </w:r>
    </w:p>
    <w:p>
      <w:pPr>
        <w:spacing w:after="100"/>
      </w:pPr>
      <w:r>
        <w:t xml:space="preserve">Gordon con un 1,1 % (tasa libre china menos medio punto, por coherencia con la divisa de los flujos). El múltiplo implícito es de 7,4 veces el EBITDA terminal, por debajo de la media histórica (16,8 veces), lo que hace al terminal conservador; con un múltiplo de 10 veces el valor sería mayor.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1.530.104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4.558.457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6.120.418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2.007.641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3.623.531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613.167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0,6 %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1,6 %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2,1 %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552,62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340.812 M (12 % del NOPAT)</w:t>
            </w:r>
          </w:p>
        </w:tc>
      </w:tr>
    </w:tbl>
    <w:p>
      <w:pPr>
        <w:spacing w:after="160" w:before="0"/>
      </w:pPr>
    </w:p>
    <w:p>
      <w:pPr>
        <w:spacing w:after="100"/>
      </w:pPr>
      <w:r>
        <w:t xml:space="preserve">La proyección apenas necesita inversión neta de la amortización (reinversión acumulada de 340.812 M, el 12 % del NOPAT, con un capex bruto medio del 13,4 % de las ventas). En un negocio de activos ligeros, el crecimiento medio del 7,4 %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impresiones de publicidad (Video Accounts), usuarios de la nube y juegos nuevos; precio: subida del precio por impresión con la segmentación por IA (marketing +22 % en el 2T26) [1]; otros: nuevos productos de IA y nube.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2026e; el volumen de los juegos se modera y la nube gana peso con la capacidad nueva.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publicidad sigue por precio; los juegos crecen con el mercado (≈7-8 %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 hacia el crecimiento del consumo digital chino.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volumen 3,5 % y precio 2,5 %.</w:t>
            </w:r>
          </w:p>
        </w:tc>
      </w:tr>
    </w:tbl>
    <w:p>
      <w:pPr>
        <w:spacing w:after="160" w:before="0"/>
      </w:pPr>
    </w:p>
    <w:p>
      <w:pPr>
        <w:spacing w:after="100"/>
      </w:pPr>
      <w:r>
        <w:t xml:space="preserve">En parte. El motor no hace la prueba de reinversión porque la reinversión neta de toda la proyección es solo del 12 % del NOPAT; la hacemos a mano para 2026-2028, los años de la IA: la inversión neta (capex menos amortización) suma ≈268.000 M y el EBIT crece ≈50.000 M (≈41.000 M de NOPAT): el capital nuevo rinde ≈15 %, por debajo del ROIC incremental histórico (20,6 %) y del ROIC actual (17,5 %), así que la prueba no falla y no rebajamos el caso base. El foso (Weixin, juegos de diez años, publicidad que sube precio) sostiene un crecimiento del 7-9 % sin capital nuevo, como en 2023-2025. Lo que no está probado es que la IA rinda ese 15 %: es la apuesta de 2026-28 y la razón de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 (base: 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 (WACC: 9,3 %)</w:t>
            </w:r>
          </w:p>
        </w:tc>
      </w:tr>
    </w:tbl>
    <w:p>
      <w:pPr>
        <w:spacing w:after="160" w:before="0"/>
      </w:pPr>
    </w:p>
    <w:p>
      <w:pPr>
        <w:spacing w:after="100"/>
      </w:pPr>
      <w:r>
        <w:t xml:space="preserve">El DCF da 464,31 RMB por acción (540,5 HKD), un 27,1 % sobre el precio, con un WACC del 9,31 % y un valor terminal del 55 %. La sensibilidad (WACC y crecimiento ± 0,5 puntos) va de 428,09 a 510,26 RMB: el precio queda por debajo incluso del extremo bajo. El DCF inverso dice que a 365,25 RMB el mercado descuenta un crecimiento del 2,7 % anual en 2027-2035 (frente al 7,0 % de nuestro base) o un margen EBITDA del 32,9 % (frente al 40 %); la rentabilidad implícita es del 11,8 %. Es una expectativa conservadora para una empresa que ha crecido al 7,6 % con márgenes al alza, pero coherente con un mercado que duda de que la inversión en IA rinda y que aplica un descuento país. El DCF se fía de que el margen suba con la IA; si la IA solo defiende el negocio, el valor baja hacia el escenario bajista.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no se cobra: la inversión sigue alta y la amortización come el margen (−3 puntos), ByteDance gana tiempo de uso y el crecimiento cae tres puntos, como en 2021-22 con la regulación. Más riesgo país (WACC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al 11 % en 2026-27 bajando al 3 %, margen EBITDA hacia el 40 % con la publicidad y la nube, inversión que vuelve al 10,5 % de las ventas en 2034e.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sube el precio de la publicidad y la nube crece deprisa: dos puntos más de crecimiento y 1,5 de margen; el mercado vuelve a pagar por el beneficio.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CNY) · precio actual 36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449,68 CNY (+23,1 %).</w:t>
      </w:r>
    </w:p>
    <w:p>
      <w:pPr>
        <w:spacing w:after="100"/>
      </w:pPr>
      <w:r>
        <w:t xml:space="preserve">El DCF da 325,39 RMB en el bajista (−10,9 %), 464,31 en el base y 544,70 en el alcista (+49,1 %). La asimetría del valor intrínseco es favorable (4,50 veces), pero no es lo que manda: a 12 meses el bajista pierde un 19,4 % y el alcista gana un 51 %. Damos un 25 % a cada extremo: el bajista es verosímil (Tencent ya vivió un 2022 con ingresos a la baja) y el alcista exige que la IA se pague pronto.</w:t>
      </w:r>
    </w:p>
    <w:p>
      <w:pPr>
        <w:pStyle w:val="Heading1"/>
      </w:pPr>
      <w:r>
        <w:t xml:space="preserve">22. Suma de partes</w:t>
      </w:r>
    </w:p>
    <w:p>
      <w:pPr>
        <w:pStyle w:val="Confianza"/>
        <w:spacing w:after="100"/>
      </w:pPr>
      <w:r>
        <w:t xml:space="preserve">Confianza: Baja</w:t>
      </w:r>
    </w:p>
    <w:p>
      <w:pPr>
        <w:spacing w:after="100"/>
      </w:pPr>
      <w:r>
        <w:t xml:space="preserve">No se aplica como método: Tencent no publica el resultado de cada segmento en las fuentes consultadas. La cartera de participaciones (875.100 M, ≈95 RMB por acción antes del descuento) se suma en el puente con un 20 % de descuento (impuestos sobre plusvalías y descuento de holding): 700.080 M, ≈76 RMB por acción [1].</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CNY) · precio actual 36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470,61 CNY (+28,8 % sobre 365,25).</w:t>
      </w:r>
    </w:p>
    <w:p>
      <w:pPr>
        <w:spacing w:after="100"/>
      </w:pPr>
      <w:r>
        <w:t xml:space="preserve">El DCF pesa un 45 %: el negocio genera caja estable y la gran incógnita (la inversión en IA) está explícita en los supuestos. Los escenarios pesan un 30 % por esa incógnita y los comparables un 25 %, solo por PER, porque el EV/EBITDA de las estadounidenses no es comparable. No hay transacciones comparables. Todos los métodos quedan por encima del precio: el valor objetivo es de 470,61 RMB (547,9 HKD). La decisión, sin embargo, la toma el objetivo a 12 meses: el mercado paga hoy 11-12 veces el beneficio y no hay razón para que vuelva a 16-17 veces antes de ver la caja de la 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r>
    </w:tbl>
    <w:p>
      <w:pPr>
        <w:spacing w:after="160" w:before="0"/>
      </w:pPr>
    </w:p>
    <w:p>
      <w:pPr>
        <w:spacing w:after="100"/>
      </w:pPr>
      <w:r>
        <w:rPr>
          <w:b/>
          <w:bCs/>
        </w:rPr>
        <w:t xml:space="preserve">Objetivo a 12 meses (ponderado):</w:t>
      </w:r>
      <w:r>
        <w:t xml:space="preserve"> 404,75 CNY (471,19 HKD) · rentabilidad +12,1 % (base +8,5 %) · señal Mantener.</w:t>
      </w:r>
    </w:p>
    <w:p>
      <w:pPr>
        <w:keepNext/>
        <w:spacing w:after="100"/>
      </w:pPr>
      <w:r>
        <w:rPr>
          <w:b/>
          <w:bCs/>
        </w:rPr>
        <w:t xml:space="preserve">Frente al consenso (solo contraste).</w:t>
      </w:r>
    </w:p>
    <w:p>
      <w:pPr>
        <w:spacing w:after="100"/>
      </w:pPr>
      <w:r>
        <w:t xml:space="preserve">Nuestro base (391,37 RMB, 455,6 HKD) queda un 32,7 % por debajo del objetivo medio de los analistas (581,91 RMB, 677,42 HKD; 51 analistas) [37, 38]. Un tercio sale del BPA: 31,10 RMB en 2027e frente a 33,83 del consenso (−8 %), porque llevamos la amortización de los servidores de IA al 8,5-10 % de las ventas en 2027-28. Dos tercios salen del múltiplo: usamos el PER actual (11,7 veces nuestro BPA de 2027e), menor que la mediana de 2023-2025 (16,8), mientras los objetivos de los analistas implican 17-20 veces. Los objetivos medios no se han movido en tres meses, aunque Mizuho bajó a 560 HKD [51] y Citi subió a 765 HKD.</w:t>
      </w:r>
    </w:p>
    <w:p>
      <w:pPr>
        <w:keepNext/>
        <w:spacing w:after="100"/>
      </w:pPr>
      <w:r>
        <w:rPr>
          <w:b/>
          <w:bCs/>
        </w:rPr>
        <w:t xml:space="preserve">Del valor intrínseco al objetivo a 12 meses.</w:t>
      </w:r>
    </w:p>
    <w:p>
      <w:pPr>
        <w:spacing w:after="100"/>
      </w:pPr>
      <w:r>
        <w:t xml:space="preserve">El valor intrínseco (470,61 RMB) queda un 16 % por encima del objetivo ponderado a 12 meses (404,75 RMB). Para cerrar la distancia hace falta que el mercado vuelva a pagar el PER histórico (16-17 veces) y eso exige ver que la IA rinde: caja libre positiva otra vez, nube creciendo por encima del 20 % o margen de publicidad al alza. El catalizador con fecha son los resultados del 3T26 (mediados de noviembre) y del 4T26 (marzo de 2027), con la guía de inversión de 2027. La distancia es menor del 25 %: la tesis cabe en 12-18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noviembre de 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inversión del segundo semestre y de la caja libre; consenso de BPA anual 30,61 RMB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(5,30 HKD en 2025) y plan de inversión y recompras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Hunyuan Hy4 y despliegue de WorkBuddy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IA se cobra en la nube y la publicidad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Prosus/Naspers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permanente (≈23 %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 la lista 1260H y controles de chips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Salir de la lista abriría la acción a inversores de EE. UU.; más controles encarecerían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no se recupera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325,39 RMB en el DCF; −19,4 %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de siempre crece un 19 % en resultado operativo sin la IA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negativa en el 3T26 y el 4T26; margen bruto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juegos o fintech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normalizadas desde 2023; mercado de juegos +7,7 % en 2025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Congelación de licencias de la NPPA, nuevas normas de menores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lista 1260H, controles de chips, sanciones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(más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ASIC chinos; ingresos casi solo en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restricciones de EE. UU. sobre inversión en empresas de la lista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ByteDance en tiempo de uso, publicidad e IA de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Weixin como plataforma de pagos y miniaplicaciones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marketing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continua de Prosus/Naspers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Presión técnica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de Tencent absorben 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de las ventas o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Estructura VIE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Jurídico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Binario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 usada por todo el sector desde hace 20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regulación china de VIE o de cotización en el exterior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 la cartera de participaciones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a −10 % (≈76 RMB por acción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Diversificada; ya va con un 20 % de descuento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valor de las cotizadas (−11 % en el 2T26 [1])</w:t>
            </w:r>
          </w:p>
        </w:tc>
      </w:tr>
    </w:tbl>
    <w:p>
      <w:pPr>
        <w:spacing w:after="160" w:before="0"/>
      </w:pPr>
    </w:p>
    <w:p>
      <w:pPr>
        <w:pStyle w:val="Heading2"/>
      </w:pPr>
      <w:r>
        <w:t xml:space="preserve">Pre-mortem</w:t>
      </w:r>
    </w:p>
    <w:p>
      <w:pPr>
        <w:spacing w:after="100"/>
      </w:pPr>
      <w:r>
        <w:t xml:space="preserve">Octubre de 2029: la acción ha perdido un 40 %. Lo más probable es que la IA se haya convertido en un coste sin precio. Tencent invirtió ≈180.000 M en 2026 y otro tanto en 2027 porque ByteDance y Alibaba lo hacían; los modelos chinos se igualaron entre sí y con los de código abierto, la nube entró en guerra de precios y la publicidad no subió más de lo que habría subido sin IA. La amortización pasó del 4,5 % al 11 % de las ventas y el margen operativo cayó cinco puntos; el BPA de 2028 se quedó en 28 RMB en lugar de 33. A la vez, el mercado siguió pagando 10-11 veces el beneficio por el riesgo país, y Prosus siguió vendiendo. El indicador que lo habría anticipado: la caja libre de los cuatro trimestres de 2026-27 sin recuperarse y el crecimiento de la nube por debajo del 15 % pese a la inversión.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Tencent es (1) la protección de menores en los juegos (límites de tiempo y gasto; una norma nueva puede recortar ingresos, como en 2021); (2) la privacidad y la seguridad de datos de más de mil millones de usuarios de Weixin; y (3) el consumo eléctrico de los centros de datos de IA, que crece con la inversión (×2,8 en el 2T26) [1].</w:t>
      </w:r>
    </w:p>
    <w:p>
      <w:pPr>
        <w:pStyle w:val="Heading2"/>
      </w:pPr>
      <w:r>
        <w:t xml:space="preserve">Controversias</w:t>
      </w:r>
    </w:p>
    <w:p>
      <w:pPr>
        <w:spacing w:after="100"/>
      </w:pPr>
      <w:r>
        <w:t xml:space="preserve">En enero de 2025 el Pentágono incluyó a Tencent en la lista 1260H de empresas militares chinas; Tencent lo niega y lo recurre [26]. No hemos encontrado sanciones nuevas relevantes en 2026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inversión prevista para 2026 y 2027, y qué parte son anticipos por capacidad que no aparecen aún en el activo?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tuvo 52.800 M de inversión y caja libre negativa; nuestra proyección supone el 22 % de las ventas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nube e IA atribuye a la inversión de 2025-26,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resultado operativo «sin nuevos productos de IA» (+19 %) del total, pero no da el retorno.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de recompras prevé en 2027 si la caja libre sigue cerca de 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Bajaron de ≈112.000 M HKD en 2024 a 29.100 M HKD hasta agosto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vida útil aplica a los servidores de IA y cómo evoluciona la amortización en 2027-28?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nuestro BPA de 2027e (31,10 RMB) del consenso (33,83).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monetizar la cartera de 875.100 M para financiar la IA en lugar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neta baja a 58.200 M y la cartera vale casi una cuarta parte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para Ma Huateng y un consejero coordinador independiente?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en la misma persona desde 1998.</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van de un valor razonable de 370 HKD (la más seguida, que ve la acción cara por la inversión en IA) a 508-814 HKD (que la ven barata)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 vía Pluang)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que la acción está barata (≈13,5 veces el BPA de 2026, por debajo de su media de cinco años) y que recompras y dividendos sostienen el precio; reconoce que la IA baja la caja libre a corto plazo y menciona la lista 1260H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LongPort (comunidad de inversores, gira de BofA)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preguntas de los inversores en Hong Kong fueron casi solo sobre IA: inversión, cómo se cobra, mercado de chips y modelos; el mensaje que circula es «paciencia» [53,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Tiger Brokers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2T26 domina la decepción por la caja libre negativa y el beneficio por debajo de lo esperado; se discute si el mercado «castiga» a los que más invierten en IA [55].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destruye caja a corto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caja libre de −13.800 M en el 2T26 e inversión ×2,8. Nuestro DCF lo recoge con una inversión del 22 % de las ventas en 2026 y amortizaciones que se triplican hasta 2029.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más lentas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29.100 M HKD hasta agosto frente a ≈112.000 M HKD en 2024 [54]. No contamos recompras no anunciadas en el BPA.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frente a su historia (PER ≈12-13x)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 pero el BPA de 2027-28 lo frena la amortización de la IA: nuestro PER actual (sobre nuestro BPA de 2027e) es de ≈11-12x.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geopolítico (lista 1260H, chips)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en riesgos y en la prima adicional del WACC (2,9 puntos).</w:t>
            </w:r>
          </w:p>
        </w:tc>
      </w:tr>
    </w:tbl>
    <w:p>
      <w:pPr>
        <w:spacing w:after="160" w:before="0"/>
      </w:pPr>
    </w:p>
    <w:p>
      <w:pPr>
        <w:spacing w:after="100"/>
      </w:pPr>
      <w:r>
        <w:t xml:space="preserve">El sentimiento acompaña a la caída (−36 % desde el máximo de 52 semanas): el inversor particular y el institucional discuten lo mismo, si la inversión en IA rendirá, y nadie tiene la respuesta antes de 2027. No hay euforia ni capitulación: hay división, con los analistas mucho más optimistas (objetivo medio de 677 HKD) que el precio. El foro no aporta un riesgo que el informe no tenga; sí confirma que el catalizador es una prueba de rentabilidad de la IA (nube, publicidad) en los próximos resultados.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57 (11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-32,7 %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 9, 11, 13, 31, 33, 50,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minoritarios y BAI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(PDF de tencent.com) no abre desde la nube; 2) Stock Analysis y Stockopedia por búsqueda: solo dan ingresos, bruto, operativo y beneficio; 3) comunicados de resultados por búsqueda: solo cifras de titular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clientes, proveedores, deuda de 2021-2023,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Stockopedia y Fintel por búsqueda: líneas en blanco; 3) caja neta publicada solo para 2024, 2025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recompras, pagos de arrendamientos y adquisiciones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informe anual no accesible; 2) Stockopedia: filas en blanco; 3) prensa: solo el total de recompras de 2024 en HKD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Tencent no publica ingresos por país salvo los juegos internacionales; 2) informe anual no accesible; 3) prensa: solo crecimiento de juegos internacionales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5 años del mercado,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CADPA por búsqueda: solo 2025; 2) Niko Partners: 2025 y previsión 2026 en USD; 3) publicidad digital en China: sin cifra en las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 de inversores no accesibles; 2) Stock Analysis por búsqueda solo para Alibaba; 3)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no accesibles; 2) informe ESG no accesible; 3) sin búsqueda por cupo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consejero delegado, votos en junta,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(PDF) no accesible desde la nube; 2) actas de la junta de mayo de 2026 en HKEX no accesibles; 3) búsqueda: solo la participación de Ma Huateng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HKEX no abren; 3) búsqueda: solo cierres sueltos y rango de 52 semanas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compras de plataformas comparables en China con múltiplo publicado; 2) búsqueda de operaciones de juegos (Supercell, Riot) sin múltiplo reciente; 3)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2021 (y 2018-2020)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Digrin por búsqueda: solo 2022-2025; 3) búsqueda en prensa: sin cierre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búsqueda: solo BPA medio en HKD (Aktien.guide); 3) CMBI: solo beneficio no NIIF de 2026 sin cifra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LIHKG, Futu y Xueqiu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y Stocktwits bloqueados para la búsqueda; 2) búsqueda en chino (連登, 富途, 雪球): sin hilos, solo prensa; 3) búsqueda en inglés de r/stocks y r/ValueInvesting: sin hilos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operativo sin la cartera de participaciones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accesible (valor contable de las participadas); 2) comunicado del 2T26: solo valor de mercado y contable total; 3) cálculo aproximado propio en el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 Announces 2026 Second Quarter Results (comunicado,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https://en.prnasia.com/releases/apac/tencent-announces-2026-second-quarter-results-543788.shtml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 Announces 2026 Second Quarter Results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https://www.tencent.com/wp-content/uploads/2026/08/Tencent-Announces-2026-Second-Quarter-Results.pdf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Announces 2025 Annual and Fourth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https://en.prnasia.com/releases/apac/tencent-announces-2025-annual-and-fourth-quarter-results-525781.shtml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Announces 2024 Annual and Fourth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https://en.prnasia.com/releases/apac/tencent-announces-2024-annual-and-fourth-quarter-results-482244.shtml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(TCEHY): cuenta de resultados anual 2021-2025 (ingresos, beneficio bruto, resultado operativo sin otras ganancias)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https://stockanalysis.com/quote/otc/TCEHY/financials/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(TCEHY): estado de flujos anual 2021-2025 (flujo operativo,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https://stockanalysis.com/quote/otc/TCEHY/financials/cash-flow-statement/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cuenta de resultados (beneficio atribuido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https://www.stockopedia.com/share-prices/tencent-holdings-PNK:TCEHY/income-statement/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flujos de caja (inversiones en inmovilizado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https://www.stockopedia.com/share-prices/tencent-holdings-PNK:TCEHY/cashflow/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balance (caja e inversiones a corto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https://www.stockopedia.com/share-prices/tencent-holdings-PNK:TCEHY/balance-sheet/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Limited, Annual Report 2025 (activo, patrimonio y pasivo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https://static.www.tencent.com/uploads/2026/04/09/62d786fcf3d3c8cb7e54791ee95439ac.pdf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(TCEHY): BPA diluido y acciones diluidas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https://www.tipranks.com/stocks/tcehy/financials/income-statement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Annual Report 2022 (beneficio no NIIF 2018-2022, BPA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https://www.lobbyregister.bundestag.de/media/1b/a6/214920/Tencent-Annual-Report-2022.pdf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beats FY estimates as AI capabilities boost sales (segmentos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https://www.hl.co.uk/shares/stock-market-news/company--news/archive/tencent-beats-fy-estimates-as-ai-capabilities-boost-sales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1Q26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(vía InvestGame)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https://investgame.net/news/pdf/2026-05-13-tencent_q126_wp/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shares fall as AI spending squeezes profit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https://www.caixinglobal.com/2026-08-13/tencent-shares-fall-as-ai-spending-squeezes-profit-102473810.html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Q2 revenue climbs 11% on AI-driven ad gains, but profit misses the mark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https://cryptobriefing.com/tencent-q2-revenue-ai-ad-gains-profit-miss/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repurchases shares worth HK$500m (mandato de recompra de 13-may-2026; 9.118 M de acciones emitidas)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 (aviso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https://filingreader.com/news-wire/hongkong/2026-05-27/tencent-repurchases-shares-worth-hk500m-in-capital-return-drive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repurchases HK$204m in shares under buyback mandate (34,98 M de acciones acumuladas)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 (aviso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https://filingreader.com/news-wire/hongkong/2026-07-06/tencent-repurchases-hk204m-in-shares-under-buyback-mandate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expects 2025 capex below guidance, sufficient GPU reserves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https://www-web.itiger.com/news/1171126593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Q2 2026 earnings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Beancount.io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https://beancount.io/blog/2026/09/14/tencent-q2-2026-earnings-analysis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game market revenue tops 350 billion yuan in 2025 (CADPA, vía Xinhua/China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https://regional.chinadaily.com.cn/Qiushi/2025-12/22/c_1149473.htm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gaming market hits record revenue in 2025 (Niko Partners: 51.800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Outlook Respawn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https://respawn.outlookindia.com/gaming/gaming-news/china-gaming-market-hits-record-revenue-in-2025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Tencent's sales rise 13% in boost for broader AI ambitions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https://www.bloomberg.com/news/articles/2026-03-18/tencent-s-sales-rise-13-in-boost-for-broader-ai-ambitions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Tencent give the memory boom a new lease on life?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https://kr-asia.com/can-tencent-give-the-memory-boom-a-new-lease-on-life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informe de análisis del 14-oct-2026 (ingresos FY2026 y plan de inversión de 380.000 M RMB)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 (informes/alibaba-2026-10-14)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https://stockanalysis.com/stocks/baba/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reports $7.7B profit as shares fall 26% year-to-date amid AI spending debate (lista del Pentágono 1260H)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StartupAmsterdam (agregador)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https://startupmap.iamsterdam.com/news/feed/tencent-reports-7-7b-profit-as-shares-fall-26-year-to-date-amid-ai-spending-debate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Prosus reduces Tencent stake below 23% through share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 (aviso JSE)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https://filingreader.com/news-wire/johannesburg/2025-07-28/prosus-reduces-tencent-stake-below-23-through-share-sales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Chinese tech giant worth R8.2 trillion that South Africans can buy at a discount (participación de Naspers/Prosus ≈23 %)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https://businesstech.co.za/news/technology/861656/chinese-tech-giant-worth-r8-2-trillion-that-south-africans-can-buy-at-a-discount/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Huateng Ma: participación (8,84 %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https://in.marketscreener.com/insider/HUATENG-MA-A073PY/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Who owns Tencent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Revenue Memo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https://www.revenuememo.com/p/who-owns-tencent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discloses share changes, active repurchases and upcoming board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 (aviso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https://filingreader.com/news-wire/hongkong/2025-12-23/tencent-discloses-share-changes-active-repurchases-and-upcoming-board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騰訊業績與回購 (la dirección recorta recompras para financiar la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Wantrich / China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https://wantrich.chinatimes.com/news/20260319900461-420201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(0700.HK): cierre del 13-oct-2026 en 425,20 HKD; rango de 52 semanas 411,00-664,00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https://au.finance.yahoo.com/quote/0700.HK/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HKD to CNY exchange rate history (0,853 RMB por HKD a 5-ago-2026; 0,915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https://www.ofx.com/en-au/exchange-rates/hkd-to-cny/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Offshore yuan holds gains (≈6,70 RMB por USD a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https://tradingeconomics.com/china/currency/news/587959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10Y yield hits over 1-year low (≈1,67 %)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https://tradingeconomics.com/china/government-bond-yield/news/585190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(0700): precio objetivo medio a un año de 677,42 HKD (430,26-925,05) a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https://fintel.io/s/hk/0700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(700.HK) analyst estimates: 51 analistas (26 comprar, 20 compra fuerte, 4 mantener, 1 venta fuerte)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https://valueinvesting.io/700.HK/estimates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Kursziel und Gewinnprognose (BPA medio 2026e 35,64 HKD y 2027e 39,38 HKD, 47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https://aktien.guide/kursziel/Tencent-Holdings-Ltd-KYG875721634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(0700.HK): historial de precios mensual (cierres de diciembre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https://www.digrin.com/stocks/detail/0700.HK/price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Citigroup suggests Chinese internet stocks are nearing attractive valuation lows (PER a un año de Baidu y otros)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https://www.itiger.com/news/1106754947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PDD Holdings: valoración (PER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https://uk.marketscreener.com/quote/stock/PDD-HOLDINGS-INC-45049866/valuation/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NetEase: valoración (PER 2027e 12,8x a 21-ago-2026)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https://www.marketscreener.com/quote/stock/NETEASE-INC-111325397/valuation/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estadísticas (informe del repo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https://stockanalysis.com/stocks/meta/statistics/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estadísticas (informe del repo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estadísticas (informe del repo del 11-oct-2026)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cotización del 13-oct-2026 (informe del repo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https://www.morningstar.com/stocks/xnys/baba/quote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raises Tencent's capex forecast, citing underappreciated AI leadership (objetivo 780 HKD; FCF 2026e 67.200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https://www.itiger.com/hant/news/1148243660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stock price hits 5-week low (435,60 HKD, mínimo desde julio)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https://tradingeconomics.com/700:hk/news/580253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trim Tencent price target to HK$560 from HK$610 (Mizuho,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https://simplywall.st/stock/SEHK/700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pengeluaran AI meningkat, saham terlihat murah (resumen de un artículo de Seeking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Pluang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https://pluang.com/en/news-feed/tencent-pengeluaran-ai-meningkat-saham-terlihat-murah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«votes with its feet» on AI investment? BofA: Tencent is stable, patience is a virtue (preguntas de los inversores en la gira)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https://longportapp.cn/news/280257070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Tencent's buyback slows (36Kr: recompras de 29.100 M HKD hasta agosto)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https://eu.36kr.com/en/p/3965937491648001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enters costly AI investment phase, market reacts negatively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https://www.itiger.com/news/1104630752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《異動股》騰訊曾挫逾5%失守50天線 (22-jul-2026)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https://www.etnet.com.hk/mobile/tc/warrants/quote_news.php?code=62779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Turning point in the AI war? Wall Street's takeaway after meeting management: Tencent is fighting its «Battle of Midway»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https://longportapp.cn/news/296158887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77,1 %</w:t>
      </w:r>
      <w:r>
        <w:t xml:space="preserve"> · Secciones con menos del 60 % de campos cubiertos: </w:t>
      </w:r>
      <w:r>
        <w:rPr>
          <w:b/>
          <w:bCs/>
        </w:rPr>
        <w:t xml:space="preserve">capital, gobierno, bolsa, transacciones, balance</w:t>
      </w:r>
      <w:r>
        <w:t xml:space="preserve"> · Generado el 14 oct 2026.</w:t>
      </w:r>
    </w:p>
    <w:p>
      <w:pPr>
        <w:pStyle w:val="Nota"/>
        <w:spacing w:after="100"/>
      </w:pPr>
      <w:r>
        <w:t xml:space="preserve">Análisis hecho desde la nube con la red limitada a la búsqueda web: HKEX, la web de Tencent, Yahoo y los proveedores no se pudieron abrir, así que las cifras salen de los extractos de búsqueda de los comunicados de resultados, del informe anual 2025 y de agregadores (Stock Analysis, Stockopedia), con la URL como fuente; la confianza general es baja-media y lo que no cuadró está en null y en los huecos. Cuentas en RMB (NIIF), ejercicio natural; la acción cotiza en HKD en Hong Kong (también hay ADR TCEHY en el mercado extrabursátil de EE. UU., no usado). Tipo de cambio 0,859 RMB por HKD (6,70 RMB/USD a 30-sep-2026 ÷ 7,80 HKD/USD de la banda de cambio; OFX daba 0,853 a 5-ago) [34, 35]; los cierres anuales y el dividendo se pasan a RMB con tipos aproximados de cierre de cada año (estimación propia). El EBITDA es el resultado operativo sin «otras ganancias» (revalorizaciones y ventas de participadas) más las amortizaciones de inmovilizado y derechos de uso que da Stock Analysis; la amortización de contenidos y juegos licenciados queda como gasto. Acciones: 9.250 M diluidas (9.118 M emitidas en mayo menos recompras y más ≈2,5 % de dilución de los planes en acciones), estimación propia [17, 18]. Las participaciones (cotizadas a mercado y no cotizadas a valor contable, 875.100 M) se suman en el puente con un 20 % de descuento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Tencent Holdings Limited (0700.HK)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365,25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(353,05 – 570,38)</c:v>
                </c:pt>
                <c:pt idx="1">
                  <c:v>Precio objetivo de los analistas (369,59 – 794,62)</c:v>
                </c:pt>
                <c:pt idx="2">
                  <c:v>Comparables: PER NTM (432,51 – 664,50)</c:v>
                </c:pt>
                <c:pt idx="3">
                  <c:v>DCF (WACC y g ± 0,5) (428,09 – 510,26)</c:v>
                </c:pt>
                <c:pt idx="4">
                  <c:v>Escenarios (bajista – alcista) (325,39 – 544,70)</c:v>
                </c:pt>
                <c:pt idx="5">
                  <c:v>DCF con la prima implícita del mercado (4,2 %)</c:v>
                </c:pt>
                <c:pt idx="6">
                  <c:v>Precio actual (365,25)</c:v>
                </c:pt>
              </c:strCache>
            </c:strRef>
          </c:cat>
          <c:val>
            <c:numRef>
              <c:f>Hoja1!$B$2:$B$8</c:f>
              <c:numCache>
                <c:formatCode>#,##0</c:formatCode>
                <c:ptCount val="7"/>
                <c:pt idx="0">
                  <c:v>353.05</c:v>
                </c:pt>
                <c:pt idx="1">
                  <c:v>369.59</c:v>
                </c:pt>
                <c:pt idx="2">
                  <c:v>432.51</c:v>
                </c:pt>
                <c:pt idx="3">
                  <c:v>428.09</c:v>
                </c:pt>
                <c:pt idx="4">
                  <c:v>325.39</c:v>
                </c:pt>
                <c:pt idx="5">
                  <c:v>502.63</c:v>
                </c:pt>
                <c:pt idx="6">
                  <c:v>363.42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(353,05 – 570,38)</c:v>
                </c:pt>
                <c:pt idx="1">
                  <c:v>Precio objetivo de los analistas (369,59 – 794,62)</c:v>
                </c:pt>
                <c:pt idx="2">
                  <c:v>Comparables: PER NTM (432,51 – 664,50)</c:v>
                </c:pt>
                <c:pt idx="3">
                  <c:v>DCF (WACC y g ± 0,5) (428,09 – 510,26)</c:v>
                </c:pt>
                <c:pt idx="4">
                  <c:v>Escenarios (bajista – alcista) (325,39 – 544,70)</c:v>
                </c:pt>
                <c:pt idx="5">
                  <c:v>DCF con la prima implícita del mercado (4,2 %)</c:v>
                </c:pt>
                <c:pt idx="6">
                  <c:v>Precio actual (365,25)</c:v>
                </c:pt>
              </c:strCache>
            </c:strRef>
          </c:cat>
          <c:val>
            <c:numRef>
              <c:f>Hoja1!$C$2:$C$8</c:f>
              <c:numCache>
                <c:formatCode>#,##0</c:formatCode>
                <c:ptCount val="7"/>
                <c:pt idx="0">
                  <c:v>217.32999999999998</c:v>
                </c:pt>
                <c:pt idx="1">
                  <c:v>425.03000000000003</c:v>
                </c:pt>
                <c:pt idx="2">
                  <c:v>231.99</c:v>
                </c:pt>
                <c:pt idx="3">
                  <c:v>82.17000000000002</c:v>
                </c:pt>
                <c:pt idx="4">
                  <c:v>219.31000000000006</c:v>
                </c:pt>
                <c:pt idx="5">
                  <c:v>72.17999999999995</c:v>
                </c:pt>
                <c:pt idx="6">
                  <c:v>3.659999999999968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Servicios de valor añadido (juegos y redes sociales)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291572</c:v>
                </c:pt>
                <c:pt idx="1">
                  <c:v>287565</c:v>
                </c:pt>
                <c:pt idx="2">
                  <c:v>298375</c:v>
                </c:pt>
                <c:pt idx="3">
                  <c:v>319168</c:v>
                </c:pt>
                <c:pt idx="4">
                  <c:v>369300</c:v>
                </c:pt>
              </c:numCache>
            </c:numRef>
          </c:val>
        </c:ser>
        <c:ser>
          <c:idx val="1"/>
          <c:order val="1"/>
          <c:tx>
            <c:strRef>
              <c:f>Hoja1!$C$1</c:f>
              <c:strCache>
                <c:ptCount val="1"/>
                <c:pt idx="0">
                  <c:v>Servicios de marketing (publicidad)</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88666</c:v>
                </c:pt>
                <c:pt idx="1">
                  <c:v>82729</c:v>
                </c:pt>
                <c:pt idx="2">
                  <c:v>101482</c:v>
                </c:pt>
                <c:pt idx="3">
                  <c:v>121374</c:v>
                </c:pt>
                <c:pt idx="4">
                  <c:v>145000</c:v>
                </c:pt>
              </c:numCache>
            </c:numRef>
          </c:val>
        </c:ser>
        <c:ser>
          <c:idx val="2"/>
          <c:order val="2"/>
          <c:tx>
            <c:strRef>
              <c:f>Hoja1!$D$1</c:f>
              <c:strCache>
                <c:ptCount val="1"/>
                <c:pt idx="0">
                  <c:v>Fintech y servicios empresariales (pagos, nube)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172195</c:v>
                </c:pt>
                <c:pt idx="1">
                  <c:v>177064</c:v>
                </c:pt>
                <c:pt idx="2">
                  <c:v>203763</c:v>
                </c:pt>
                <c:pt idx="3">
                  <c:v>211956</c:v>
                </c:pt>
                <c:pt idx="4">
                  <c:v>229400</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7685</c:v>
                </c:pt>
                <c:pt idx="1">
                  <c:v>7194</c:v>
                </c:pt>
                <c:pt idx="2">
                  <c:v>5395</c:v>
                </c:pt>
                <c:pt idx="3">
                  <c:v>7759</c:v>
                </c:pt>
                <c:pt idx="4">
                  <c:v>8066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Servicios de valor añadido (juegos y redes sociales)</c:v>
                </c:pt>
                <c:pt idx="1">
                  <c:v>Servicios de marketing (publicidad)</c:v>
                </c:pt>
                <c:pt idx="2">
                  <c:v>Fintech y servicios empresariales (pagos, nube)</c:v>
                </c:pt>
                <c:pt idx="3">
                  <c:v>Otros</c:v>
                </c:pt>
              </c:strCache>
            </c:strRef>
          </c:cat>
          <c:val>
            <c:numRef>
              <c:f>Hoja1!$B$2:$B$5</c:f>
              <c:numCache>
                <c:formatCode>General</c:formatCode>
                <c:ptCount val="4"/>
                <c:pt idx="0">
                  <c:v>49.1</c:v>
                </c:pt>
                <c:pt idx="1">
                  <c:v>19.3</c:v>
                </c:pt>
                <c:pt idx="2">
                  <c:v>30.5</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RMB)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350790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Tencent</c:v>
                </c:pt>
                <c:pt idx="1">
                  <c:v>ByteDance (Douyin, Doubao)</c:v>
                </c:pt>
                <c:pt idx="2">
                  <c:v>NetEase</c:v>
                </c:pt>
                <c:pt idx="3">
                  <c:v>Alibaba</c:v>
                </c:pt>
                <c:pt idx="4">
                  <c:v>Ant Group (Alipay)</c:v>
                </c:pt>
                <c:pt idx="5">
                  <c:v>Kuaishou</c:v>
                </c:pt>
              </c:strCache>
            </c:strRef>
          </c:cat>
          <c:val>
            <c:numRef>
              <c:f>Hoja1!$B$2:$B$7</c:f>
              <c:numCache>
                <c:formatCode>0.0"%"</c:formatCode>
                <c:ptCount val="6"/>
                <c:pt idx="0">
                  <c:v>32.7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560118</c:v>
                </c:pt>
                <c:pt idx="1">
                  <c:v>554552</c:v>
                </c:pt>
                <c:pt idx="2">
                  <c:v>609015</c:v>
                </c:pt>
                <c:pt idx="3">
                  <c:v>660257</c:v>
                </c:pt>
                <c:pt idx="4">
                  <c:v>751766</c:v>
                </c:pt>
                <c:pt idx="5">
                  <c:v>834460</c:v>
                </c:pt>
                <c:pt idx="6">
                  <c:v>926251</c:v>
                </c:pt>
                <c:pt idx="7">
                  <c:v>1018876</c:v>
                </c:pt>
                <c:pt idx="8">
                  <c:v>1110575</c:v>
                </c:pt>
                <c:pt idx="9">
                  <c:v>1199421</c:v>
                </c:pt>
                <c:pt idx="10">
                  <c:v>1283380</c:v>
                </c:pt>
                <c:pt idx="11">
                  <c:v>1360383</c:v>
                </c:pt>
                <c:pt idx="12">
                  <c:v>1428402</c:v>
                </c:pt>
                <c:pt idx="13">
                  <c:v>1485538</c:v>
                </c:pt>
                <c:pt idx="14">
                  <c:v>1530104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151644</c:v>
                </c:pt>
                <c:pt idx="1">
                  <c:v>141017</c:v>
                </c:pt>
                <c:pt idx="2">
                  <c:v>190351</c:v>
                </c:pt>
                <c:pt idx="3">
                  <c:v>236280</c:v>
                </c:pt>
                <c:pt idx="4">
                  <c:v>279616</c:v>
                </c:pt>
                <c:pt idx="5">
                  <c:v>308750</c:v>
                </c:pt>
                <c:pt idx="6">
                  <c:v>351975</c:v>
                </c:pt>
                <c:pt idx="7">
                  <c:v>397362</c:v>
                </c:pt>
                <c:pt idx="8">
                  <c:v>438677</c:v>
                </c:pt>
                <c:pt idx="9">
                  <c:v>479768</c:v>
                </c:pt>
                <c:pt idx="10">
                  <c:v>513352</c:v>
                </c:pt>
                <c:pt idx="11">
                  <c:v>544153</c:v>
                </c:pt>
                <c:pt idx="12">
                  <c:v>571361</c:v>
                </c:pt>
                <c:pt idx="13">
                  <c:v>594215</c:v>
                </c:pt>
                <c:pt idx="14">
                  <c:v>612042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43.9</c:v>
                </c:pt>
                <c:pt idx="1">
                  <c:v>43.1</c:v>
                </c:pt>
                <c:pt idx="2">
                  <c:v>48.1</c:v>
                </c:pt>
                <c:pt idx="3">
                  <c:v>52.9</c:v>
                </c:pt>
                <c:pt idx="4">
                  <c:v>56.3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27.1</c:v>
                </c:pt>
                <c:pt idx="1">
                  <c:v>25.4</c:v>
                </c:pt>
                <c:pt idx="2">
                  <c:v>31.3</c:v>
                </c:pt>
                <c:pt idx="3">
                  <c:v>35.8</c:v>
                </c:pt>
                <c:pt idx="4">
                  <c:v>37.2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22.1</c:v>
                </c:pt>
                <c:pt idx="1">
                  <c:v>20</c:v>
                </c:pt>
                <c:pt idx="2">
                  <c:v>26.8</c:v>
                </c:pt>
                <c:pt idx="3">
                  <c:v>31.5</c:v>
                </c:pt>
                <c:pt idx="4">
                  <c:v>32.7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40.1</c:v>
                </c:pt>
                <c:pt idx="1">
                  <c:v>33.9</c:v>
                </c:pt>
                <c:pt idx="2">
                  <c:v>18.9</c:v>
                </c:pt>
                <c:pt idx="3">
                  <c:v>29.4</c:v>
                </c:pt>
                <c:pt idx="4">
                  <c:v>29.9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13</c:v>
                </c:pt>
                <c:pt idx="1">
                  <c:v>15</c:v>
                </c:pt>
                <c:pt idx="2">
                  <c:v>15</c:v>
                </c:pt>
                <c:pt idx="3">
                  <c:v>12.7</c:v>
                </c:pt>
                <c:pt idx="4">
                  <c:v>9</c:v>
                </c:pt>
                <c:pt idx="5">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114725</c:v>
                </c:pt>
                <c:pt idx="1">
                  <c:v>95767</c:v>
                </c:pt>
                <c:pt idx="2">
                  <c:v>174912</c:v>
                </c:pt>
                <c:pt idx="3">
                  <c:v>169200</c:v>
                </c:pt>
                <c:pt idx="4">
                  <c:v>190171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224822</c:v>
                </c:pt>
                <c:pt idx="1">
                  <c:v>188243</c:v>
                </c:pt>
                <c:pt idx="2">
                  <c:v>115216</c:v>
                </c:pt>
                <c:pt idx="3">
                  <c:v>194073</c:v>
                </c:pt>
                <c:pt idx="4">
                  <c:v>224842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15.2</c:v>
                </c:pt>
                <c:pt idx="1">
                  <c:v>15.1</c:v>
                </c:pt>
                <c:pt idx="2">
                  <c:v>24.8</c:v>
                </c:pt>
                <c:pt idx="3">
                  <c:v>21.2</c:v>
                </c:pt>
                <c:pt idx="4">
                  <c:v>17.5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9.3</c:v>
                </c:pt>
                <c:pt idx="1">
                  <c:v>9.3</c:v>
                </c:pt>
                <c:pt idx="2">
                  <c:v>9.3</c:v>
                </c:pt>
                <c:pt idx="3">
                  <c:v>9.3</c:v>
                </c:pt>
                <c:pt idx="4">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27.9</c:v>
                </c:pt>
                <c:pt idx="1">
                  <c:v>24.6</c:v>
                </c:pt>
                <c:pt idx="2">
                  <c:v>15.1</c:v>
                </c:pt>
                <c:pt idx="3">
                  <c:v>21.8</c:v>
                </c:pt>
                <c:pt idx="4">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-1.74</c:v>
                </c:pt>
                <c:pt idx="1">
                  <c:v>-2.06</c:v>
                </c:pt>
                <c:pt idx="2">
                  <c:v>-1.99</c:v>
                </c:pt>
                <c:pt idx="3">
                  <c:v>-0.33</c:v>
                </c:pt>
                <c:pt idx="4">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1</c:v>
                </c:pt>
                <c:pt idx="1">
                  <c:v>2</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Prosus / Naspers</c:v>
                </c:pt>
                <c:pt idx="1">
                  <c:v>Ma Huateng (vía Advance Data Services)</c:v>
                </c:pt>
              </c:strCache>
            </c:strRef>
          </c:cat>
          <c:val>
            <c:numRef>
              <c:f>Hoja1!$B$2:$B$3</c:f>
              <c:numCache>
                <c:formatCode>0.0"%"</c:formatCode>
                <c:ptCount val="2"/>
                <c:pt idx="0">
                  <c:v>23</c:v>
                </c:pt>
                <c:pt idx="1">
                  <c:v>8.84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17.9</c:v>
                </c:pt>
                <c:pt idx="2">
                  <c:v>11.8</c:v>
                </c:pt>
                <c:pt idx="3">
                  <c:v>15.7</c:v>
                </c:pt>
                <c:pt idx="4">
                  <c:v>17.9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16.8</c:v>
                </c:pt>
                <c:pt idx="1">
                  <c:v>16.8</c:v>
                </c:pt>
                <c:pt idx="2">
                  <c:v>16.8</c:v>
                </c:pt>
                <c:pt idx="3">
                  <c:v>16.8</c:v>
                </c:pt>
                <c:pt idx="4">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Tencent</c:v>
                </c:pt>
                <c:pt idx="1">
                  <c:v>Alibaba</c:v>
                </c:pt>
                <c:pt idx="2">
                  <c:v>NetEase</c:v>
                </c:pt>
                <c:pt idx="3">
                  <c:v>Baidu</c:v>
                </c:pt>
                <c:pt idx="4">
                  <c:v>PDD Holdings</c:v>
                </c:pt>
                <c:pt idx="5">
                  <c:v>Meta</c:v>
                </c:pt>
                <c:pt idx="6">
                  <c:v>Alphabet</c:v>
                </c:pt>
                <c:pt idx="7">
                  <c:v>Netflix</c:v>
                </c:pt>
              </c:strCache>
            </c:strRef>
          </c:cat>
          <c:val>
            <c:numRef>
              <c:f>Hoja1!$B$2:$B$9</c:f>
              <c:numCache>
                <c:formatCode>0.0"x"</c:formatCode>
                <c:ptCount val="8"/>
                <c:pt idx="6">
                  <c:v>16.7</c:v>
                </c:pt>
                <c:pt idx="7">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Alphabet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24.3</c:v>
                </c:pt>
              </c:numCache>
            </c:numRef>
          </c:xVal>
          <c:yVal>
            <c:numRef>
              <c:f>Hoja1!$C$2</c:f>
              <c:numCache>
                <c:formatCode>0.0"x"</c:formatCode>
                <c:ptCount val="1"/>
                <c:pt idx="0">
                  <c:v>16.7</c:v>
                </c:pt>
              </c:numCache>
            </c:numRef>
          </c:yVal>
          <c:smooth val="0"/>
        </c:ser>
        <c:ser>
          <c:idx val="1"/>
          <c:order val="1"/>
          <c:tx>
            <c:strRef>
              <c:f>Hoja1!$A$3</c:f>
              <c:strCache>
                <c:ptCount val="1"/>
                <c:pt idx="0">
                  <c:v>Netflix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11.6</c:v>
                </c:pt>
              </c:numCache>
            </c:numRef>
          </c:xVal>
          <c:yVal>
            <c:numRef>
              <c:f>Hoja1!$C$3</c:f>
              <c:numCache>
                <c:formatCode>0.0"x"</c:formatCode>
                <c:ptCount val="1"/>
                <c:pt idx="0">
                  <c:v>16</c:v>
                </c:pt>
              </c:numCache>
            </c:numRef>
          </c:yVal>
          <c:smooth val="0"/>
        </c:ser>
        <c:axId val="10"/>
        <c:axId val="20"/>
      </c:scatterChart>
      <c:valAx>
        <c:axId val="10"/>
        <c:scaling>
          <c:orientation val="minMax"/>
          <c:max val="28"/>
          <c:min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5.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79357</c:v>
                </c:pt>
                <c:pt idx="1">
                  <c:v>136066</c:v>
                </c:pt>
                <c:pt idx="2">
                  <c:v>191345</c:v>
                </c:pt>
                <c:pt idx="3">
                  <c:v>236330</c:v>
                </c:pt>
                <c:pt idx="4">
                  <c:v>272149</c:v>
                </c:pt>
                <c:pt idx="5">
                  <c:v>297616</c:v>
                </c:pt>
                <c:pt idx="6">
                  <c:v>322275</c:v>
                </c:pt>
                <c:pt idx="7">
                  <c:v>338388</c:v>
                </c:pt>
                <c:pt idx="8">
                  <c:v>359352</c:v>
                </c:pt>
                <c:pt idx="9">
                  <c:v>370132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1615891</c:v>
                </c:pt>
                <c:pt idx="1">
                  <c:v>2007641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365,25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325.39</c:v>
                </c:pt>
                <c:pt idx="1">
                  <c:v>464.31</c:v>
                </c:pt>
                <c:pt idx="2">
                  <c:v>544.7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365,25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(353,05 – 570,38)</c:v>
                </c:pt>
                <c:pt idx="1">
                  <c:v>Precio objetivo de los analistas (369,59 – 794,62)</c:v>
                </c:pt>
                <c:pt idx="2">
                  <c:v>Comparables: PER NTM (432,51 – 664,50)</c:v>
                </c:pt>
                <c:pt idx="3">
                  <c:v>DCF (WACC y g ± 0,5) (428,09 – 510,26)</c:v>
                </c:pt>
                <c:pt idx="4">
                  <c:v>Escenarios (bajista – alcista) (325,39 – 544,70)</c:v>
                </c:pt>
                <c:pt idx="5">
                  <c:v>DCF con la prima implícita del mercado (4,2 %)</c:v>
                </c:pt>
                <c:pt idx="6">
                  <c:v>Precio actual (365,25)</c:v>
                </c:pt>
              </c:strCache>
            </c:strRef>
          </c:cat>
          <c:val>
            <c:numRef>
              <c:f>Hoja1!$B$2:$B$8</c:f>
              <c:numCache>
                <c:formatCode>#,##0</c:formatCode>
                <c:ptCount val="7"/>
                <c:pt idx="0">
                  <c:v>353.05</c:v>
                </c:pt>
                <c:pt idx="1">
                  <c:v>369.59</c:v>
                </c:pt>
                <c:pt idx="2">
                  <c:v>432.51</c:v>
                </c:pt>
                <c:pt idx="3">
                  <c:v>428.09</c:v>
                </c:pt>
                <c:pt idx="4">
                  <c:v>325.39</c:v>
                </c:pt>
                <c:pt idx="5">
                  <c:v>502.63</c:v>
                </c:pt>
                <c:pt idx="6">
                  <c:v>363.42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(353,05 – 570,38)</c:v>
                </c:pt>
                <c:pt idx="1">
                  <c:v>Precio objetivo de los analistas (369,59 – 794,62)</c:v>
                </c:pt>
                <c:pt idx="2">
                  <c:v>Comparables: PER NTM (432,51 – 664,50)</c:v>
                </c:pt>
                <c:pt idx="3">
                  <c:v>DCF (WACC y g ± 0,5) (428,09 – 510,26)</c:v>
                </c:pt>
                <c:pt idx="4">
                  <c:v>Escenarios (bajista – alcista) (325,39 – 544,70)</c:v>
                </c:pt>
                <c:pt idx="5">
                  <c:v>DCF con la prima implícita del mercado (4,2 %)</c:v>
                </c:pt>
                <c:pt idx="6">
                  <c:v>Precio actual (365,25)</c:v>
                </c:pt>
              </c:strCache>
            </c:strRef>
          </c:cat>
          <c:val>
            <c:numRef>
              <c:f>Hoja1!$C$2:$C$8</c:f>
              <c:numCache>
                <c:formatCode>#,##0</c:formatCode>
                <c:ptCount val="7"/>
                <c:pt idx="0">
                  <c:v>217.32999999999998</c:v>
                </c:pt>
                <c:pt idx="1">
                  <c:v>425.03000000000003</c:v>
                </c:pt>
                <c:pt idx="2">
                  <c:v>231.99</c:v>
                </c:pt>
                <c:pt idx="3">
                  <c:v>82.17000000000002</c:v>
                </c:pt>
                <c:pt idx="4">
                  <c:v>219.31000000000006</c:v>
                </c:pt>
                <c:pt idx="5">
                  <c:v>72.17999999999995</c:v>
                </c:pt>
                <c:pt idx="6">
                  <c:v>3.659999999999968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