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Yutong Bus Co., Ltd. (宇通客车股份有限公司)</w:t>
      </w:r>
    </w:p>
    <w:p>
      <w:pPr>
        <w:spacing w:after="60"/>
        <w:rPr>
          <w:color w:val="52514E"/>
          <w:sz w:val="22"/>
          <w:szCs w:val="22"/>
        </w:rPr>
      </w:pPr>
      <w:r>
        <w:rPr>
          <w:color w:val="52514E"/>
          <w:sz w:val="22"/>
          <w:szCs w:val="22"/>
        </w:rPr>
        <w:t xml:space="preserve">600066 · Bolsa de Shanghái, mercado principal (acciones A en CNY; en el Stock Connect hacia el norte) · ISIN CNE000000PY4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27,90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23,97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-6,9 % (base +2,0 %)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36,63 CNY · mercado 41,02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61.769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Yutong Bus Co., Ltd. (宇通客车股份有限公司)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600066 / CNE000000PY4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Shanghái, mercado principal (acciones A en CNY; en el Stock Connect hacia el norte)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(camiones y autobuses)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Zhengzhou (Henan) · 1963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https://www.yutong.com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24,66 – 38,50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61.769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44.860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602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23,97 CNY</w:t>
      </w:r>
      <w:r>
        <w:t xml:space="preserve"> frente a 27,90 · Rentabilidad a 12 meses </w:t>
      </w:r>
      <w:r>
        <w:rPr>
          <w:b/>
          <w:bCs/>
        </w:rPr>
        <w:t xml:space="preserve">-6,9 % (base +2,0 %)</w:t>
      </w:r>
      <w:r>
        <w:t xml:space="preserve"> · Valor intrínseco 36,63 CNY · con la prima implícita del mercado: 41,02 (+47,0 %) · Alcista / bajista +75,3 % / -11,7 %</w:t>
      </w:r>
    </w:p>
    <w:p>
      <w:pPr>
        <w:spacing w:after="100"/>
      </w:pPr>
      <w:r>
        <w:rPr>
          <w:b/>
        </w:rPr>
        <w:t xml:space="preserve">La recomendación y por qué.</w:t>
      </w:r>
      <w:r>
        <w:t xml:space="preserve"> Mantener según la regla a 12 meses, y </w:t>
      </w:r>
      <w:r>
        <w:rPr>
          <w:b/>
        </w:rPr>
        <w:t xml:space="preserve">no es compra robusta</w:t>
      </w:r>
      <w:r>
        <w:t xml:space="preserve">: nuestro objetivo a 12 meses es de 23,97 CNY ponderado (−6,9 % con dividendo; +2,0 % en el caso base) frente a un precio de 27,90 CNY (cierre del 21-oct-2026 en Shanghái, 15:34:59 de Pekín) [34]. Con la regla de control (v2) da +9,3 %, y con un BPA un 10 % peor, −15,5 %. Como posición nueva, la prueba de robustez dice </w:t>
      </w:r>
      <w:r>
        <w:rPr>
          <w:b/>
        </w:rPr>
        <w:t xml:space="preserve">no mantener</w:t>
      </w:r>
      <w:r>
        <w:t xml:space="preserve">: el precio está por encima del filtro de mantener (23,62 CNY). El límite de compra es de 22,59 CNY y el robusto, de 20,51 CNY, un 26 % bajo el precio. El valor intrínseco (36,63 CNY) está un 31 % por encima: es una buena empresa a un precio que ya paga el ciclo bueno. La convicción es media: la regla y el valor intrínseco apuntan en sentidos opuestos; la convicción en no comprar subiría si las ventas del 4T26 caen más de un 10 % (el consenso tendría que bajar) y bajaría si la exportación vuelve a crecer al ritmo del sector.</w:t>
      </w:r>
    </w:p>
    <w:p>
      <w:pPr>
        <w:spacing w:after="100"/>
      </w:pPr>
      <w:r>
        <w:rPr>
          <w:b/>
        </w:rPr>
        <w:t xml:space="preserve">El negocio.</w:t>
      </w:r>
      <w:r>
        <w:t xml:space="preserve"> Yutong es el mayor fabricante de autobuses de China y del mundo por unidades: urbanos eléctricos, autocares y escolares, con el 32,5 % del mercado chino de autobuses grandes y medianos en 2025 [1]. Más de la mitad de las ventas ya son de fuera de China (21.108 M de 41.426 M en 2025, con un margen bruto del 29,6 % frente al 19,1 % en China), y en el 1S26 fue la primera marca de autobús eléctrico en Europa [1, 18]. La controla su presidente, Tang Yuxiang, a través del grupo Yutong (37,7 %) [1, 7]. </w:t>
      </w:r>
      <w:r>
        <w:rPr>
          <w:b/>
        </w:rPr>
        <w:t xml:space="preserve">Calidad: ROIC del 134,8 % frente a un WACC del 8,59 % (pasa de sobra; el ROIC es tan alto porque el capital invertido es casi nulo) y sostenibilidad del crecimiento «Sí»</w:t>
      </w:r>
      <w:r>
        <w:t xml:space="preserve">: proyectamos solo un 2,7 % al año con el margen a la baja.</w:t>
      </w:r>
    </w:p>
    <w:p>
      <w:pPr>
        <w:spacing w:after="100"/>
      </w:pPr>
      <w:r>
        <w:rPr>
          <w:b/>
        </w:rPr>
        <w:t xml:space="preserve">Finanzas y el ajuste.</w:t>
      </w:r>
      <w:r>
        <w:t xml:space="preserve"> El beneficio pasó de 516 M en 2020 a 5.554 M en 2025 con la exportación y la renovación de autobuses en China [1, 2, 3, 4, 5]. En 2026 se frena: 9M26 con ventas −2,1 % y beneficio −3,3 %, unidades −7,8 % y −12,6 % en septiembre; el beneficio recurrente sube un 18,5 % por el margen bruto (26,7 % en el 3T26, récord) [7, 11]. Sin deuda, caja neta de 14.076 M y un reparto del 99,65 % del beneficio de 2025 (2,50 CNY por acción) [13]. Las subvenciones a los autobuses eléctricos ya están cobradas; quedan cobros viejos de empresas municipales (1.381 M de más de cinco años, provisionados) que al recuperarse suben el beneficio (+251 M en 9M26) [1, 7].</w:t>
      </w:r>
    </w:p>
    <w:p>
      <w:pPr>
        <w:spacing w:after="100"/>
      </w:pPr>
      <w:r>
        <w:rPr>
          <w:b/>
        </w:rPr>
        <w:t xml:space="preserve">Sector y competencia.</w:t>
      </w:r>
      <w:r>
        <w:t xml:space="preserve"> El ciclo chino de renovación ya pasó su pico: el mercado de autobuses grandes y medianos subió de 87.926 en 2023 a 125.969 en 2025, y en 9M26 Yutong vende un 13 % menos de autobuses de más de 6 m, con China a la baja por el fin de la exención total del impuesto de compra de eléctricos [1, 6, 19]. La exportación de Yutong está plana en 9M26 (+0,3 %) mientras la del sector crece un 11,6 %: King Long, Zhongtong, BYD y Golden Dragon ganan terreno con precio [19]. Los aranceles de la UE a los eléctricos chinos son para turismos, no para autobuses; el riesgo europeo es de seguridad (investigaciones en Noruega, Dinamarca y Reino Unido, sin incidentes) [21, 22, 24].</w:t>
      </w:r>
    </w:p>
    <w:p>
      <w:pPr>
        <w:spacing w:after="100"/>
      </w:pPr>
      <w:r>
        <w:rPr>
          <w:b/>
        </w:rPr>
        <w:t xml:space="preserve">Valoración.</w:t>
      </w:r>
      <w:r>
        <w:t xml:space="preserve"> El DCF da 39,71 CNY y el precio descuenta ventas que caen un 5,2 % al año. El objetivo a 12 meses es nuestro BPA de 2028e (2,52 CNY, un 27 % bajo el consenso, que no ha bajado sus ventas de 2026 desde abril) por un PER de 10,5 veces (de 11,2 hoy hacia la mediana adelantada de 9,8), más el dividendo [35, 36, 37, 38]. Los analistas apuntan a 38,10 CNY.</w:t>
      </w:r>
    </w:p>
    <w:p>
      <w:pPr>
        <w:spacing w:after="100"/>
      </w:pPr>
      <w:r>
        <w:rPr>
          <w:b/>
        </w:rPr>
        <w:t xml:space="preserve">Qué puede ir mal y qué vigilar.</w:t>
      </w:r>
      <w:r>
        <w:t xml:space="preserve"> El fin del programa chino de renovación en 2027 y la pérdida de cuota en la exportación: el bajista a 12 meses es de 12,00 CNY (−49,8 %). Riesgo de IA bajo: un autobús no lo sustituye la IA; la conducción autónoma es más oportunidad que amenaza. Se compra desde IBKR por Stock Connect (600066, placa principal de Shanghái, comprable y vendible en la lista del 21-oct; particulares con permiso China Connect) [41, 42]. Veredicto de precio y noticias: </w:t>
      </w:r>
      <w:r>
        <w:rPr>
          <w:b/>
        </w:rPr>
        <w:t xml:space="preserve">no cambia</w:t>
      </w:r>
      <w:r>
        <w:t xml:space="preserve"> (las caídas de 2026 las explican las ventas chinas y el semestral, ya en la tesis) [33].</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23,97 CNY</w:t>
      </w:r>
      <w:r>
        <w:t xml:space="preserve"> (rentabilidad -6,9 % (base +2,0 %)) · Valor intrínseco: 36,63 CNY (+31,3 % sobre 27,90) · con la prima implícita del mercado: 41,02 (+47,0 %)</w:t>
      </w:r>
    </w:p>
    <w:p>
      <w:pPr>
        <w:spacing w:after="100"/>
      </w:pPr>
      <w:r>
        <w:t xml:space="preserve">Yutong es el mejor fabricante de autobuses del mundo por margen y por cuota, sin deuda y con un dividendo del 7-9 %. Pero cotiza a 11,2 veces nuestro BPA de 2027e, por encima de su mediana adelantada (9,8x), cuando el ciclo chino ya pasó su pico y la exportación se ha frenado. El DCF dice que vale 36-40 CNY si el margen aguanta; la regla a 12 meses, que lo paga como el cíclico que ha sido, da −6,9 %. No es momento de comprar: el límite es de 22,59 CNY y el robusto, de 20,51.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1,69 = 12,00 · 10,5x × 2,52 = 26,46 · 10,9x × 2,84 = 30,96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38,10 (nuestro base -30,6 %)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36,63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 / -11,7 %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 frente a 8,6 %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22,58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22,58 y 28,86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28,86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22,59 CNY: la regla daría compra; por debajo de 20,51 CNY, compra robusta (pasa v3 y v2 con un BPA un 10 % peor).</w:t>
      </w:r>
    </w:p>
    <w:p>
      <w:pPr>
        <w:pStyle w:val="ListParagraph"/>
        <w:numPr>
          <w:ilvl w:val="0"/>
          <w:numId w:val="2"/>
        </w:numPr>
        <w:spacing w:after="60"/>
      </w:pPr>
      <w:r>
        <w:t xml:space="preserve">Exportación de nuevo por encima del sector y un programa de renovación para 2027: subiríamos el base de 2027-2028e.</w:t>
      </w:r>
    </w:p>
    <w:p>
      <w:pPr>
        <w:pStyle w:val="ListParagraph"/>
        <w:numPr>
          <w:ilvl w:val="0"/>
          <w:numId w:val="2"/>
        </w:numPr>
        <w:spacing w:after="60"/>
      </w:pPr>
      <w:r>
        <w:t xml:space="preserve">Margen bruto por debajo del 23 % dos trimestres o recorte del dividendo: bajaríamos el base.</w:t>
      </w:r>
    </w:p>
    <w:p>
      <w:pPr>
        <w:pStyle w:val="ListParagraph"/>
        <w:numPr>
          <w:ilvl w:val="0"/>
          <w:numId w:val="2"/>
        </w:numPr>
        <w:spacing w:after="60"/>
      </w:pPr>
      <w:r>
        <w:t xml:space="preserve">Veto europeo a los autobuses chinos conectados: subiríamos la prima de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Los analistas esperan +10 % de ventas al año y 3,44 CNY de BPA en 2028e; el precio, en cambio, descuenta que el margen de hoy no dura (ventas −5,2 % al año en el DCF inverso).</w:t>
      </w:r>
    </w:p>
    <w:p>
      <w:pPr>
        <w:keepNext/>
        <w:spacing w:after="100"/>
      </w:pPr>
      <w:r>
        <w:rPr>
          <w:b/>
          <w:bCs/>
        </w:rPr>
        <w:t xml:space="preserve">Lo que creemos nosotros.</w:t>
      </w:r>
    </w:p>
    <w:p>
      <w:pPr>
        <w:spacing w:after="100"/>
      </w:pPr>
      <w:r>
        <w:t xml:space="preserve">Entre los dos: el margen se mantiene alto por la exportación, pero las ventas apenas crecen (2026e −3,2 %, luego +3-4 %) porque China se encoge y la exportación ha perdido impulso.</w:t>
      </w:r>
    </w:p>
    <w:p>
      <w:pPr>
        <w:keepNext/>
        <w:spacing w:after="100"/>
      </w:pPr>
      <w:r>
        <w:rPr>
          <w:b/>
          <w:bCs/>
        </w:rPr>
        <w:t xml:space="preserve">Por qué podemos tener razón.</w:t>
      </w:r>
    </w:p>
    <w:p>
      <w:pPr>
        <w:spacing w:after="100"/>
      </w:pPr>
      <w:r>
        <w:t xml:space="preserve">El 3T26 cayó un 11,1 % en ventas y la exportación del 3T26 un 16,8 % en unidades; para cumplir el consenso de 2026 el 4T tendría que crecer un 31 % [7, 38].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27,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margen</w:t>
      </w:r>
      <w:r>
        <w:t xml:space="preserve">: primera en China (32,5 %) y en autobús eléctrico en Europa; margen bruto del 26,7 % en el 3T26 [1, 7, 18].</w:t>
      </w:r>
    </w:p>
    <w:p>
      <w:pPr>
        <w:pStyle w:val="ListParagraph"/>
        <w:numPr>
          <w:ilvl w:val="0"/>
          <w:numId w:val="2"/>
        </w:numPr>
        <w:spacing w:after="60"/>
      </w:pPr>
      <w:r>
        <w:rPr>
          <w:b/>
        </w:rPr>
        <w:t xml:space="preserve">Caja y dividendo</w:t>
      </w:r>
      <w:r>
        <w:t xml:space="preserve">: caja neta de 14.076 M (23 % de la capitalización) y reparto de casi todo el beneficio [7, 13].</w:t>
      </w:r>
    </w:p>
    <w:p>
      <w:pPr>
        <w:pStyle w:val="ListParagraph"/>
        <w:numPr>
          <w:ilvl w:val="0"/>
          <w:numId w:val="2"/>
        </w:numPr>
        <w:spacing w:after="60"/>
      </w:pPr>
      <w:r>
        <w:rPr>
          <w:b/>
        </w:rPr>
        <w:t xml:space="preserve">Flujo de caja</w:t>
      </w:r>
      <w:r>
        <w:t xml:space="preserve">: 8.004 M de flujo operativo en 9M26, 2,5 veces el beneficio [7].</w:t>
      </w:r>
    </w:p>
    <w:p>
      <w:pPr>
        <w:pStyle w:val="ListParagraph"/>
        <w:numPr>
          <w:ilvl w:val="0"/>
          <w:numId w:val="2"/>
        </w:numPr>
        <w:spacing w:after="60"/>
      </w:pPr>
      <w:r>
        <w:rPr>
          <w:b/>
        </w:rPr>
        <w:t xml:space="preserve">Valor a largo plazo</w:t>
      </w:r>
      <w:r>
        <w:t xml:space="preserve">: el DCF (39,71 CNY) y el bajista del DCF (24,63) dejan poco riesgo si el margen aguanta.</w:t>
      </w:r>
    </w:p>
    <w:p>
      <w:pPr>
        <w:pStyle w:val="Heading2"/>
      </w:pPr>
      <w:r>
        <w:t xml:space="preserve">En contra</w:t>
      </w:r>
    </w:p>
    <w:p>
      <w:pPr>
        <w:pStyle w:val="ListParagraph"/>
        <w:numPr>
          <w:ilvl w:val="0"/>
          <w:numId w:val="2"/>
        </w:numPr>
        <w:spacing w:after="60"/>
      </w:pPr>
      <w:r>
        <w:rPr>
          <w:b/>
        </w:rPr>
        <w:t xml:space="preserve">Ciclo chino pasado su pico</w:t>
      </w:r>
      <w:r>
        <w:t xml:space="preserve">: mercado nacional a la baja en 2026 y sin programa de renovación decidido para 2027 [6].</w:t>
      </w:r>
    </w:p>
    <w:p>
      <w:pPr>
        <w:pStyle w:val="ListParagraph"/>
        <w:numPr>
          <w:ilvl w:val="0"/>
          <w:numId w:val="2"/>
        </w:numPr>
        <w:spacing w:after="60"/>
      </w:pPr>
      <w:r>
        <w:rPr>
          <w:b/>
        </w:rPr>
        <w:t xml:space="preserve">Exportación plana</w:t>
      </w:r>
      <w:r>
        <w:t xml:space="preserve"> (9M26 +0,3 % frente al +11,6 % del sector): pierde cuota [19].</w:t>
      </w:r>
    </w:p>
    <w:p>
      <w:pPr>
        <w:pStyle w:val="ListParagraph"/>
        <w:numPr>
          <w:ilvl w:val="0"/>
          <w:numId w:val="2"/>
        </w:numPr>
        <w:spacing w:after="60"/>
      </w:pPr>
      <w:r>
        <w:rPr>
          <w:b/>
        </w:rPr>
        <w:t xml:space="preserve">Margen en máximos</w:t>
      </w:r>
      <w:r>
        <w:t xml:space="preserve">: el mercado lo paga a 7-14 veces beneficio; el bajista a 12 meses es de −49,8 %.</w:t>
      </w:r>
    </w:p>
    <w:p>
      <w:pPr>
        <w:pStyle w:val="ListParagraph"/>
        <w:numPr>
          <w:ilvl w:val="0"/>
          <w:numId w:val="2"/>
        </w:numPr>
        <w:spacing w:after="60"/>
      </w:pPr>
      <w:r>
        <w:rPr>
          <w:b/>
        </w:rPr>
        <w:t xml:space="preserve">Consenso muy alto</w:t>
      </w:r>
      <w:r>
        <w:t xml:space="preserve">: sus BPA tendrán que bajar un 15-25 %, y eso suele pesar en el precio.</w:t>
      </w:r>
    </w:p>
    <w:p>
      <w:pPr>
        <w:pStyle w:val="Heading2"/>
      </w:pPr>
      <w:r>
        <w:t xml:space="preserve">Qué tiene que pasar para que la tesis funcione</w:t>
      </w:r>
    </w:p>
    <w:p>
      <w:pPr>
        <w:spacing w:after="100"/>
      </w:pPr>
      <w:r>
        <w:t xml:space="preserve">Ventas mensuales del 4T26 (un 4T por debajo del −10 % confirma nuestro 2026e de 2,35 CNY y obliga a recortar al consenso); la decisión sobre el programa de renovación de autobuses para 2027; la exportación trimestral frente al sector; el margen bruto (alerta por debajo del 23 %); el dividendo a cuenta (o el final de marzo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de autobuses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 es el 35-40 % del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Exportación frente al sector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frente a +11,6 %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Diferencia &gt; 10 puntos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más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mezcla y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 de renovación (以旧换新) en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Vigente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prórroga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mercado chino.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Reparto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99,65 %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es parte de la rentabilidad.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Reversiones de provisiones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M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Dotaciones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Separa el beneficio recurrente.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9,3x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Yutong nace en 1963 como taller de reparación de autobuses en Zhengzhou y sale a bolsa en Shanghái en 1997, la primera fabricante de autobuses cotizada de China [23]. En 2001 la dirección, encabezada por Tang Yuxiang (presidente desde entonces), compró el control a la ciudad a través de Shanghai Wanshang; hoy controla el grupo a través de sociedades de los empleados [1]. Fue la primera de China en ventas desde 2005, apostó pronto por el autobús eléctrico (en 2015-2016 vendió más de 20.000 al año con subvención) y entró en Europa en 2012 (Reino Unido y Francia) [23]. Tras la caída de 2020-2022 se ha transformado en exportadora: el 58 % de las ventas de 2025 fue fuera de China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taller de reparación de autobuses en Zhengzhou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Shanghái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compra el control a la ciudad de Zhengzhou; Tang Yuxiang, presidente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autobuses en Europa (Francia y Reino Unido)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con la subvención nacional al autobús eléctrico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y fin de la subvención: el beneficio baja a 516-759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se duplica (10.165 unidades) y llega al 38 % de las ventas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beneficio (5.554 M) y de reparto (99,65 %); exportación del 58 %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marca de autobús eléctrico en Europa en el 1S26; cambio de auditor; ventas nacionales a la baja [18, 30].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Yutong fabrica autobuses de 5 a 18 metros: urbanos, de carretera y turismo, de empresa, escolares, de aeropuerto y minibuses autónomos, con más de 100 series, diésel, eléctricos de batería (el 37 % de las unidades de 2025), híbridos y de hidrógeno [1]. Tiene tres fábricas en Zhengzhou (Henan) con 65.000 unidades de capacidad (ocupación del 50-81 % en 2025) y ensamblaje en kit en una decena de países [1, 20]. Vende en China con red propia en todas las provincias y fuera de China en más de 60 países, con más de 400 talleres autorizados y 40 almacenes de piezas propios (Qatar, México, Francia, Noruega) [1, 6]. Ha exportado más de 138.000 autobuses, 13.000 eléctricos [6].</w:t>
      </w:r>
    </w:p>
    <w:p>
      <w:pPr>
        <w:pStyle w:val="Heading2"/>
      </w:pPr>
      <w:r>
        <w:t xml:space="preserve">Cómo gana dinero</w:t>
      </w:r>
    </w:p>
    <w:p>
      <w:pPr>
        <w:spacing w:after="100"/>
      </w:pPr>
      <w:r>
        <w:t xml:space="preserve">Gana con cada autobús y con la mezcla. Un autobús exportado se vendió en 2025 a 1,23 M CNY de media con un margen bruto del 29,6 %; uno nacional a 0,48 M con un 19,1 % [1]. Por eso, con un 2,1 % menos de ventas, el beneficio sin no recurrentes de 9M26 sube un 18,5 %: pesan más Europa y los modelos de gama alta [7, 38]. El 72 % del coste es material (baterías, chasis, motores; Shenlan, del grupo, le vende baterías por 1.085 M) [1, 28]. Apalancamiento operativo alto: con la ocupación del 50-80 %, cada autobús de más se queda casi entero en el margen; en 2020-2022, con 30.000-42.000 unidades y la exportación pequeña, el margen EBIT fue del 1-2 %. La demanda china es de reposición y depende de las subvenciones municipales y del plan «以旧换新» (cambio de autobuses de 8 años o más); el cuarto trimestre es siempre el más fuerte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 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fuera de 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en 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fuera de 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los cinco primeros fueron el 15,1 % de las ventas de 2025 (el 4,0 % a empresas vinculadas) [1]. En China vende sobre todo a empresas públicas de autobús urbano (que dependen de subvenciones municipales y pagan tarde: 1.381 M de cobros de más de cinco años) y a empresas de transporte de viajeros y turismo; fuera, a operadores públicos y privados por concurso (Ruter en Noruega, Movia en Dinamarca, Qatar, Chile, México) [1, 22]. El 85,6 % de las unidades se pagó al contado y el 14,4 % a plazos con garantía de recompra [1]. </w:t>
      </w:r>
      <w:r>
        <w:rPr>
          <w:b/>
        </w:rPr>
        <w:t xml:space="preserve">Poder de precios</w:t>
      </w:r>
      <w:r>
        <w:t xml:space="preserve">: el ingreso por autobús exportado (1,23 M CNY en 2025) es 2,6 veces el nacional (0,48 M), y el margen bruto exterior ha subido de 28,5 % (2024) a 29,6 % (2025); el margen bruto total del 3T26 (26,7 %) es el más alto de la serie, con menos volumen [1, 38].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49.518 (2025); 30.929 en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9M26 −7,8 %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de 2026, −12,6 %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exportados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 10.778 (+0,3 %), cuota del 17,4 % de la exportación china, segunda [1,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vendidos en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 20.150 (≈ −12 %) [1, 11,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Autobuses eléctricos y de nuevas energías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del volumen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exterior / nacional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 / 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 / 19,1 %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−0,3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en autobuses grandes y medianos (China + exportación)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40.907 de 125.969; en 9M26, 28,7 % de los de más de 6 m [1, 20]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Autobuses grandes y medianos (más de 7 metros) vendidos por los fabricantes chinos, en China y en exportación, que es el mercado que la propia Yutong usa para su cuota (datos de 中客网/中国客车统计信息网) [1]. No incluye a los fabricantes europeos en Europa: la cuota mundial no se publica. Contrastamos con la Asociación China de Fabricantes de Automóviles (137.200 autobuses grandes y medianos en 2025, +8,8 %) y con la serie de exportación del sector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125.969 autobuses en 2025 (67.829 en China y 58.140 exportados)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unidades (autobuses de más de 7 m de fabricantes chin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en China con el plan «以旧换新»</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Autobuses urbanos en China +15,1 % en 2025 y +4,8 % los de Yutong; el plan se mantiene en 2026 con la misma ayuda, pero la ola de eléctricos comprada en 2015-2018 con subvención ya se está sustituyendo: el mercado nacional bajó en 2025 (−4,5 %) y en el 1S26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Exportación y electrificación fuera 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Exportación de autobuses grandes y medianos +30,7 % en 2025 (58.140) y +18,5 % en el 1S26; en Europa las matriculaciones de autobús eléctrico +49 % en el 1S26 [1, 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y transporte de viajeros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Autocares nacionales −13,0 % en 2025 tras la recuperación de 2023-2024; en 2026 los frena el impuesto de compra de las eléctricas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comercial y seguridad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Ruter (Noruega) y Movia (Dinamarca) sobre el acceso remoto a los autobuses de Yutong; investigación del Reino Unido; Ruter endurecerá sus requisitos de compra [21, 22,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Demografía y escuela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Autobuses escolares en China −3,3 % en 2025 por la natalidad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diez fabricantes chinos (King Long y su grupo, Zhongtong, BYD, Foton, Ankai, Golden Dragon) con márgenes EBIT del −1,5 % al 5,6 % frente al 14,3 % de Yutong; en exportación Yutong es segunda con el 17,4 %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públicos por concurso; en China pagan tarde (cobros de más de cinco años de 1.381 M)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Baterías concentradas (CATL y Shenlan, del grupo); el material es el 72 % del coste [1,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homologación, red de servicio y referencias en concursos; las nuevas marcas de eléctricos no han pasado del 2-3 %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Metro y tren de alta velocidad en China quitan viajeros de carretera; el autocar de línea cae [1].</w:t>
            </w:r>
          </w:p>
        </w:tc>
      </w:tr>
    </w:tbl>
    <w:p>
      <w:pPr>
        <w:spacing w:after="160" w:before="0"/>
      </w:pPr>
    </w:p>
    <w:p>
      <w:pPr>
        <w:pStyle w:val="Heading2"/>
      </w:pPr>
      <w:r>
        <w:t xml:space="preserve">Ciclo</w:t>
      </w:r>
    </w:p>
    <w:p>
      <w:pPr>
        <w:spacing w:after="100"/>
      </w:pPr>
      <w:r>
        <w:t xml:space="preserve">En China la reposición subvencionada ya ha pasado su punto alto: el mercado nacional bajó un 4,5 % en 2025 y vuelve a caer en 2026, y las ventas nacionales de Yutong caen ≈ 12 % en 9M26 [1, 6, 19]. La exportación sigue creciendo pero Yutong pierde cuota en ella (+0,3 % frente a +11,6 % del sector en 9M26) [19]. El sector cayó de 96.345 unidades (2020) a 84.202 (2022) con la pandemia y el fin de la subvención, y el beneficio de Yutong pasó de 1.942 M (2019) a 516-759 M en 2020-2022 [1, 5]. En 2008-09 China mantuvo el volumen con la inversión pública.</w:t>
      </w:r>
    </w:p>
    <w:p>
      <w:pPr>
        <w:pStyle w:val="Heading2"/>
      </w:pPr>
      <w:r>
        <w:t xml:space="preserve">Regulación</w:t>
      </w:r>
    </w:p>
    <w:p>
      <w:pPr>
        <w:spacing w:after="100"/>
      </w:pPr>
      <w:r>
        <w:t xml:space="preserve">En China, el plan «以旧换新» (desde 2024) subvenciona el cambio de autobuses urbanos de 8 años o más y sus baterías; sigue en 2026 con la misma ayuda y no hay decisión para 2027 [1, 17]. Desde 2026 el impuesto de compra de los vehículos eléctricos deja de estar exento del todo, lo que frena los autocares [6]. Las subvenciones nacionales al autobús eléctrico terminaron en 2022 y ya están cobradas [1]. En la UE los derechos compensatorios de 2024 a los eléctricos chinos se aplican a turismos, no a autobuses; el riesgo viene de las compras públicas (requisitos de ciberseguridad tras las pruebas de Ruter y Movia) y de la ley de subvenciones extranjeras [21, 22]. La UE exige el 90 % de autobuses urbanos nuevos sin emisiones en 2030 [18].</w:t>
      </w:r>
    </w:p>
    <w:p>
      <w:pPr>
        <w:pStyle w:val="Heading2"/>
      </w:pPr>
      <w:r>
        <w:t xml:space="preserve">Tendencias y disrupción</w:t>
      </w:r>
    </w:p>
    <w:p>
      <w:pPr>
        <w:spacing w:after="100"/>
      </w:pPr>
      <w:r>
        <w:t xml:space="preserve">Electrificación: los autobuses eléctricos fueron el 37 % de las unidades de Yutong en 2025 y la penetración fuera de China es baja (≈ 11 % según Guosen), lo que favorece al fabricante con más experiencia en baterías [1, 37]. Conducción asistida y autónoma (minibuses sin conductor, «车路云»), y servicio y piezas como negocio (Yutong abrió un centro propio en Noruega en septiembre de 2026) [18]. Yutong gana con la electrificación y la exportación; pierde con el fin del ciclo nacional y si Europa cierra sus concursos a fabricantes chinos.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autobuses grandes y medianos de fabricantes chinos (32,5 % en 2025; 28,7 % en los de más de 6 m en 9M26); 2.º en exportación (17,4 % en 9M26); 1.º en matriculaciones de autobús eléctrico en Europa en el 1S26 [1, 18,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Xiamen King Long Motor (King Long, Golden Dragon, Higer)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600686.SS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chino y primero en exportación de autobuses; tres marcas, márgenes bajos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Zhongtong Bus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000957.SZ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Fuerte en autocares y exportación; el margen ha subido con ella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BYD (autobuses)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002594.SZ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autobús eléctrico (fábricas en Hungría, Francia y EE. UU.); no publica sus autobuses por separado (grupo: 803.965 M y 5,3 %)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Anhui Ankai Automobile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000868.SZ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grupo JAC; pierde dinero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 (Daimler Buses: Mercedes-Benz, Setra)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DTG.DE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Europa en autocares; grupo con 45.530 M EUR de ventas y margen EBIT del 6,9 % en 2025 (los autobuses son ≈ 10 % del grupo)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 (Solaris)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España/Polonia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líder europeo en autobús eléctrico urbano antes de Yutong; grupo CAF 4.487 M EUR y 5,5 %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NFI Group (New Flyer)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NFI.TO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Norteamérica, mercado cerrado a Yutong por «Buy America»; 3.615 M USD y 0,5 %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servicio (400 talleres, 40 almacenes de piezas fuera de China) da cierta ventaja en concursos, pero no un efecto de red [A6].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operadores repiten proveedor por formación, piezas y plataformas de gestión de flota, pero cada concurso es nuevo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referencia en China y primera en eléctricos en Europa (1.636 matriculaciones en el 1S26); I+D de 1.808 M (4,4 % de las ventas), la mayor del sector [A1, B7].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14,3 % en 2025 frente al 2,8-5,6 % de King Long y Zhongtong y el 6,9 % de Daimler Truck; baterías y cadena de suministro chinas [B9].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tercio del mercado chino de autobuses grandes y medianos durante más de diez años; 49.518 unidades en 2025, el doble que el siguiente [A1].</w:t>
            </w:r>
          </w:p>
        </w:tc>
      </w:tr>
    </w:tbl>
    <w:p>
      <w:pPr>
        <w:spacing w:after="160" w:before="0"/>
      </w:pPr>
    </w:p>
    <w:p>
      <w:pPr>
        <w:pStyle w:val="Heading2"/>
      </w:pPr>
      <w:r>
        <w:t xml:space="preserve">Amenazas</w:t>
      </w:r>
    </w:p>
    <w:p>
      <w:pPr>
        <w:spacing w:after="100"/>
      </w:pPr>
      <w:r>
        <w:t xml:space="preserve">Tres amenazas. (1) Europa: si los concursos públicos exigen origen europeo o fijan requisitos de ciberseguridad que excluyan a los fabricantes chinos (tras las pruebas de Ruter y Movia y la investigación británica), Yutong pierde su mercado de más margen; probabilidad media a cinco años [21, 22, 24]. (2) Los rivales chinos (King Long, Zhongtong, BYD) ganan cuota en exportación: Yutong ha pasado a segunda con el 17,4 % y su exportación no crece en 9M26 mientras el sector sube un 11,6 %; probabilidad alta [19]. (3) El fin de la reposición subvencionada en China recorta el volumen nacional y aumenta la guerra de precios; probabilidad media-alta.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2019-2025: ingresos </w:t>
      </w:r>
      <w:r>
        <w:rPr>
          <w:b/>
          <w:bCs/>
        </w:rPr>
        <w:t xml:space="preserve">5,2 %</w:t>
      </w:r>
      <w:r>
        <w:t xml:space="preserve">, EBITDA </w:t>
      </w:r>
      <w:r>
        <w:rPr>
          <w:b/>
          <w:bCs/>
        </w:rPr>
        <w:t xml:space="preserve">14,5 %</w:t>
      </w:r>
      <w:r>
        <w:t xml:space="preserve">, BPA </w:t>
      </w:r>
      <w:r>
        <w:rPr>
          <w:b/>
          <w:bCs/>
        </w:rPr>
        <w:t xml:space="preserve">19,8 %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Yutong vende hoy menos autobuses que en 2019 y gana casi tres veces más. Las ventas cayeron de 30.492 M (2019) a 21.705-23.233 M en 2020-2022 con la pandemia y el fin de las subvenciones nacionales al autobús eléctrico, y volvieron a 41.426 M en 2025 (+11,3 %) con 49.518 unidades (+5,5 %) [1, 5]. El margen lo ha hecho la exportación: en 2025 el 58 % de las ventas de autobús (21.108 M) fue fuera de China con un margen bruto del 29,6 %, frente al 19,1 % de las ventas nacionales (15.402 M, −12,4 %) [1]. El EBIT pasó del 1,1 % de 2020-2021 al 14,3 % de 2025 y al 14,8 % en 9M26. En 9M26 las ventas caen un 2,1 % (volumen −7,8 %; septiembre −12,6 %) y el beneficio atribuido un 3,3 %, pero el beneficio sin no recurrentes sube un 18,5 % (3.099 M): la caída viene de la tesorería (pérdidas de valor razonable de −145 M frente a +257 M) [7, 11]. Gastos comerciales a la baja (2,8 % de las ventas en el 3T26) e I+D al 4,4-5,2 % [1, 7].</w:t>
      </w:r>
    </w:p>
    <w:p>
      <w:pPr>
        <w:pStyle w:val="Heading2"/>
      </w:pPr>
      <w:r>
        <w:t xml:space="preserve">Ajustes y partidas no recurrentes</w:t>
      </w:r>
    </w:p>
    <w:p>
      <w:pPr>
        <w:spacing w:after="100"/>
      </w:pPr>
      <w:r>
        <w:t xml:space="preserve">Usamos las cifras publicadas. Los rendimientos de la tesorería (intereses de depósitos, productos bancarios, valor razonable y ventas de participaciones financieras) van al resultado financiero, no al EBIT; las subvenciones públicas (其他收益: 312 M en 2025, 230 M en 9M26) y las reversiones de provisiones de cobro (+132 M en 2025, +251 M en 9M26, por el cobro de deudas viejas de empresas de transporte municipales) se quedan en el EBIT porque se repiten todos los años [1, 7]. Los no recurrentes oficiales sumaron 974 M en 2025 (17,5 % del beneficio), 648 M en 2024 y 403 M en 2023, sobre todo valor razonable y ventas de participaciones (693 M en 2025) y subvenciones no ligadas a la actividad (218 M); en 9M26 solo 85 M [1, 7]. Solo sacamos del EBITDA la plusvalía por venta de inmovilizado de 2025 (183 M).</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Yutong no publica transcripciones: las conferencias son por escrito en el Roadshow de SSE y las resumen los brókeres. En la del 1S26 (agosto) y en el informe semestral la dirección repitió tres mensajes: la exportación (sobre todo Europa y autobús eléctrico) sostiene el beneficio; el mercado chino se debilita por el fin de la exención total del impuesto de compra de vehículos eléctricos y la caída del turismo en autocar; y la prioridad es el margen por encima del volumen («优选高毛利订单») [6, 38]. Tras el 3T26 (15-oct) el discurso es el mismo, con un matiz: más peso de Europa y del cobro (flujo operativo de 2.060 M en el trimestre frente a 80 M un año antes) y la gama ligera e interurbana como apoyo en China [19, 37]. Las preguntas que más se repiten en el foro de inversores y en los brókeres son el dividendo a cuenta de 2026 (autorizado por la junta pero no anunciado), la caída de la exportación del 3T26 (−16,8 % en unidades) y la sucesión del presidente, de 72 años [45, 47]. La dirección no ha dado cifras de pedidos ni un objetivo de exportación para 2027. La conferencia del 3T26 es el 23-oct, después del corte [44].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con fábrica. Desde 2021 la tesorería sube de ≈ 7.200 M a ≈ 14.400 M aunque se reparte casi todo el beneficio, porque el circulante se ha vuelto negativo: los cobros pendientes bajan de 5.692 M (2021) a 2.532 M (sep-26) al cobrar el atraso de las ciudades y vender más fuera, las existencias de 6.106 M a 3.928 M, y las provisiones de garantía crecen [1, 7]. El año 2025 rompe la serie (cobros de 5.503 M y proveedores de 3.477 M frente a 6.992 M, por menos pagos con efectos): el flujo operativo cayó a 3.197 M y se recuperó en 9M26 (8.004 M) [1, 7]. Las cuentas por cobrar brutas de 7.231 M a fin de 2025 llevan 1.851 M de provisión (25,6 %), con 1.381 M de más de cinco años; las subvenciones nacionales pendientes ya están cobradas (0 en contratos, frente a 4.000 M en 2021)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21.082</w:t>
      </w:r>
      <w:r>
        <w:t xml:space="preserve">, conversión </w:t>
      </w:r>
      <w:r>
        <w:rPr>
          <w:b/>
          <w:bCs/>
        </w:rPr>
        <w:t xml:space="preserve">138 %</w:t>
      </w:r>
      <w:r>
        <w:t xml:space="preserve"> del beneficio neto; adquisiciones 15, dividendos 15.747, recompras 311.</w:t>
      </w:r>
    </w:p>
    <w:p>
      <w:pPr>
        <w:spacing w:after="100"/>
      </w:pPr>
      <w:r>
        <w:t xml:space="preserve">El flujo de caja convierte bien el beneficio a lo largo del ciclo, pero salta de un año a otro con el circulante: 716 M en 2021, 4.717 M en 2023, 7.211 M en 2024, 3.197 M en 2025 y 8.004 M en 9M26 [1, 7]. En 2021-2025 el flujo operativo sumó 19.095 M frente a un beneficio de 12.860 M. La inversión es baja: 567-976 M al año (1,8 % de las ventas en 2025) frente a unas amortizaciones de 720 M; casi todo es mantenimiento de tres fábricas en Zhengzhou con una ocupación del 50-81 % [1]. Casi todo el flujo libre vuelve al accionista: dividendos de 1.113 M (2021) a 4.437 M (2024) y 4.465 M en 9M26 (el final de 2025 de 2,00 CNY), y la tesorería sobrante se coloca en productos bancarios (inversión y desinversión brutas de 20.000-26.000 M al año).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 Hua CPA (大华) en 2025; BDO China Shu Lun Pan (立信) desde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reconocimiento de ingresos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y conservadoras. Normas chinas (CAS), opinión favorable de Da Hua durante 14 años; en 2026 entra BDO China Shu Lun Pan por la regla de rotación, sin desacuerdos declarados [30]. Sin fondo de comercio y sin I+D capitalizada relevante (el gasto de I+D, ≈ 5 % de las ventas, va a resultados) [1]. Los indicadores del motor son buenos: Altman Z de 4,85 (zona segura, y subestimado porque los anticipos de clientes y las provisiones de garantía inflan el pasivo), Piotroski F de 8 sobre 9 (el único fallo es que en 2025 el flujo operativo no superó al beneficio por la subida de clientes de fin de año, que se cobró en 2026) y Beneish M de −1,95: por encima del umbral de −2,22 por la subida de las ventas (SGI 1,11) y de los clientes (DSRI 1,06), no por ajustes de devengo; el flujo de caja de 9M26 (8.004 M, 2,5 veces el beneficio) lo desmiente [7]. Tres cosas que vigilar: las reversiones de provisiones de cobro (+251 M en 9M26) suben el beneficio sin repetirse, las provisiones de garantía crecen más que las ventas (5.543 M, el 13 %) y el beneficio contable incluye subvenciones y plusvalías no recurrentes (974 M en 2025, el 18 %) [1, 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 en 2026 tras 14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 Hua (14 años) sale por la regla de rotación de las empresas cotizadas; la empresa dice que Da Hua no tiene objeciones [1, 30].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apoyado en reversiones de provisiones de cobro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Reversiones de +132 M en 2025 y +251 M en 9M26 (5-8 % del beneficio) al cobrar deudas viejas de empresas de transporte municipales; no se repetirán cuando se acabe el atraso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garantía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1.913 M (2021) a 5.543 M (sep-26), del 8 % al 13 % de las ventas: o la exportación eléctrica pide más garantía, o se dota con prudencia; si se revierte, sube el beneficio sin caja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Garantías de recompra de autobuses vendidos a plazos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6.234 M fuera de balance a fin de 2025, el 40 % del patrimonio; 4.400 M con la financiera del grupo, que cubre las pérdidas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6 años: sin compras. ROIC publicado 134,8 %; sin fondo de comercio, 134,8 %.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8,6 %.</w:t>
      </w:r>
    </w:p>
    <w:p>
      <w:pPr>
        <w:spacing w:after="100"/>
      </w:pPr>
      <w:r>
        <w:t xml:space="preserve">Yutong crea mucho valor, aunque el ROIC del motor (134,8 % en 2025) exagera porque el capital invertido es casi cero: el circulante es negativo o pequeño (los clientes pagan anticipos y Yutong paga a proveedores a 40-90 días) y las provisiones de garantía financian el negocio [1]. Con un capital más amplio (inmovilizado e intangibles, ≈ 5.500 M) el ROIC después de impuestos es del ≈ 90 %, igual de lejos del WACC (8,6 %). El ROIC lo mueve el margen: pasó del 2,5-6,5 % de 2020-2022 (margen EBIT del 1-2 %, crisis del autobús chino) al 26 % en 2023 y al 83 % en 2024 con la exportación, que tiene un margen bruto del 29,6 % frente al 19,1 % en China [1, 2, 3, 4, 5]. Lo que se vio en 2020-2022 enseña el riesgo: en un mal ciclo el ROIC cae por debajo del WACC. Frente a sus comparables (ROIC del 7-15 %) es el mejor del sector [35].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tesorería de ≈ 14417 M a 30-sep-2026 (efectivo 7.653 M, productos bancarios 5.174 M, depósitos a plazo y certificados ≈ 1.590 M) sin deuda bancaria salvo 128 M a corto; además 1.358 M en fondos y 939 M en participaciones financieras [6,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emite bonos)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Tres pasivos que no parecen deuda. (1) </w:t>
      </w:r>
      <w:r>
        <w:rPr>
          <w:b/>
        </w:rPr>
        <w:t xml:space="preserve">Provisiones de garantía</w:t>
      </w:r>
      <w:r>
        <w:t xml:space="preserve"> (预计负债): 5.543 M a sep-26, desde 1.913 M en 2021, por la garantía de las baterías y del producto exportado; crecen más que las ventas y son caja que se gastará en reparaciones si el negocio se encoge [1, 7]. (2) </w:t>
      </w:r>
      <w:r>
        <w:rPr>
          <w:b/>
        </w:rPr>
        <w:t xml:space="preserve">Garantías de recompra</w:t>
      </w:r>
      <w:r>
        <w:t xml:space="preserve">: Yutong responde ante bancos y arrendadoras por los autobuses vendidos a plazos: 6.234 M a fin de 2025, de ellos 4.400 M con la financiera del grupo (Zhengzhou Anchi), cuyas pérdidas asume por compromiso el accionista de control; el 14,4 % de los autobuses de 2025 se vendió a plazos [1]. (3) </w:t>
      </w:r>
      <w:r>
        <w:rPr>
          <w:b/>
        </w:rPr>
        <w:t xml:space="preserve">Arbitraje</w:t>
      </w:r>
      <w:r>
        <w:t xml:space="preserve"> de su antiguo distribuidor en Israel (China Motor), que reclama 269 M EUR (≈ 2.200 M CNY) ante la CCI en Suiza; sin vista celebrada y sin provisión publicada [31]. Sin pensiones de prestación definida.</w:t>
      </w:r>
    </w:p>
    <w:p>
      <w:pPr>
        <w:pStyle w:val="Heading1"/>
      </w:pPr>
      <w:r>
        <w:t xml:space="preserve">12. Asignación de capital</w:t>
      </w:r>
    </w:p>
    <w:p>
      <w:pPr>
        <w:pStyle w:val="Confianza"/>
        <w:spacing w:after="100"/>
      </w:pPr>
      <w:r>
        <w:t xml:space="preserve">Confianza: Alta</w:t>
      </w:r>
    </w:p>
    <w:p>
      <w:pPr>
        <w:spacing w:after="100"/>
      </w:pPr>
      <w:r>
        <w:t xml:space="preserve">Reparte casi todo: 99,65 % del beneficio de 2025 (2,50 CNY por acción, 5.535 M), 80 % en 2024 y 182 % en 2023; en tres años, 12.177 M, el 318 % del beneficio medio anual [13]. La junta de 2026 autorizó un dividendo a cuenta de 2026 que no se ha anunciado con el semestral ni con el 3T26 [6, 7]. Sin recompras (la última, la cancelación del plan de acciones restringidas de 2022). Prioridades declaradas: I+D (≈ 1.800 M al año), mejora de fábricas (en 2026, 390 M en curso y 646 M nuevos) y ensamblaje local fuera de China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dirección asigna bien el capital: no compra empresas, invierte poco (capex del 1,5-2 % de las ventas) y devuelve casi todo el flujo. En 2019-2025 generó 21.082 M de flujo libre y pagó 15.747 M en dividendos, más 311 M de recompra (la cancelación del plan de acciones de 2022); la conversión del beneficio en flujo libre es del 138 % [1, 2, 3, 4, 5]. La caja neta (≈ 14.100 M a sep-26) no ha crecido en cinco años porque se reparte: es tesorería operativa de un negocio con garantías de recompra y anticipos, no un exceso olvidado. El ROIC incremental no es medible (el capital invertido baja mientras el beneficio sube). Los dos puntos débiles: la inversión en productos de gestión de tesorería y en un fondo privado (sep-2026) en vez de recomprar acciones a 9-11 veces beneficio, y que el 14,4 % de los minoritarios votó contra la autorización de esa gestión [25, 32].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Tang Yuxiang (汤玉祥)</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del grupo Yutong; accionista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años; dirige Yutong desde los noventa y llevó la compra del control por la dirección en 2001; con él Yutong pasó de fábrica regional a primera de China y a exportadora. Controla el grupo (37,70 % + 3,95 %) con el 52 % de la sociedad gestora de los vehículos de los empleados [1, 7]. Cobró 1,65 M CNY en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Panpan (李盼盼)</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general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 años; ingeniero de producto y calidad de la casa, director general desde marzo de 2024 y además director financiero desde diciembre de 2024; vicepresidente del grupo. Bajo su mando, beneficio de 4.116 M (2024) y 5.554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Wentao (王文韬)</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subdirector general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años; antes director de marketing y de ventas nacionales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Dong Xiaokun (董晓坤)</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(2026: fuera del consejo); ingeniero jefe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años; jefe técnico, dejó la subdirección general en jul-2025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Yu Li (于莉)</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años; 877.500 acciones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24.777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23.233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25.617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21.799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24.613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27.042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32.900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37.218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42.133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41.426 M (−1,7 %)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ventas al alza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volumen −7,8 %, ventas −2,1 %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casa, muy estable y joven por debajo del presidente: el director general (41 años) es además director financiero, algo poco habitual que concentra poder en una persona [1]. La dirección cumple su plan de ventas en los años buenos y lo pierde en los malos (2021-2022), y en 2026 va camino de no cumplir la subida prometida [2, 7]. El riesgo de equipo es la sucesión de Tang Yuxiang (72 años), que preside desde 2001 y controla el grupo: no hay plan de sucesión publicado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Tang Yuxiang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ESG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Panpan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director general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Wang Wentao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 propuesto en sustitución de Wang Xuemin (junta del 17-sep-2026)</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 Keqin (潘克勤)</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Gong Jianwei (龚建伟)</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ESG;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 Yufeng (李玉峰)</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reconocimiento de ingresos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Zhengzhou Yutong Group (郑州宇通集团)</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(dirección y empleados, vía Tongtai)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 Kong Securities Clearing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extranjeros por Stock Connect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desde el 11,35 % de fin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Mengshi Bus (猛狮客车), filial del grupo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Pacific Life (CPIC)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Life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Highway Vehicle Machinery (estatal)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Nacional de Seguridad Social (101)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entre los diez primeros en el 3T26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Sueldos bajos para el tamaño: el director general cobró 1,73 M CNY antes de impuestos en 2025 y el presidente 1,65 M; los nueve consejeros y directivos, 9,65 M en total [1]. El variable es anual y depende del cumplimiento del plan y de la evaluación del consejo; no hay plan de acciones desde que se canceló el de 2022 (311 M devueltos) [1, 4]. Los accionistas de menos del 5 % aprobaron la remuneración con el 99,63 % (0,03 % en contra; el grupo no votó por ser parte vinculada) [25]. Los directivos se alinean por otra vía: participan en el capital del grupo a través de las sociedades de empleados (通泰人合) [1].</w:t>
      </w:r>
    </w:p>
    <w:p>
      <w:pPr>
        <w:pStyle w:val="Heading2"/>
      </w:pPr>
      <w:r>
        <w:t xml:space="preserve">Operaciones vinculadas, estructura de control y defensas</w:t>
      </w:r>
    </w:p>
    <w:p>
      <w:pPr>
        <w:spacing w:after="100"/>
      </w:pPr>
      <w:r>
        <w:t xml:space="preserve">Control de la dirección: el grupo Yutong (37,70 % directo y 3,95 % por Mengshi) lo controla Tang Yuxiang con el 52 % de la sociedad gestora de los vehículos de los empleados (Tongtai), que manda en el grupo sin derecho a beneficios [1]. Una acción, un voto, sin blindajes. Operaciones vinculadas relevantes: 2.354 M en 2025 (compras de baterías a Shenlan, 1.085 M; servicios del grupo) y la financiera del grupo (Anchi) con 4.400 M de garantías de recompra, cuyas pérdidas asume el grupo [28, 29]. La junta aprobó las garantías de 2026 con un 20,6 % en contra de los accionistas de menos del 5 % y la colocación de tesorería en productos financieros con un 14,4 % en contra [25].</w:t>
      </w:r>
    </w:p>
    <w:p>
      <w:pPr>
        <w:pStyle w:val="Heading2"/>
      </w:pPr>
      <w:r>
        <w:t xml:space="preserve">Señales de alerta</w:t>
      </w:r>
    </w:p>
    <w:p>
      <w:pPr>
        <w:pStyle w:val="ListParagraph"/>
        <w:numPr>
          <w:ilvl w:val="0"/>
          <w:numId w:val="2"/>
        </w:numPr>
        <w:spacing w:after="60"/>
      </w:pPr>
      <w:r>
        <w:t xml:space="preserve">Garantías de recompra y financiera del grupo: 20,6 % de los minoritarios votó en contra de las garantías de 2026 [25, 29].</w:t>
      </w:r>
    </w:p>
    <w:p>
      <w:pPr>
        <w:pStyle w:val="ListParagraph"/>
        <w:numPr>
          <w:ilvl w:val="0"/>
          <w:numId w:val="2"/>
        </w:numPr>
        <w:spacing w:after="60"/>
      </w:pPr>
      <w:r>
        <w:t xml:space="preserve">Arbitraje de 269 M EUR (≈ 2.200 M CNY) de China Motor ante la CCI, sin fecha de vista [31].</w:t>
      </w:r>
    </w:p>
    <w:p>
      <w:pPr>
        <w:pStyle w:val="ListParagraph"/>
        <w:numPr>
          <w:ilvl w:val="0"/>
          <w:numId w:val="2"/>
        </w:numPr>
        <w:spacing w:after="60"/>
      </w:pPr>
      <w:r>
        <w:t xml:space="preserve">Cambio de auditor en 2026 tras 14 años (rotación obligatoria; sin desacuerdo declarado) [30].</w:t>
      </w:r>
    </w:p>
    <w:p>
      <w:pPr>
        <w:pStyle w:val="ListParagraph"/>
        <w:numPr>
          <w:ilvl w:val="0"/>
          <w:numId w:val="2"/>
        </w:numPr>
        <w:spacing w:after="60"/>
      </w:pPr>
      <w:r>
        <w:t xml:space="preserve">Director general que es también director financiero desde diciembre de 2024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En el anual 2025 la dirección prevé para 2026 «volumen e ingresos al alza» y 390 M de inversiones en curso y 646 M nuevas [1]. Tras 9M26 (volumen −7,8 %, ventas −2,1 %) no la ha cambiado; la conferencia de resultados del 3T26 es el 23-oct-2026 [44]. Desde 2021 publicaba una cifra de ventas (42.133 M para 2025, cumplida al 98 %)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Guosen, Soochow, Southwest y Hualong tras el 3T26 [18, 19, 37,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Ídem [18, 19, 37, 38]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Ídem [18, 19, 37,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Los cuatro brókeres que publicaron tras el 3T26 mantuvieron sus previsiones (BPA 2026e de 2,71-2,80; 2027e de 2,98-3,18) aunque 9M26 deja el beneficio un 3,3 % por debajo del año anterior: para llegar a 2,74 CNY el 4T26 tendría que ganar 2.880 M, un 27 % más que el 4T25 [7, 36]. Yahoo, con estimaciones más recientes, da 2,46 y 2,79 CNY (hace 90 días, 2,40 y 2,70) [35]. La tendencia de 3 meses es estable o al alza en Yahoo y sin cambios en los brókeres chinos. Ninguno publica EBITDA: usamos BPA y ventas. Las ocho recomendaciones de Yahoo son de compra (objetivo medio 38,10 CNY) [35].</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2026 la acción cae un 9,5 %, igual que el índice de referencia (−9,7 %) y mucho mejor que el sector de automóvil chino (−28,1 %) [33]. La caída empezó tras el dividendo (fecha ex del 15-may, −6,3 %) y siguió en junio con las ventas nacionales a la baja (−11,9 % en junio) y la rotación fuera del sector; el semestral (11-ago, beneficio −3,5 %) la llevó a 25 CNY [6, 14, 16]. En tres y cinco años la rentabilidad total es del 36,5 % y del 27,5 % anual, por la triple subida del beneficio con la exportación y el dividendo. La beta mensual de cinco años es baja (0,63) y la semanal de dos años negativa: el precio lo mueven los resultados propios, no el mercado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 -7,2 % / -24,1 % / +1,5 %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 / +10,5 %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25-may al 25-jun: ventas de mayo y junio a la baja en China (−11,9 % en junio, publicado el 2-jul), caída del sector del automóvil chino (−28 % en el año) y días de −8,7 % (4-jun) y −6,7 % (16-jun) sin anuncio propio; la fecha ex del dividendo (15-may, 2,00 CNY) queda justo antes [14, 16,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25-jun al 20-jul (+7,8 % el 20-jul) sin anuncio propio: vuelta desde la sobreventa de junio y compras por el dividendo (≈ 9 % sobre 25 CNY), según el foro de inversores [33,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 −7,9 % el 11-ago con el semestral: beneficio atribuido −3,5 % y ventas del 2T26 por debajo de lo esperado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aprueba el dividendo final de 2,00 CNY (99,65 % del beneficio de 2025 con el a cuenta) y autoriza un dividendo a cuenta de 2026; el 20,6 % de los minoritarios vota contra las garantías de recompra [13,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ventas −7,9 %, beneficio atribuido −12,7 % (659 M)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+3,7 %, beneficio −3,5 %; sin dividendo a cuenta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el consejero Wang Xuemin; la junta extraordinaria del 17-sep elige al sustituto con el 99,2 % a favor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como socio limitado en un fondo privado (importe pequeño frente a la caja)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4.158 autobuses (−12,6 %); 9M26 30.929 (−7,8 %)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ventas −11,1 %, beneficio −3,0 %, recurrente +22,3 %, margen bruto del 26,7 % y flujo operativo de 2.060 M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Soochow, Southwest, Hualong y Guosen mantienen «comprar» o «mejor que el mercado» sin tocar el BPA de 2026e (2,71-2,80 CNY), que exige un 4T26 récord [18, 19, 36, 37,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del 3T26 en el Roadshow de SSE, dos días después del corte; los próximos resultados (anuales de 2026) llegan a finales de marzo de 2027 [44, 48]. No aplaza (regla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Arbitraje pendiente ante la CCI: China Motor (Israel) reclama 269 M EUR a Hong Kong Yutong; sin fecha de laudo. Es ≈ 2.200 M CNY, el 3,6 % de la capitalización, y la empresa lo discute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tendencia bajista (−10,3 % bajo la media de 200 sesiones, −27,1 % desde el máximo de 52 semanas) pero un 10,5 % por encima del mínimo, y sin avisos P1-P5 [33]. Las caídas de junio y agosto las explican las ventas nacionales y el semestral, ya en nuestras cifras; el rebote de julio no tiene noticia propia. No hay hechos pendientes que puedan mover el precio más de un 5 % en contra: el accionista de control (37,7 %) no vende, no hay colocaciones ni convertibles, ni ventas de directivos [1, 7]. El arbitraje de China Motor no tiene fecha. Los próximos resultados son en marzo de 2027 (la conferencia del 23-oct no es una publicación).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beneficio de los últimos 12 meses cotiza a 11,3 veces, por debajo de su mediana de cinco años al cierre (16,2 veces) y de su mínimo (13,0), y a 6,5 veces el EBITDA frente a 8,8. Pero la historia al cierre engaña: en 2021-2022 el beneficio estaba hundido y el PER salía alto aunque el precio fuera bajo. Con el PER adelantado (cierre ÷ BPA del año siguiente), que es el que usa la regla, la mediana de 2022-2025 es de 9,8 veces y hoy cotiza a 11,2 veces nuestro BPA de 2027e: algo </w:t>
      </w:r>
      <w:r>
        <w:rPr>
          <w:b/>
        </w:rPr>
        <w:t xml:space="preserve">por encima</w:t>
      </w:r>
      <w:r>
        <w:t xml:space="preserve"> de su historia, porque el mercado ya paga la mejora del margen por la exportación [43]. El descuento frente al pasado se explica por el ciclo: el beneficio está en máximos (margen EBIT del 14,3 % en 2025 frente al 7 % de 2019) y el mercado no lo capitaliza como permanente.</w:t>
      </w:r>
    </w:p>
    <w:p>
      <w:pPr>
        <w:pStyle w:val="Heading1"/>
      </w:pPr>
      <w:r>
        <w:t xml:space="preserve">18. Comparables cotizados</w:t>
      </w:r>
    </w:p>
    <w:p>
      <w:pPr>
        <w:pStyle w:val="Confianza"/>
        <w:spacing w:after="100"/>
      </w:pPr>
      <w:r>
        <w:t xml:space="preserve">Confianza: Media</w:t>
      </w:r>
    </w:p>
    <w:p>
      <w:pPr>
        <w:spacing w:after="100"/>
      </w:pPr>
      <w:r>
        <w:t xml:space="preserve">Nueve fabricantes de vehículos comerciales: tres chinos de autobuses y camiones (King Long, Zhongtong, Foton), dos chinos de camiones y motores (Sinotruk, Weichai) y cuatro occidentales de camiones y autobuses (Daimler Truck, Volvo, Traton, NFI), todos con datos de Yahoo a la misma fecha y en CNY [35]. Fuera BYD (sus autobuses son una parte mínima de un fabricante de turismos), Iveco (bajo oferta de compra de Tata Motors) y Ashok Leyland (ficha incompleta). No hay ningún otro fabricante de autobuses puro con márgenes como los de Yutong.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Yutong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Xiamen King Long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Zhongtong Bus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Beiqi Foton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Sinotruk (HK)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Weichai Power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Daimler Truck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NFI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 / 5,3x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8,8x / 9,5x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0,7x / 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bl>
    <w:p>
      <w:pPr>
        <w:spacing w:after="160" w:before="0"/>
      </w:pPr>
    </w:p>
    <w:p>
      <w:pPr>
        <w:spacing w:after="100"/>
      </w:pPr>
      <w:r>
        <w:t xml:space="preserve">Yutong cotiza a 9,3 veces el beneficio de los próximos 12 meses del consenso y 6,5 veces el EBITDA, por encima de la mediana de sus comparables (8,8 veces PER) y con mucha más calidad: margen EBITDA del 17 % frente al 4-10 % de King Long, Zhongtong, Foton o Sinotruk, y un ROIC que no tiene ninguno [35]. La prima es pequeña para esa diferencia, pero tiene sentido: los fabricantes de vehículos comerciales cotizan con múltiplos bajos por cíclicos, y Yutong está en máximos de margen. Los valores por comparables (23-29 CNY por PER) dan menos que el precio porque aplican a un líder múltiplos de rezagados; por eso pesan un 20 %. Fuera de China, Volvo (12,9 veces) y Daimler Truck (8,8) son la referencia; NFI, el rival americano, gana poco [35].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40.101 M (−3,2 %): 9M26 real (25.816 M) y un 4T26 un 5 % por debajo del 4T25, entre el 3T26 (−11,1 %) y la mejora del cobro y de la mezcla [7, 11]. Después, +3 % en 2027e y +4 % en 2028e: la exportación sigue creciendo (eléctricos en Europa, Oriente Medio, Latinoamérica) y China se estabiliza en un nivel más bajo; luego bajando al 1,5 % en 2035e. Es mucho menos que el consenso (+10 % al año en 2026-2028e: 45.509, 50.378 y 55.025 M), que exigiría un 4T26 de 19.700 M, un 31 % más que el récord del 4T25 [19, 37, 38].</w:t>
      </w:r>
    </w:p>
    <w:p>
      <w:pPr>
        <w:keepNext/>
        <w:spacing w:after="100"/>
      </w:pPr>
      <w:r>
        <w:rPr>
          <w:b/>
          <w:bCs/>
        </w:rPr>
        <w:t xml:space="preserve">Márgenes.</w:t>
      </w:r>
    </w:p>
    <w:p>
      <w:pPr>
        <w:spacing w:after="100"/>
      </w:pPr>
      <w:r>
        <w:t xml:space="preserve">Margen EBITDA del 17,1 % en 2026e (EBIT de 9M26 del 14,8 % y un 4T con el margen del 4T25, 16,0 %), 17,0 % en 2027e y bajando hasta el 15 % en 2035e [7]. En 2019-2022 estuvo entre el 3 % y el 9 %; en 2025, 16,0 %. Lo bajamos porque el margen de hoy es de máximos y la competencia en la exportación aprieta.</w:t>
      </w:r>
    </w:p>
    <w:p>
      <w:pPr>
        <w:keepNext/>
        <w:spacing w:after="100"/>
      </w:pPr>
      <w:r>
        <w:rPr>
          <w:b/>
          <w:bCs/>
        </w:rPr>
        <w:t xml:space="preserve">Inversión y circulante.</w:t>
      </w:r>
    </w:p>
    <w:p>
      <w:pPr>
        <w:spacing w:after="100"/>
      </w:pPr>
      <w:r>
        <w:t xml:space="preserve">Capex del 1,8-2,0 % de las ventas (1,5-2 % en 2021-2025) y amortización del 1,85 % [1]. Circulante del 7 % de las ventas en 2026e y del 6 % después: entre el negativo de 2023-2024 y el 9,7 % de 2025, cuando el plazo de pago a proveedores bajó de 88 a 40 días (lectura propia: la norma de pago a las pymes en 60 días, vigente desde junio de 2025) [1].</w:t>
      </w:r>
    </w:p>
    <w:p>
      <w:pPr>
        <w:keepNext/>
        <w:spacing w:after="100"/>
      </w:pPr>
      <w:r>
        <w:rPr>
          <w:b/>
          <w:bCs/>
        </w:rPr>
        <w:t xml:space="preserve">Coste del capital.</w:t>
      </w:r>
    </w:p>
    <w:p>
      <w:pPr>
        <w:spacing w:after="100"/>
      </w:pPr>
      <w:r>
        <w:t xml:space="preserve">Tasa libre del 1,64 % (bono chino a 10 años, 1,6354 % el 20-oct [39]); beta 0,9 (la mensual de 5 años es 0,63 y la semanal de 2 años sale negativa: la subimos por ser una cíclica de bienes de equipo) [33]; prima de mercado del 5,5 % y prima adicional de 2,0 puntos por China, exportación expuesta a aranceles y seguridad y accionista de control. Sin deuda. WACC del 8,59 %. Con la prima implícita del mercado (4,2 %) baja al 7,4 % [40].</w:t>
      </w:r>
    </w:p>
    <w:p>
      <w:pPr>
        <w:keepNext/>
        <w:spacing w:after="100"/>
      </w:pPr>
      <w:r>
        <w:rPr>
          <w:b/>
          <w:bCs/>
        </w:rPr>
        <w:t xml:space="preserve">Valor terminal.</w:t>
      </w:r>
    </w:p>
    <w:p>
      <w:pPr>
        <w:spacing w:after="100"/>
      </w:pPr>
      <w:r>
        <w:t xml:space="preserve">Crecimiento terminal del 1,0 %, por debajo de la tasa libre (1,64 %) y de la inflación china esperada a largo plazo. El valor terminal pesa el 50 % del valor de la empresa y equivale a 9,8 veces el EBITDA, por encima de los comparables chinos (4-5 veces) y en línea con Volvo; el múltiplo de salida de 9 veces da un valor terminal un 8 % menor [35].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-356 M, con un capex bruto medio del 2,0 % de las ventas). En un negocio de activos ligeros, el crecimiento medio del 2,1 %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China cae con el fin de la exención total del impuesto de compra de eléctricos y menos autocares de turismo (9M26 −7,8 %, septiembre −12,6 %); precio y mezcla +5,2 % por el peso de la exportación (1,23 M CNY por autobús frente a 0,48 M en China) [1,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China plana o algo abajo y exportación +5-6 %; precio +2,5 % por la mezcla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con la electrificación fuera de China; precio +2,5 %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precio +2,0 %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+1,0 %; precio +2,0 % [17].</w:t>
            </w:r>
          </w:p>
        </w:tc>
      </w:tr>
    </w:tbl>
    <w:p>
      <w:pPr>
        <w:spacing w:after="160" w:before="0"/>
      </w:pPr>
    </w:p>
    <w:p>
      <w:pPr>
        <w:spacing w:after="100"/>
      </w:pPr>
      <w:r>
        <w:t xml:space="preserve">Sí: proyectamos poco. Las ventas crecen un 2,7 % al año en 2027-2035e con el margen EBITDA bajando del 17,1 % al 15 %, menos que el mercado de autobuses eléctricos fuera de China (penetración del ≈ 11 % y concursos crecientes) y menos que la inflación más el volumen de los últimos diez años [17, 37]. La calidad lo sostiene: primera cuota en China (32,5 % en 2025) y en autobús eléctrico en Europa (1S26), margen bruto exterior del 29,6 %, caja neta de 14.100 M y un ROIC muy por encima del WACC sin necesidad de inversión neta [1, 18]. Lo que no damos por hecho es el nivel: el ciclo chino ya pasó su pico (mercado de 125.969 autobuses en 2025, un 43 % sobre 2023) y la exportación de 2026 está plana; por eso 2027e solo crece un 3 % y el bajista resta 12 puntos ese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(base: 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 (WACC: 8,6 %)</w:t>
            </w:r>
          </w:p>
        </w:tc>
      </w:tr>
    </w:tbl>
    <w:p>
      <w:pPr>
        <w:spacing w:after="160" w:before="0"/>
      </w:pPr>
    </w:p>
    <w:p>
      <w:pPr>
        <w:spacing w:after="100"/>
      </w:pPr>
      <w:r>
        <w:t xml:space="preserve">El DCF da 39,71 CNY por acción (+42,3 %), con el valor terminal en el 50 % del total y un WACC del 8,59 %. El DCF inverso dice que el precio de 27,90 CNY descuenta que las ventas caigan un 5,2 % al año en 2027-2035 (frente al +2,7 % de nuestro caso base), o una rentabilidad implícita del 13,4 % anual. El mercado no se cree el margen de hoy: valora a Yutong como un fabricante cíclico en máximos, y la historia le da parte de razón (el beneficio cayó un 87 % entre 2016 y 2020). La caja neta (14.100 M, 6,4 CNY por acción) explica el 16 % del valor. El valor depende sobre todo del margen: un punto menos de margen EBITDA en todos los años resta ≈ 2,3 CNY.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acaba el programa de renovación y el mercado chino cae como en 2020-2022; la exportación pierde cuota frente a BYD y King Long: ventas −9 % en 2027e y −2 % en 2028e, margen 3 puntos menor, crecimiento terminal del 0,5 %.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se estabiliza en un nivel más bajo, la exportación crece al 5-6 % con mejor mezcla: ventas +3 % y +4 % en 2027-2028e y margen EBITDA bajando del 17 % al 15 % en diez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del autobús fuera de China se acelera y Yutong mantiene la cuota: +3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CNY) · precio actual 27,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38,24 CNY (+37,1 %).</w:t>
      </w:r>
    </w:p>
    <w:p>
      <w:pPr>
        <w:spacing w:after="100"/>
      </w:pPr>
      <w:r>
        <w:t xml:space="preserve">A largo plazo la asimetría es favorable: el bajista del DCF vale 24,63 CNY (−11,7 %) y el alcista 48,92 (+75,3 %). Pero a 12 meses es al revés: con la regla de múltiplos el bajista usa el PER mínimo de cinco años (7,1 veces, el de 2023, con el ciclo en el fondo) sobre un BPA de 2028e de 1,69 CNY y da 12,00 CNY (−49,8 % con dividendo); el alcista solo llega a 30,96 (+18,1 %). El mercado paga a Yutong como cíclico y eso hace que la caída posible a un año sea mayor que la subida.</w:t>
      </w:r>
    </w:p>
    <w:p>
      <w:pPr>
        <w:pStyle w:val="Heading1"/>
      </w:pPr>
      <w:r>
        <w:t xml:space="preserve">22. Suma de partes</w:t>
      </w:r>
    </w:p>
    <w:p>
      <w:pPr>
        <w:pStyle w:val="Confianza"/>
        <w:spacing w:after="100"/>
      </w:pPr>
      <w:r>
        <w:t xml:space="preserve">Confianza: Media</w:t>
      </w:r>
    </w:p>
    <w:p>
      <w:pPr>
        <w:spacing w:after="100"/>
      </w:pPr>
      <w:r>
        <w:t xml:space="preserve">No aplica: un solo negocio (autobuses, con piezas y servicio); las participadas son pequeñas y van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CNY) · precio actual 27,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36,63 CNY (+31,3 % sobre 27,90).</w:t>
      </w:r>
    </w:p>
    <w:p>
      <w:pPr>
        <w:spacing w:after="100"/>
      </w:pPr>
      <w:r>
        <w:t xml:space="preserve">Pesamos el DCF al 50 %, los escenarios al 30 % y los comparables al 20 %. El DCF es el método más fiable para una empresa sin deuda, con caja neta y flujos estables en el ciclo de exportación; los comparables chinos de autobús y camión cotizan a 4-5 veces el EBITDA con márgenes de un tercio del de Yutong y dan menos que el precio. Transacciones con peso cero. La dispersión es alta: 26,52 CNY por comparables frente a 39,71 por DCF. El valor objetivo es 36,63 CNY (+31,3 %), pero es un valor a largo plazo que supone que el margen aguanta.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a mitad de camino hacia abajo, hacia la mediana de 5 años (9.8x)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bl>
    <w:p>
      <w:pPr>
        <w:spacing w:after="160" w:before="0"/>
      </w:pPr>
    </w:p>
    <w:p>
      <w:pPr>
        <w:spacing w:after="100"/>
      </w:pPr>
      <w:r>
        <w:rPr>
          <w:b/>
          <w:bCs/>
        </w:rPr>
        <w:t xml:space="preserve">Objetivo a 12 meses (ponderado):</w:t>
      </w:r>
      <w:r>
        <w:t xml:space="preserve"> 23,97 CNY · rentabilidad -6,9 % (base +2,0 %) · señal Mantener.</w:t>
      </w:r>
    </w:p>
    <w:p>
      <w:pPr>
        <w:spacing w:after="100"/>
      </w:pPr>
      <w:r>
        <w:t xml:space="preserve">Para comparar, con la regla v2 (historia al cierre, mismo precio): 9,5x / 11,2x / 14,6x, 9,3 %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(2,49 CNY) y 2028e (2,52) queda un 19 % y un 27 % por debajo de la media de los cuatro brókeres que publicaron tras el 3T26 (3,08 y 3,44) [18, 19, 36, 37, 38]. La diferencia está en las ventas: no han cambiado sus previsiones desde abril y siguen esperando 45.509 M en 2026e, que exigiría un 4T26 un 31 % mayor que el récord del 4T25 cuando el 3T26 cayó un 11 %. Nuestro precio base a 12 meses (26,46 CNY) queda un 31 % por debajo del objetivo medio de 8 analistas (38,10) [35]. Lo mantenemos: cuando publiquen el 4T26, sus cifras tendrán que bajar.</w:t>
      </w:r>
    </w:p>
    <w:p>
      <w:pPr>
        <w:keepNext/>
        <w:spacing w:after="100"/>
      </w:pPr>
      <w:r>
        <w:rPr>
          <w:b/>
          <w:bCs/>
        </w:rPr>
        <w:t xml:space="preserve">Del valor intrínseco al objetivo a 12 meses.</w:t>
      </w:r>
    </w:p>
    <w:p>
      <w:pPr>
        <w:spacing w:after="100"/>
      </w:pPr>
      <w:r>
        <w:t xml:space="preserve">El objetivo a 12 meses (23,97 CNY ponderado; 26,46 el base) queda muy por debajo del valor intrínseco (36,63 CNY). La distancia es la de un cíclico: el DCF supone que el margen de hoy se mantiene años; la regla a 12 meses paga el beneficio de 2028e a los múltiplos que el mercado ha dado a Yutong en el ciclo, entre 7 y 14 veces. Para que la regla dé compra haría falta un precio por debajo de 22,58 CNY o un BPA de 2028e cerca del consenso. El dividendo (≈ 7-8 %) paga la espera, pero no basta.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del 3T26 (Roadshow de SSE)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Pista sobre el dividendo a cuenta y la exportación del 4T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del 4T26 (el 4T es el 35-40 % del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2026e acaba en ≈ 2,35 CNY de BPA (nuestro) o en 2,7-2,8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o fin del programa de renovación de autobuses (以旧换新)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45-50 % de las ventas en unidades es China; sin programa, el bajista de 2027e (−9 % de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de 2026 y dividendo (≈ 2,2-2,4 CNY si mantiene el reparto)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autobús eléctrico en Europa, Oriente Medio y Latinoamérica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es más de la mitad de las ventas y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Laudo del arbitraje de China Motor (269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 −1,0 CNY por acción en el peor caso, no recurrente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ciclo chino de renovación ya pasó su pico: el mercado nacional cae en 2027 si el programa de renovación no sigue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(bajista: ventas −9 % en 2027e y margen −3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exportación es ya más de la mitad de las ventas y del margen; el mercado chino de 2026 ya está un 7-12 % abajo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nacionales mensuales por debajo del −15 % en el 4T26 o fin del programa sin sustituto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en máximos: vuelve a la media (EBIT del 7-11 % de 2023-2024)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2 puntos de margen EBITDA permanentes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viene de la mezcla exportadora (margen bruto exterior del 29,6 %), no de un año de precios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23 %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la exportación: BYD, King Long, Zhongtong, Golden Dragon y los europeos (Solaris, MAN, Iveco) en los concursos de autobús eléctrico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en matriculaciones de autobús eléctrico en Europa en el 1S26 (1.636) [18]; marca y servicio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Exportación de Yutong por debajo del sector dos trimestres más (9M26: +0,3 % frente a +11,6 %)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seguridad: la UE o el Reino Unido limitan los autobuses chinos conectados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(Europa es la parte de más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aranceles de la UE a los eléctricos chinos son para turismos, no para autobuses; las pruebas de Ruter y Movia no encontraron incidentes [21, 22,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proveedores chinos en concursos públicos europeos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 de recompra y cobros de empresas municipales de autobús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grupo cubre las pérdidas de las garantías con su financiera (4.400 de 6.234 M); los cobros viejos ya están provisionados y se recuperan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Dotaciones de cobro netas (no reversiones) o ejecución de garantías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presidente de 72 años sin sucesor anunciado y caja gestionada en productos financieros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(Li Panpan, 41) lleva el día a día; reparto casi total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del reparto por debajo del 70 % o compras al grupo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yuan al alza resta a la exportación y genera pérdidas de cambio (−233 M de resultado financiero en 9M26)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Coberturas y producción local en algunos mercados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Yuan por debajo de 6,8 por dólar</w:t>
            </w:r>
          </w:p>
        </w:tc>
      </w:tr>
    </w:tbl>
    <w:p>
      <w:pPr>
        <w:spacing w:after="160" w:before="0"/>
      </w:pPr>
    </w:p>
    <w:p>
      <w:pPr>
        <w:pStyle w:val="Heading2"/>
      </w:pPr>
      <w:r>
        <w:t xml:space="preserve">Pre-mortem</w:t>
      </w:r>
    </w:p>
    <w:p>
      <w:pPr>
        <w:spacing w:after="100"/>
      </w:pPr>
      <w:r>
        <w:t xml:space="preserve">Octubre de 2029: la acción vale 15 CNY, un 45 % menos. La historia más probable empieza en China: el programa de renovación de autobuses acabó en 2026, las empresas municipales sin dinero dejaron de comprar y el mercado nacional cayó un 25 % en 2027, como en 2020-2022. Fuera, BYD, King Long y Zhongtong bajaron precios en Oriente Medio y Latinoamérica y Yutong perdió cuota (ya en 2026 su exportación crecía 11 puntos menos que el sector); en Europa, un país grande excluyó los autobuses chinos conectados de sus concursos por seguridad. El margen EBIT volvió del 15 % al 9 %, el BPA cayó de 2,5 a 1,4 CNY y el dividendo se recortó a la mitad; el mercado lo pagó a 10 veces. Indicadores que lo habrían anticipado: ventas nacionales del 4T26 y del 1T27, la decisión sobre el programa de renovación para 2027, la cuota de exportación trimestral y el margen bruto por debajo del 23 %.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a +2 %</w:t>
      </w:r>
    </w:p>
    <w:p>
      <w:pPr>
        <w:spacing w:after="100"/>
      </w:pPr>
      <w:r>
        <w:t xml:space="preserve">El riesgo de IA es bajo. Yutong fabrica autobuses: un producto físico, regulado y vendido por concurso, que la IA no sustituye ni desintermedia. La IA entra por el lado del producto (conducción autónoma de nivel 4 en recintos y lanzaderas, gestión de flotas y baterías) y de la fábrica, donde Yutong invierte desde hace años; si la conducción autónoma llega al autobús urbano, es más una oportunidad para el líder con datos y escala que una amenaza [1, 23]. El riesgo indirecto es de seguridad: los autobuses conectados y con software remoto ya han abierto investigaciones en Noruega, Dinamarca y el Reino Unido, y más software en el vehículo amplía ese frente [21, 22, 24]. Señal: exclusión de proveedores chinos por ciberseguridad en concursos europeos.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el producto: el 37 % de las unidades de 2025 fueron autobuses de nuevas energías (18.356) y Yutong ha exportado más de 13.000 eléctricos, lo que la pone del lado de la descarbonización del transporte público [1, 6]. El segundo asunto es la </w:t>
      </w:r>
      <w:r>
        <w:rPr>
          <w:b/>
        </w:rPr>
        <w:t xml:space="preserve">seguridad de datos de los autobuses conectados</w:t>
      </w:r>
      <w:r>
        <w:t xml:space="preserve">: las pruebas de Ruter en Noruega y de Movia en Dinamarca (noviembre de 2025) mostraron que el fabricante puede acceder a la batería y a la gestión de energía para actualizaciones; Yutong dice que los datos de la UE están en un centro de AWS en Fráncfort y que no puede controlar dirección, frenos ni aceleración [21, 22]. El tercero, la seguridad de las baterías (provisiones de garantía de 5.543 M) [7].</w:t>
      </w:r>
    </w:p>
    <w:p>
      <w:pPr>
        <w:pStyle w:val="Heading2"/>
      </w:pPr>
      <w:r>
        <w:t xml:space="preserve">Controversias</w:t>
      </w:r>
    </w:p>
    <w:p>
      <w:pPr>
        <w:spacing w:after="100"/>
      </w:pPr>
      <w:r>
        <w:t xml:space="preserve">Sin sanciones ni multas relevantes en tres años en los informes anuales [1]. Controversia de ciberseguridad en Noruega, Dinamarca y el Reino Unido desde noviembre de 2025, sin incidentes registrados [21, 22, 24]. Arbitraje de 269 M EUR de su antiguo distribuidor en Israel (2025) [31].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anunciado el dividendo a cuenta de 2026 que autorizó la junta, y se mantiene el reparto de casi todo el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8 %) es la mitad de la tesis; en 2025 hubo a cuenta y en 2026 no [13,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exportación de Yutong crece un 0,3 % en 9M26 cuando el sector crece un 11,6 %, y qué pedidos hay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más margen; perder cuota rompería la tesis de margen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espera la dirección del mercado chino en 2027 si acaba el programa de renovación de autobuses?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entre el base y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margen bruto del 3T26 (26,7 %) es mezcla de Europa y cuánto es precio o coste de baterías?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estructural de lo coyuntural.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 Tang Yuxiang (72 años) como presidente y en el control de Tongtai?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 la empresa desde 2001; la pregunta se repite en el foro [1,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 cambiado en el acceso remoto a los autobuses tras las pruebas de Ruter y Movia?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veto europeo afectaría a la exportación de más margen [21, 22].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del día (21-oct)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4 % en dos sesiones, dominan los mensajes de corto plazo: «esperar a 26», «25 comprar, 29 vender», «no se sostiene en la media de 5 días» [45].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debate de los resultados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tema es «vende menos y gana más»: el beneficio sin no recurrentes (+22 % en el 3T26) y la exportación compensan la caída nacional; varios defienden que la caída del beneficio publicado es solo de la tesorería [45, 46].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hilos de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Atrae la rentabilidad por dividendo («7,37 %»), pero otros señalan que este año no hay dividendo a cuenta y preguntan si se mantendrá el reparto [45,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Guba, preguntas a la empresa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sobre la sucesión de Tang Yuxiang («¿qué pasa si se jubila?») y sobre la previsión de 2026 tras el −7 % de volumen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Exportación y margen («vende menos, gana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margen (bruto del 26,7 % en el 3T26) pero no en el volumen de exportación: el de Yutong cae un 16,8 % en el 3T26 y en 9M26 crece un 0,3 % con el sector al +11,6 % [7, 19].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alto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2,50 CNY de 2025 es un 9,0 % del precio de hoy, pero salió del 99,65 % de un beneficio con 974 M de no recurrentes; con un BPA de 2026 de ≈ 2,4 CNY el dividendo esperable es menor [1, 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mercado nacional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ventas nacionales ≈ −12 % en 9M26, autocares frenados por el impuesto de compra [6, 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presidente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Tang Yuxiang tiene 72 años y no hay plan publicado; el director general tiene 41 [1].</w:t>
            </w:r>
          </w:p>
        </w:tc>
      </w:tr>
    </w:tbl>
    <w:p>
      <w:pPr>
        <w:spacing w:after="160" w:before="0"/>
      </w:pPr>
    </w:p>
    <w:p>
      <w:pPr>
        <w:spacing w:after="100"/>
      </w:pPr>
      <w:r>
        <w:t xml:space="preserve">El particular chino ve a Yutong como un valor de dividendo que «siempre vuelve» y la opera en un rango de 25-29 CNY [45]. No hay euforia ni capitulación. El foro exagera la rentabilidad por dividendo (calcula con los 2,50 CNY de 2025, que incluían beneficio no recurrente) y no ve que la exportación de Yutong ha dejado de crecer mientras la del sector sube; los analistas tampoco lo recogen en sus previsiones. Aporta un aviso: el dividendo es lo que sostiene el precio, y un recorte en marzo de 2027 lo pondría a prueba.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48 (27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11,5 %: explica la causa (créditos fiscales, regularizaciones, mezcla de países) y no lo proyectes en el DCF. Explicación: El 11,5 % de 2023 se debe al tipo reducido del 15 % de empresa de alta tecnología y a la deducción adicional del 100 % del gasto de I+D [3]. No se proyecta: el DCF usa el 13,5-14 % (el efectivo de 2025 fue del 13,7 %).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7,0 % frente a 9,7 % real: genera una variación de circulante de -1.222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 fuentes (27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 de deuda (sin préstamos); 2) semestral 2026 (solo 128 M a corto en el 3T26); 3) no aplica: sin deuda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3T26 (sin amortizaciones trimestrales); 2) 1T26 y 9M25 (igual); 3) derivarlo con la amortización semestral (no fiable por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(sin calificaciones externas citadas); 2) MSCI ESG y Sustainalytics (no abren sin registro); 3) prensa china (Wind ESG, sin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la cuota propia); 2) notas de brókeres (solo cuotas de Yutong); 3) 中国客车统计信息网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(sin cambios en las acciones de consejeros: 2.410.863 al inicio y al final); 2) anuncios de CNINFO de 12 meses (sin anuncios de compra o venta de directivos); 3) 3T26 (accionistas sin cambios)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Comprobado: sin operaciones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(fijo,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el total antes de impuestos); 2) acta de la junta de 2026 (sin desglose); 3) propuesta de sueldos de 2026 (criterios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desglose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del sector con cifras oficiales (CAF-Solaris 2018, Tata-Iveco 2025): sin EBITDA del perímetro vendido publicado de forma comparable; 2) prensa sectorial (Sustainable Bus, Reuters): importes sin múltiplos verificables; 3) operaciones chinas (King Long, Zhongtong): sin compras de control en 5-7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SSE (préstamo de valores, sin posición corta neta); 2) Eastmoney (solo saldo de financiación: 203 M el 20-oct); 3) Yahoo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Guosen, Soochow, Southwest y Hualong (solo ventas y beneficio; Guosen da margen EBIT); 2) Yahoo (solo BPA y ventas); 3) MarketScreener (sin cobertura de acciones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estados 2025 y 2024, ventas por región y volumen, cuentas por cobrar por antigüedad, garantías de recompra, no recurrentes,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http://static.cninfo.com.cn/finalpage/2026-03-31/1225050742.PDF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estados 2024 y 2023, ventas por región y volumen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http://static.cninfo.com.cn/finalpage/2025-04-01/1222974533.PDF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estados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http://static.cninfo.com.cn/finalpage/2024-04-02/1219492560.PDF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estados 2022 y 2021, cancelación del plan de acciones restringidas (311 M devueltos)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http://static.cninfo.com.cn/finalpage/2023-03-28/1216236735.PDF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estados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http://static.cninfo.com.cn/finalpage/2022-03-29/1212711340.PDF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depósitos a plazo en otros activos no corrientes, mercado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http://static.cninfo.com.cn/finalpage/2026-08-11/1225466147.PDF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2026年第三季度报告 (3T26): cuenta, balance a 30-sep-2026, flujos de 9M26, no recurrentes,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http://static.cninfo.com.cn/finalpage/2026-10-15/1225604484.PDF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2026年第一季度报告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http://static.cninfo.com.cn/finalpage/2026-04-28/1225206556.PDF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2025年第三季度报告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http://static.cninfo.com.cn/finalpage/2025-10-29/1224752503.PDF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estructurados de 600066 (利润表, 资产负债表, 现金流量表) 2012-3T26: copia de los CAS usada para no transcribir a mano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F10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https://emweb.securities.eastmoney.com/PC_HSF10/NewFinanceAnalysis/Index?code=SH600066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2026年9月份产销数据快报 (producción y ventas de septiembre y 9M26 por tamaño)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http://static.cninfo.com.cn/finalpage/2026-10-09/1225596202.PDF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2025年12月份产销数据快报 (ventas de 2025: 49.518 autobuses)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http://static.cninfo.com.cn/finalpage/2026-01-06/1224918143.PDF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关于2025年度利润分配方案及2026年中期分红授权的公告 (2,00 CNY por acción; 99,65 % del beneficio de 2025 con el a cuenta)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http://static.cninfo.com.cn/finalpage/2026-03-31/1225050780.PDF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2025年年度权益分派实施公告 (pago del dividendo final de 2025, fecha ex 15-may-2026)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http://static.cninfo.com.cn/finalpage/2026-05-09/1225284530.PDF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repartos de 600066 (dividendos por ejercicio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(datos de los anuncios de reparto)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https://data.eastmoney.com/yjfp/detail/600066.html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2026年6月份产销数据快报 y 8月份产销数据快报 (ventas mensuales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http://static.cninfo.com.cn/finalpage/2026-09-03/1225543456.PDF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 fondo de Yutong: ciclo del sector 2009-2025, «以旧换新» y electrificación mundial (IEA, Fortune Business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Dongguan Securities (东莞证券)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https://pdf.dfcfw.com/pdf/H3_AP202601291818545157_1.pdf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del 3T26: Yutong primera en matriculaciones de autobús eléctrico en Europa en el 1S26 (1.636), centro de servicio propio en Noruega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Hualong Securities (华龙证券)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https://pdf.dfcfw.com/pdf/H3_AP202610171830643300_1.pdf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del 3T26: mercado de 9M26 (más de 6 m: 87.076, −2,18 %; cuota de Yutong 28,7 %; exportación 3,5 m+: 62.054, +11,6 %; Yutong 10.778, 17,4 %)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Southwest Securities (西南证券)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https://pdf.dfcfw.com/pdf/H3_AP202610171830643263_1.pdf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EBIT y margen de 2025 de King Long, Zhongtong, Ankai, Foton, BYD, Daimler Truck, NFI, Volvo y CAF (estados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(estados de las empresas)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https://finance.yahoo.com/quote/600686.SS/financials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rejects remote control claims over electric buses in Norway (pruebas de Ruter, datos en Fráncfort)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https://www.electrive.com/2025/11/06/yutong-rejects-remote-control-claims-over-electric-buses-in-norway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Denmark: Movia investigations on connected buses (262 Yutong en su flota)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Sustainable Bus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https://www.sustainable-bus.com/news/denmark-movia-investigations-connected-buses/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2025年度可持续发展报告 (informe de sostenibilidad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http://static.cninfo.com.cn/finalpage/2026-03-31/1225050714.PDF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probes Yutong electric buses for remote shut down capabilities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Bamboo Works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https://thebambooworks.com/u-k-probes-yutong-electric-buses-for-remote-shut-down-capabilities/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2025年年度股东会决议公告 (acta de la junta del 27-abr-2026: votos por punto y de los accionistas de menos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http://static.cninfo.com.cn/finalpage/2026-04-28/1225206542.PDF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关于董事变动的公告 (dimisión del consejero Wang Xuemin, 28-ago-2026, y propuesta de sustituto)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http://static.cninfo.com.cn/finalpage/2026-09-01/1225535761.PDF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2026年第一次临时股东会决议公告 (junta extraordinaria del 17-sep-2026)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http://static.cninfo.com.cn/finalpage/2026-09-18/1225569995.PDF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关于2026年日常关联交易预计的公告 (vinculadas 2025: 2.354 M; compras de baterías a Shenlan 1.085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http://static.cninfo.com.cn/finalpage/2026-03-31/1225050722.PDF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关于2026年对外担保预计的公告 (garantías y responsabilidad de recompra: 6.234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http://static.cninfo.com.cn/finalpage/2026-03-31/1225050704.PDF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关于聘任会计师事务所的公告 (cambio de Da Hua a BDO China Shu Lun Pan para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http://static.cninfo.com.cn/finalpage/2026-03-31/1225050751.PDF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关于子公司涉及仲裁的公告 (China Motor reclama 269 M EUR a Hong Kong Yutong ante la CCI)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http://static.cninfo.com.cn/finalpage/2025-10-29/1224752501.PDF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关于投资私募基金的公告 (inversión en un fondo privado,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http://static.cninfo.com.cn/finalpage/2026-09-15/1225563724.PDF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600066.SS, 510300.SS (CSI 300) y 516110.SS (ETF del sector del automóvil): rentabilidades, beta, volatilidad,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https://finance.yahoo.com/quote/600066.SS/history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sh600066 al cierre del 21-oct-2026 (27,90 CNY a las 15:34:59 de Pekín; cierre anterior 28,68)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(hq.sinajs.cn)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https://finance.sina.com.cn/realstock/company/sh600066/nc.shtml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y consenso de Yahoo (earningsTrend, objetivo medio de 8 analistas: 38,10 CNY) de Yutong y de los comparables (`notas/comparables-yahoo.mjs`)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https://finance.yahoo.com/quote/600066.SS/analysis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informes de analistas de 600066 con BPA previstos (Guosen, Hualong, Southwest, Soochow, Dongguan, Minsheng)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(研报中心)</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https://data.eastmoney.com/report/stock.jshtml?code=600066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宇通客车-盈利能力持续攀升，三季度扣非利润同比增长22% (previsiones 2026-2028; penetración eléctrica fuera de China ≈ 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 (国信证券)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https://pdf.dfcfw.com/pdf/H3_AP202610201830704774_1.pdf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宇通客车 2026 年三季报点评 (margen bruto del 3T26 26,73 %; exportación del 3T26 ≈ 4.000, −15,3 %; previsiones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https://pdf.dfcfw.com/pdf/H3_AP202610161830577526_1.pdf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bonos del Estado chino (中债国债收益率曲线), 10 años: 1,6354 %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https://yield.chinabond.com.cn/cbweb-mn/yield_main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 of SSE Securities / China Connect Securities (comprables y vendibles): 600066, CCASS 90066 (actualizada el 20-oct-2026 para la sesión siguiente)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https://www.hkex.com.hk/-/media/HKEX-Market/Mutual-Market/Stock-Connect/Eligible-Stocks/View-All-Eligible-Securities_xls/SSE_Securities.xls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Hong Kong - China Stock Connect (clientes con permiso China Connect; ChiNext y STAR solo para profesionales institucionales; comisión 0,08 %; cuota diaria; IBHK no ofrece el servicio)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Brokers (base de conocimiento)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https://ibkb.interactivebrokers.com/article/2267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mensuales sin ajustar de 600066 (cierres de diciembre 2017-2025)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(push2his)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https://quote.eastmoney.com/sh600066.html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conferencia de resultados del 3T26 el 23-oct-2026 (关于召开2026年第三季度业绩说明会的公告)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Yutong Bus (CNINFO/SSE)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http://static.cninfo.com.cn/finalpage/2026-10-15/1225604490.PDF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600066 en Guba (股吧), tres primeras páginas (≈ 150 mensajes del 14 al 21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https://guba.eastmoney.com/list,600066.html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«【财报侦探档案】宇通客车：国内市场承压，增长押注海外出海» y «宇通客车前三季度：车卖得少了，为何赚得更多了？»</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(artículos y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https://guba.eastmoney.com/list,600066,f_2.html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600066 en Guba, página 3 (preguntas a la empresa sobre dividendo y sucesión)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https://guba.eastmoney.com/list,600066,f_3.html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publicación (预约披露): el informe anual de 2025 salió el 31-mar-2026; el de 2026 se espera a finales de marzo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(calendario de SSE)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https://data.eastmoney.com/bbsj/yysj.html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81,3 %</w:t>
      </w:r>
      <w:r>
        <w:t xml:space="preserve"> · Secciones con menos del 60 % de campos cubiertos: </w:t>
      </w:r>
      <w:r>
        <w:rPr>
          <w:b/>
          <w:bCs/>
        </w:rPr>
        <w:t xml:space="preserve">capital, transacciones</w:t>
      </w:r>
      <w:r>
        <w:t xml:space="preserve"> · Generado el 21 oct 2026.</w:t>
      </w:r>
    </w:p>
    <w:p>
      <w:pPr>
        <w:pStyle w:val="Nota"/>
        <w:spacing w:after="100"/>
      </w:pPr>
      <w:r>
        <w:t xml:space="preserve">Línea cotizada: acción A de Shanghái (600066), en CNY; no tiene acciones H ni ADR. Se compra desde el extranjero por el Stock Connect (Shanghai-Hong Kong): está en la lista de valores comprables y vendibles de HKEX del 21-oct-2026 (CCASS 90066), y IBKR ofrece el Stock Connect de Shanghái a clientes particulares con el permiso China Connect (la placa principal sí; ChiNext y STAR solo profesionales) [41, 42]. Cuentas en normas chinas (CAS) de los informes de CNINFO, leídas de la copia estructurada de Eastmoney y cotejadas con los anuales [1, 2, 3, 4, 5, 6, 7, 8, 9, 10]. La empresa no publica resultado por segmento: solo ventas y margen bruto por región; ni transcripciones de las conferencias. Precio: cierre del 21-oct-2026 (27,90 CNY, Sina 15:34:59 de Pekín = 07:34:59 UTC) [34]. Tasa libre del 20-oct (la página de ChinaBond del 21-oct salió vacía)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Yutong Bus Co., Ltd. (宇通客车股份有限公司) (600066)</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27,90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(24,66 – 38,50)</c:v>
                </c:pt>
                <c:pt idx="1">
                  <c:v>Comparables: PER NTM (23,21 – 28,63)</c:v>
                </c:pt>
                <c:pt idx="2">
                  <c:v>DCF (WACC y g ± 0,5) (36,91 – 43,32)</c:v>
                </c:pt>
                <c:pt idx="3">
                  <c:v>Escenarios (bajista – alcista) (24,63 – 48,92)</c:v>
                </c:pt>
                <c:pt idx="4">
                  <c:v>DCF con la prima implícita del mercado (4,2 %)</c:v>
                </c:pt>
                <c:pt idx="5">
                  <c:v>Precio actual (27,90)</c:v>
                </c:pt>
              </c:strCache>
            </c:strRef>
          </c:cat>
          <c:val>
            <c:numRef>
              <c:f>Hoja1!$B$2:$B$7</c:f>
              <c:numCache>
                <c:formatCode>#,##0.0</c:formatCode>
                <c:ptCount val="6"/>
                <c:pt idx="0">
                  <c:v>24.66</c:v>
                </c:pt>
                <c:pt idx="1">
                  <c:v>23.21</c:v>
                </c:pt>
                <c:pt idx="2">
                  <c:v>36.91</c:v>
                </c:pt>
                <c:pt idx="3">
                  <c:v>24.63</c:v>
                </c:pt>
                <c:pt idx="4">
                  <c:v>42.68</c:v>
                </c:pt>
                <c:pt idx="5">
                  <c:v>27.76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(24,66 – 38,50)</c:v>
                </c:pt>
                <c:pt idx="1">
                  <c:v>Comparables: PER NTM (23,21 – 28,63)</c:v>
                </c:pt>
                <c:pt idx="2">
                  <c:v>DCF (WACC y g ± 0,5) (36,91 – 43,32)</c:v>
                </c:pt>
                <c:pt idx="3">
                  <c:v>Escenarios (bajista – alcista) (24,63 – 48,92)</c:v>
                </c:pt>
                <c:pt idx="4">
                  <c:v>DCF con la prima implícita del mercado (4,2 %)</c:v>
                </c:pt>
                <c:pt idx="5">
                  <c:v>Precio actual (27,90)</c:v>
                </c:pt>
              </c:strCache>
            </c:strRef>
          </c:cat>
          <c:val>
            <c:numRef>
              <c:f>Hoja1!$C$2:$C$7</c:f>
              <c:numCache>
                <c:formatCode>#,##0.0</c:formatCode>
                <c:ptCount val="6"/>
                <c:pt idx="0">
                  <c:v>13.84</c:v>
                </c:pt>
                <c:pt idx="1">
                  <c:v>5.419999999999998</c:v>
                </c:pt>
                <c:pt idx="2">
                  <c:v>6.410000000000004</c:v>
                </c:pt>
                <c:pt idx="3">
                  <c:v>24.290000000000003</c:v>
                </c:pt>
                <c:pt idx="4">
                  <c:v>5.700000000000003</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Autobuses en China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16491.78</c:v>
                </c:pt>
                <c:pt idx="1">
                  <c:v>13935.06</c:v>
                </c:pt>
                <c:pt idx="2">
                  <c:v>13696.81</c:v>
                </c:pt>
                <c:pt idx="3">
                  <c:v>17578.65</c:v>
                </c:pt>
                <c:pt idx="4">
                  <c:v>15402.28</c:v>
                </c:pt>
              </c:numCache>
            </c:numRef>
          </c:val>
        </c:ser>
        <c:ser>
          <c:idx val="1"/>
          <c:order val="1"/>
          <c:tx>
            <c:strRef>
              <c:f>Hoja1!$C$1</c:f>
              <c:strCache>
                <c:ptCount val="1"/>
                <c:pt idx="0">
                  <c:v>Autobuses fuera de China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4487.52</c:v>
                </c:pt>
                <c:pt idx="1">
                  <c:v>5595.08</c:v>
                </c:pt>
                <c:pt idx="2">
                  <c:v>10405.61</c:v>
                </c:pt>
                <c:pt idx="3">
                  <c:v>15200.28</c:v>
                </c:pt>
                <c:pt idx="4">
                  <c:v>21107.91</c:v>
                </c:pt>
              </c:numCache>
            </c:numRef>
          </c:val>
        </c:ser>
        <c:ser>
          <c:idx val="2"/>
          <c:order val="2"/>
          <c:tx>
            <c:strRef>
              <c:f>Hoja1!$D$1</c:f>
              <c:strCache>
                <c:ptCount val="1"/>
                <c:pt idx="0">
                  <c:v>Otros ingresos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2254.16</c:v>
                </c:pt>
                <c:pt idx="1">
                  <c:v>2268.82</c:v>
                </c:pt>
                <c:pt idx="2">
                  <c:v>2939.57</c:v>
                </c:pt>
                <c:pt idx="3">
                  <c:v>4438.66</c:v>
                </c:pt>
                <c:pt idx="4">
                  <c:v>4915.98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Autobuses en China</c:v>
                </c:pt>
                <c:pt idx="1">
                  <c:v>Autobuses fuera de China</c:v>
                </c:pt>
                <c:pt idx="2">
                  <c:v>Otros ingresos</c:v>
                </c:pt>
              </c:strCache>
            </c:strRef>
          </c:cat>
          <c:val>
            <c:numRef>
              <c:f>Hoja1!$B$2:$B$4</c:f>
              <c:numCache>
                <c:formatCode>General</c:formatCode>
                <c:ptCount val="3"/>
                <c:pt idx="0">
                  <c:v>37.2</c:v>
                </c:pt>
                <c:pt idx="1">
                  <c:v>51</c:v>
                </c:pt>
                <c:pt idx="2">
                  <c:v>11.9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c:v>
                </c:pt>
                <c:pt idx="1">
                  <c:v>Fuera de China</c:v>
                </c:pt>
              </c:strCache>
            </c:strRef>
          </c:cat>
          <c:val>
            <c:numRef>
              <c:f>Hoja1!$B$2:$B$3</c:f>
              <c:numCache>
                <c:formatCode>0"%"</c:formatCode>
                <c:ptCount val="2"/>
                <c:pt idx="0">
                  <c:v>42.2</c:v>
                </c:pt>
                <c:pt idx="1">
                  <c:v>57.8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(unidades (autobuses de más de 7 m de fabricantes chinos))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2020</c:v>
                </c:pt>
                <c:pt idx="1">
                  <c:v>2021</c:v>
                </c:pt>
                <c:pt idx="2">
                  <c:v>2022</c:v>
                </c:pt>
                <c:pt idx="3">
                  <c:v>2023</c:v>
                </c:pt>
                <c:pt idx="4">
                  <c:v>2024</c:v>
                </c:pt>
                <c:pt idx="5">
                  <c:v>2025</c:v>
                </c:pt>
                <c:pt idx="6">
                  <c:v>2026e</c:v>
                </c:pt>
              </c:strCache>
            </c:strRef>
          </c:cat>
          <c:val>
            <c:numRef>
              <c:f>Hoja1!$B$2:$B$8</c:f>
              <c:numCache>
                <c:formatCode>#,##0</c:formatCode>
                <c:ptCount val="7"/>
                <c:pt idx="0">
                  <c:v>96345</c:v>
                </c:pt>
                <c:pt idx="1">
                  <c:v>87525</c:v>
                </c:pt>
                <c:pt idx="2">
                  <c:v>84202</c:v>
                </c:pt>
                <c:pt idx="3">
                  <c:v>87926</c:v>
                </c:pt>
                <c:pt idx="4">
                  <c:v>115471</c:v>
                </c:pt>
                <c:pt idx="5">
                  <c:v>125969</c:v>
                </c:pt>
                <c:pt idx="6">
                  <c:v>122000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Yutong</c:v>
                </c:pt>
                <c:pt idx="1">
                  <c:v>Xiamen King Long Motor (King Long, Golden Dragon, Higer)</c:v>
                </c:pt>
                <c:pt idx="2">
                  <c:v>Zhongtong Bus</c:v>
                </c:pt>
                <c:pt idx="3">
                  <c:v>BYD (autobuses)</c:v>
                </c:pt>
                <c:pt idx="4">
                  <c:v>Anhui Ankai Automobile</c:v>
                </c:pt>
                <c:pt idx="5">
                  <c:v>Daimler Truck (Daimler Buses: Mercedes-Benz, Setra)</c:v>
                </c:pt>
                <c:pt idx="6">
                  <c:v>CAF (Solaris)</c:v>
                </c:pt>
                <c:pt idx="7">
                  <c:v>NFI Group (New Flyer)</c:v>
                </c:pt>
              </c:strCache>
            </c:strRef>
          </c:cat>
          <c:val>
            <c:numRef>
              <c:f>Hoja1!$B$2:$B$9</c:f>
              <c:numCache>
                <c:formatCode>0.0"%"</c:formatCode>
                <c:ptCount val="8"/>
                <c:pt idx="0">
                  <c:v>13.9</c:v>
                </c:pt>
                <c:pt idx="1">
                  <c:v>2.8</c:v>
                </c:pt>
                <c:pt idx="2">
                  <c:v>5.6</c:v>
                </c:pt>
                <c:pt idx="4">
                  <c:v>-1.5</c:v>
                </c:pt>
                <c:pt idx="5">
                  <c:v>6.9</c:v>
                </c:pt>
                <c:pt idx="6">
                  <c:v>5.5</c:v>
                </c:pt>
                <c:pt idx="7">
                  <c:v>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30491.74</c:v>
                </c:pt>
                <c:pt idx="1">
                  <c:v>21705.05</c:v>
                </c:pt>
                <c:pt idx="2">
                  <c:v>23233.46</c:v>
                </c:pt>
                <c:pt idx="3">
                  <c:v>21798.96</c:v>
                </c:pt>
                <c:pt idx="4">
                  <c:v>27041.99</c:v>
                </c:pt>
                <c:pt idx="5">
                  <c:v>37217.59</c:v>
                </c:pt>
                <c:pt idx="6">
                  <c:v>41426.17</c:v>
                </c:pt>
                <c:pt idx="7">
                  <c:v>40101</c:v>
                </c:pt>
                <c:pt idx="8">
                  <c:v>41304</c:v>
                </c:pt>
                <c:pt idx="9">
                  <c:v>42956</c:v>
                </c:pt>
                <c:pt idx="10">
                  <c:v>44459</c:v>
                </c:pt>
                <c:pt idx="11">
                  <c:v>45793</c:v>
                </c:pt>
                <c:pt idx="12">
                  <c:v>47167</c:v>
                </c:pt>
                <c:pt idx="13">
                  <c:v>48346</c:v>
                </c:pt>
                <c:pt idx="14">
                  <c:v>49313</c:v>
                </c:pt>
                <c:pt idx="15">
                  <c:v>50299</c:v>
                </c:pt>
                <c:pt idx="16">
                  <c:v>51054</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2873.3</c:v>
                </c:pt>
                <c:pt idx="1">
                  <c:v>895.51</c:v>
                </c:pt>
                <c:pt idx="2">
                  <c:v>1079.69</c:v>
                </c:pt>
                <c:pt idx="3">
                  <c:v>1368.9</c:v>
                </c:pt>
                <c:pt idx="4">
                  <c:v>2626.55</c:v>
                </c:pt>
                <c:pt idx="5">
                  <c:v>4966.22</c:v>
                </c:pt>
                <c:pt idx="6">
                  <c:v>6458.95</c:v>
                </c:pt>
                <c:pt idx="7">
                  <c:v>6857</c:v>
                </c:pt>
                <c:pt idx="8">
                  <c:v>7022</c:v>
                </c:pt>
                <c:pt idx="9">
                  <c:v>7174</c:v>
                </c:pt>
                <c:pt idx="10">
                  <c:v>7291</c:v>
                </c:pt>
                <c:pt idx="11">
                  <c:v>7373</c:v>
                </c:pt>
                <c:pt idx="12">
                  <c:v>7452</c:v>
                </c:pt>
                <c:pt idx="13">
                  <c:v>7494</c:v>
                </c:pt>
                <c:pt idx="14">
                  <c:v>7545</c:v>
                </c:pt>
                <c:pt idx="15">
                  <c:v>7595</c:v>
                </c:pt>
                <c:pt idx="16">
                  <c:v>7658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23.6</c:v>
                </c:pt>
                <c:pt idx="1">
                  <c:v>16.6</c:v>
                </c:pt>
                <c:pt idx="2">
                  <c:v>17.5</c:v>
                </c:pt>
                <c:pt idx="3">
                  <c:v>21.8</c:v>
                </c:pt>
                <c:pt idx="4">
                  <c:v>21.7</c:v>
                </c:pt>
                <c:pt idx="5">
                  <c:v>21.7</c:v>
                </c:pt>
                <c:pt idx="6">
                  <c:v>23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9.4</c:v>
                </c:pt>
                <c:pt idx="1">
                  <c:v>4.1</c:v>
                </c:pt>
                <c:pt idx="2">
                  <c:v>4.6</c:v>
                </c:pt>
                <c:pt idx="3">
                  <c:v>6.3</c:v>
                </c:pt>
                <c:pt idx="4">
                  <c:v>9.7</c:v>
                </c:pt>
                <c:pt idx="5">
                  <c:v>13.3</c:v>
                </c:pt>
                <c:pt idx="6">
                  <c:v>15.6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7.3</c:v>
                </c:pt>
                <c:pt idx="1">
                  <c:v>1.1</c:v>
                </c:pt>
                <c:pt idx="2">
                  <c:v>1.1</c:v>
                </c:pt>
                <c:pt idx="3">
                  <c:v>2.3</c:v>
                </c:pt>
                <c:pt idx="4">
                  <c:v>7</c:v>
                </c:pt>
                <c:pt idx="5">
                  <c:v>11.4</c:v>
                </c:pt>
                <c:pt idx="6">
                  <c:v>13.9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6.4</c:v>
                </c:pt>
                <c:pt idx="1">
                  <c:v>2.4</c:v>
                </c:pt>
                <c:pt idx="2">
                  <c:v>2.6</c:v>
                </c:pt>
                <c:pt idx="3">
                  <c:v>3.5</c:v>
                </c:pt>
                <c:pt idx="4">
                  <c:v>6.7</c:v>
                </c:pt>
                <c:pt idx="5">
                  <c:v>11.1</c:v>
                </c:pt>
                <c:pt idx="6">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62.4</c:v>
                </c:pt>
                <c:pt idx="1">
                  <c:v>-3</c:v>
                </c:pt>
                <c:pt idx="2">
                  <c:v>-0.1</c:v>
                </c:pt>
                <c:pt idx="3">
                  <c:v>32.3</c:v>
                </c:pt>
                <c:pt idx="4">
                  <c:v>14.6</c:v>
                </c:pt>
                <c:pt idx="5">
                  <c:v>-7.9</c:v>
                </c:pt>
                <c:pt idx="6">
                  <c:v>11.3</c:v>
                </c:pt>
                <c:pt idx="7">
                  <c:v>-11.1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171</c:v>
                </c:pt>
                <c:pt idx="1">
                  <c:v>159</c:v>
                </c:pt>
                <c:pt idx="2">
                  <c:v>98</c:v>
                </c:pt>
                <c:pt idx="3">
                  <c:v>75</c:v>
                </c:pt>
                <c:pt idx="4">
                  <c:v>60</c:v>
                </c:pt>
                <c:pt idx="5">
                  <c:v>48</c:v>
                </c:pt>
                <c:pt idx="6">
                  <c:v>51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69</c:v>
                </c:pt>
                <c:pt idx="1">
                  <c:v>101</c:v>
                </c:pt>
                <c:pt idx="2">
                  <c:v>116</c:v>
                </c:pt>
                <c:pt idx="3">
                  <c:v>105</c:v>
                </c:pt>
                <c:pt idx="4">
                  <c:v>78</c:v>
                </c:pt>
                <c:pt idx="5">
                  <c:v>44</c:v>
                </c:pt>
                <c:pt idx="6">
                  <c:v>41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183</c:v>
                </c:pt>
                <c:pt idx="1">
                  <c:v>191</c:v>
                </c:pt>
                <c:pt idx="2">
                  <c:v>157</c:v>
                </c:pt>
                <c:pt idx="3">
                  <c:v>161</c:v>
                </c:pt>
                <c:pt idx="4">
                  <c:v>123</c:v>
                </c:pt>
                <c:pt idx="5">
                  <c:v>88</c:v>
                </c:pt>
                <c:pt idx="6">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4200.599999999999</c:v>
                </c:pt>
                <c:pt idx="1">
                  <c:v>1525.1599999999999</c:v>
                </c:pt>
                <c:pt idx="2">
                  <c:v>15.680000000000081</c:v>
                </c:pt>
                <c:pt idx="3">
                  <c:v>2268.93</c:v>
                </c:pt>
                <c:pt idx="4">
                  <c:v>4140.38</c:v>
                </c:pt>
                <c:pt idx="5">
                  <c:v>6497.09</c:v>
                </c:pt>
                <c:pt idx="6">
                  <c:v>2434.0099999999998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1942.26</c:v>
                </c:pt>
                <c:pt idx="1">
                  <c:v>515.99</c:v>
                </c:pt>
                <c:pt idx="2">
                  <c:v>613.79</c:v>
                </c:pt>
                <c:pt idx="3">
                  <c:v>759.14</c:v>
                </c:pt>
                <c:pt idx="4">
                  <c:v>1817.08</c:v>
                </c:pt>
                <c:pt idx="5">
                  <c:v>4116.19</c:v>
                </c:pt>
                <c:pt idx="6">
                  <c:v>5554.48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c:v>
                </c:pt>
                <c:pt idx="1">
                  <c:v>2.5</c:v>
                </c:pt>
                <c:pt idx="2">
                  <c:v>3</c:v>
                </c:pt>
                <c:pt idx="3">
                  <c:v>6.5</c:v>
                </c:pt>
                <c:pt idx="4">
                  <c:v>26.1</c:v>
                </c:pt>
                <c:pt idx="5">
                  <c:v>83</c:v>
                </c:pt>
                <c:pt idx="6">
                  <c:v>134.8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8.6</c:v>
                </c:pt>
                <c:pt idx="1">
                  <c:v>8.6</c:v>
                </c:pt>
                <c:pt idx="2">
                  <c:v>8.6</c:v>
                </c:pt>
                <c:pt idx="3">
                  <c:v>8.6</c:v>
                </c:pt>
                <c:pt idx="4">
                  <c:v>8.6</c:v>
                </c:pt>
                <c:pt idx="5">
                  <c:v>8.6</c:v>
                </c:pt>
                <c:pt idx="6">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11.1</c:v>
                </c:pt>
                <c:pt idx="1">
                  <c:v>3.1</c:v>
                </c:pt>
                <c:pt idx="2">
                  <c:v>4</c:v>
                </c:pt>
                <c:pt idx="3">
                  <c:v>5.1</c:v>
                </c:pt>
                <c:pt idx="4">
                  <c:v>12.8</c:v>
                </c:pt>
                <c:pt idx="5">
                  <c:v>30.1</c:v>
                </c:pt>
                <c:pt idx="6">
                  <c:v>38.3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-2.54</c:v>
                </c:pt>
                <c:pt idx="1">
                  <c:v>-7.84</c:v>
                </c:pt>
                <c:pt idx="2">
                  <c:v>-6.35</c:v>
                </c:pt>
                <c:pt idx="3">
                  <c:v>-5.69</c:v>
                </c:pt>
                <c:pt idx="4">
                  <c:v>-3.04</c:v>
                </c:pt>
                <c:pt idx="5">
                  <c:v>-2.16</c:v>
                </c:pt>
                <c:pt idx="6">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15.04</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1179.96</c:v>
                </c:pt>
                <c:pt idx="1">
                  <c:v>2278.09</c:v>
                </c:pt>
                <c:pt idx="2">
                  <c:v>1112.65</c:v>
                </c:pt>
                <c:pt idx="3">
                  <c:v>1116.8</c:v>
                </c:pt>
                <c:pt idx="4">
                  <c:v>2245.7</c:v>
                </c:pt>
                <c:pt idx="5">
                  <c:v>4436.88</c:v>
                </c:pt>
                <c:pt idx="6">
                  <c:v>3377.26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311.39</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Zhengzhou Yutong Group (郑州宇通集团)</c:v>
                </c:pt>
                <c:pt idx="1">
                  <c:v>Hong Kong Securities Clearing (Stock Connect)</c:v>
                </c:pt>
                <c:pt idx="2">
                  <c:v>Mengshi Bus (猛狮客车), filial del grupo</c:v>
                </c:pt>
                <c:pt idx="3">
                  <c:v>China Pacific Life (CPIC)</c:v>
                </c:pt>
                <c:pt idx="4">
                  <c:v>China Life</c:v>
                </c:pt>
                <c:pt idx="5">
                  <c:v>China Highway Vehicle Machinery (estatal)</c:v>
                </c:pt>
                <c:pt idx="6">
                  <c:v>Fondo Nacional de Seguridad Social (101)</c:v>
                </c:pt>
              </c:strCache>
            </c:strRef>
          </c:cat>
          <c:val>
            <c:numRef>
              <c:f>Hoja1!$B$2:$B$8</c:f>
              <c:numCache>
                <c:formatCode>0.0"%"</c:formatCode>
                <c:ptCount val="7"/>
                <c:pt idx="0">
                  <c:v>37.7</c:v>
                </c:pt>
                <c:pt idx="1">
                  <c:v>11.03</c:v>
                </c:pt>
                <c:pt idx="2">
                  <c:v>3.95</c:v>
                </c:pt>
                <c:pt idx="3">
                  <c:v>2.1</c:v>
                </c:pt>
                <c:pt idx="4">
                  <c:v>2.07</c:v>
                </c:pt>
                <c:pt idx="5">
                  <c:v>1.85</c:v>
                </c:pt>
                <c:pt idx="6">
                  <c:v>0.86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-6.5</c:v>
                </c:pt>
                <c:pt idx="1">
                  <c:v>28.4</c:v>
                </c:pt>
                <c:pt idx="2">
                  <c:v>-49.3</c:v>
                </c:pt>
                <c:pt idx="3">
                  <c:v>24.8</c:v>
                </c:pt>
                <c:pt idx="4">
                  <c:v>28.1</c:v>
                </c:pt>
                <c:pt idx="5">
                  <c:v>-32.5</c:v>
                </c:pt>
                <c:pt idx="6">
                  <c:v>-27.6</c:v>
                </c:pt>
                <c:pt idx="7">
                  <c:v>90.5</c:v>
                </c:pt>
                <c:pt idx="8">
                  <c:v>114.7</c:v>
                </c:pt>
                <c:pt idx="9">
                  <c:v>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-9.7</c:v>
                </c:pt>
                <c:pt idx="1">
                  <c:v>23.4</c:v>
                </c:pt>
                <c:pt idx="2">
                  <c:v>-24.2</c:v>
                </c:pt>
                <c:pt idx="3">
                  <c:v>38.6</c:v>
                </c:pt>
                <c:pt idx="4">
                  <c:v>29.1</c:v>
                </c:pt>
                <c:pt idx="5">
                  <c:v>-4</c:v>
                </c:pt>
                <c:pt idx="6">
                  <c:v>-20.1</c:v>
                </c:pt>
                <c:pt idx="7">
                  <c:v>-9.8</c:v>
                </c:pt>
                <c:pt idx="8">
                  <c:v>17.4</c:v>
                </c:pt>
                <c:pt idx="9">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8.8</c:v>
                </c:pt>
                <c:pt idx="1">
                  <c:v>38.7</c:v>
                </c:pt>
                <c:pt idx="2">
                  <c:v>16.1</c:v>
                </c:pt>
                <c:pt idx="3">
                  <c:v>6.6</c:v>
                </c:pt>
                <c:pt idx="4">
                  <c:v>8.2</c:v>
                </c:pt>
                <c:pt idx="5">
                  <c:v>9.6</c:v>
                </c:pt>
                <c:pt idx="6">
                  <c:v>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8.8</c:v>
                </c:pt>
                <c:pt idx="1">
                  <c:v>8.8</c:v>
                </c:pt>
                <c:pt idx="2">
                  <c:v>8.8</c:v>
                </c:pt>
                <c:pt idx="3">
                  <c:v>8.8</c:v>
                </c:pt>
                <c:pt idx="4">
                  <c:v>8.8</c:v>
                </c:pt>
                <c:pt idx="5">
                  <c:v>8.8</c:v>
                </c:pt>
                <c:pt idx="6">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6654</c:v>
                </c:pt>
                <c:pt idx="1">
                  <c:v>5680</c:v>
                </c:pt>
                <c:pt idx="2">
                  <c:v>5322</c:v>
                </c:pt>
                <c:pt idx="3">
                  <c:v>5406</c:v>
                </c:pt>
                <c:pt idx="4">
                  <c:v>5463</c:v>
                </c:pt>
                <c:pt idx="5">
                  <c:v>5505</c:v>
                </c:pt>
                <c:pt idx="6">
                  <c:v>5532</c:v>
                </c:pt>
                <c:pt idx="7">
                  <c:v>5572</c:v>
                </c:pt>
                <c:pt idx="8">
                  <c:v>5597</c:v>
                </c:pt>
                <c:pt idx="9">
                  <c:v>5652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35753</c:v>
                </c:pt>
                <c:pt idx="1">
                  <c:v>35255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27,90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24.63</c:v>
                </c:pt>
                <c:pt idx="1">
                  <c:v>39.71</c:v>
                </c:pt>
                <c:pt idx="2">
                  <c:v>48.92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27,90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(24,66 – 38,50)</c:v>
                </c:pt>
                <c:pt idx="1">
                  <c:v>Comparables: PER NTM (23,21 – 28,63)</c:v>
                </c:pt>
                <c:pt idx="2">
                  <c:v>DCF (WACC y g ± 0,5) (36,91 – 43,32)</c:v>
                </c:pt>
                <c:pt idx="3">
                  <c:v>Escenarios (bajista – alcista) (24,63 – 48,92)</c:v>
                </c:pt>
                <c:pt idx="4">
                  <c:v>DCF con la prima implícita del mercado (4,2 %)</c:v>
                </c:pt>
                <c:pt idx="5">
                  <c:v>Precio actual (27,90)</c:v>
                </c:pt>
              </c:strCache>
            </c:strRef>
          </c:cat>
          <c:val>
            <c:numRef>
              <c:f>Hoja1!$B$2:$B$7</c:f>
              <c:numCache>
                <c:formatCode>#,##0.0</c:formatCode>
                <c:ptCount val="6"/>
                <c:pt idx="0">
                  <c:v>24.66</c:v>
                </c:pt>
                <c:pt idx="1">
                  <c:v>23.21</c:v>
                </c:pt>
                <c:pt idx="2">
                  <c:v>36.91</c:v>
                </c:pt>
                <c:pt idx="3">
                  <c:v>24.63</c:v>
                </c:pt>
                <c:pt idx="4">
                  <c:v>42.68</c:v>
                </c:pt>
                <c:pt idx="5">
                  <c:v>27.76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(24,66 – 38,50)</c:v>
                </c:pt>
                <c:pt idx="1">
                  <c:v>Comparables: PER NTM (23,21 – 28,63)</c:v>
                </c:pt>
                <c:pt idx="2">
                  <c:v>DCF (WACC y g ± 0,5) (36,91 – 43,32)</c:v>
                </c:pt>
                <c:pt idx="3">
                  <c:v>Escenarios (bajista – alcista) (24,63 – 48,92)</c:v>
                </c:pt>
                <c:pt idx="4">
                  <c:v>DCF con la prima implícita del mercado (4,2 %)</c:v>
                </c:pt>
                <c:pt idx="5">
                  <c:v>Precio actual (27,90)</c:v>
                </c:pt>
              </c:strCache>
            </c:strRef>
          </c:cat>
          <c:val>
            <c:numRef>
              <c:f>Hoja1!$C$2:$C$7</c:f>
              <c:numCache>
                <c:formatCode>#,##0.0</c:formatCode>
                <c:ptCount val="6"/>
                <c:pt idx="0">
                  <c:v>13.84</c:v>
                </c:pt>
                <c:pt idx="1">
                  <c:v>5.419999999999998</c:v>
                </c:pt>
                <c:pt idx="2">
                  <c:v>6.410000000000004</c:v>
                </c:pt>
                <c:pt idx="3">
                  <c:v>24.290000000000003</c:v>
                </c:pt>
                <c:pt idx="4">
                  <c:v>5.700000000000003</c:v>
                </c:pt>
                <c:pt idx="5">
                  <c:v>0.2799999999999976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