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London Stock Exchange Group plc</w:t>
      </w:r>
    </w:p>
    <w:p>
      <w:pPr>
        <w:spacing w:after="60"/>
        <w:rPr>
          <w:color w:val="52514E"/>
          <w:sz w:val="22"/>
          <w:szCs w:val="22"/>
        </w:rPr>
      </w:pPr>
      <w:r>
        <w:rPr>
          <w:color w:val="52514E"/>
          <w:sz w:val="22"/>
          <w:szCs w:val="22"/>
        </w:rPr>
        <w:t xml:space="preserve">LSEG · London Stock Exchange (Main Market) · ISIN GB00B0SWJX34 · Finanzas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95,10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117,16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+24,9 % (base +22,0 %)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95,84 GBP · mercado 116,71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45.876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LSEG / GB00B0SWJX34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Finanzas / Bolsas y datos financieros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1801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https://www.lseg.com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95,10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66,84 – 101,40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45.876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70.040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122 M GBP/día (3 meses; 1,42 M de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117,16 GBP</w:t>
      </w:r>
      <w:r>
        <w:t xml:space="preserve"> frente a 95,10 · Rentabilidad a 12 meses </w:t>
      </w:r>
      <w:r>
        <w:rPr>
          <w:b/>
          <w:bCs/>
        </w:rPr>
        <w:t xml:space="preserve">+24,9 % (base +22,0 %)</w:t>
      </w:r>
      <w:r>
        <w:t xml:space="preserve"> · Valor intrínseco 95,84 GBP · con la prima implícita del mercado: 116,71 (+22,7 %) · Alcista / bajista +11,3 % / -48,1 %</w:t>
      </w:r>
    </w:p>
    <w:p>
      <w:pPr>
        <w:spacing w:after="100"/>
      </w:pPr>
      <w:r>
        <w:rPr>
          <w:b/>
        </w:rPr>
        <w:t xml:space="preserve">La recomendación y por qué.</w:t>
      </w:r>
      <w:r>
        <w:t xml:space="preserve"> Comprar con convicción baja, por la mínima. El objetivo a 12 meses es de 117,16 GBP frente a un precio de 95,10 (cierre del 23-oct): rentabilidad ponderada del 24,9 % y del 22,0 % en el caso base, con dividendo (con la historia del PER al cierre, regla v2: 14,1 %, Mantener). El objetivo medio de los analistas (118,15) coincide casi con el nuestro. Pero el valor intrínseco (95,84) queda solo un 0,8 % por encima del precio: el filtro de valor real se cumple por 74 peniques. Compramos porque crece al ritmo más alto desde 2018 y cotiza a 17,8 veces el BPA ajustado del año próximo frente a 22 de mediana; la cautela, porque tras subir un 13 % el DCF ya no deja margen. La convicción es baja porque las reglas discrepan (con nuestro WACC del 8,63 % la absoluta da Mantener; con la prima del mercado, Comprar) y porque cualquier recorte del valor intrínseco o un precio por encima de 95,84 la pasa a Mantener; subiría con suscripciones por encima del 7 % en 2027 y una cifra de ingresos de IA.</w:t>
      </w:r>
    </w:p>
    <w:p>
      <w:pPr>
        <w:spacing w:after="100"/>
      </w:pPr>
      <w:r>
        <w:rPr>
          <w:b/>
        </w:rPr>
        <w:t xml:space="preserve">Qué ha cambiado desde el 14-oct.</w:t>
      </w:r>
      <w:r>
        <w:t xml:space="preserve"> El 3T26 batió al consenso (2.407 M y +8,8 % orgánico frente a 2.386 M y +7,8 %) y la guía de 2026 subió por tercera vez: al menos un 8,0 % orgánico, margen +100-120 pb y 2.800 M de flujo libre [7, 11]. Subimos el crecimiento de 2026e al 7,4 % y el de 2027e al 7,0 %: el BPA ajustado de 2028e pasa de 5,77 a 5,84. El precio subió de 83,98 a 95,10, más que el valor: la rentabilidad ponderada baja del 25,8 % al 24,9 % y el colchón sobre el valor intrínseco, del 11,6 % al 0,8 %. Además compra Octus por 3.535 M USD con deuda, a ≈ 29 veces el EBITDA, neutral para el BPA en 2028 [9].</w:t>
      </w:r>
    </w:p>
    <w:p>
      <w:pPr>
        <w:spacing w:after="100"/>
      </w:pPr>
      <w:r>
        <w:rPr>
          <w:b/>
        </w:rPr>
        <w:t xml:space="preserve">El negocio.</w:t>
      </w:r>
      <w:r>
        <w:t xml:space="preserve"> 75 % de ingresos recurrentes, retención del 92,8 % y suscripciones que aceleran al 6,6 % [2, 7]. El ROIC con el fondo de comercio de Refinitiv es del 5,7 %, por debajo del WACC (8,63 %): el negocio es bueno, la compra fue cara. La sostenibilidad es </w:t>
      </w:r>
      <w:r>
        <w:rPr>
          <w:b/>
        </w:rPr>
        <w:t xml:space="preserve">Sí</w:t>
      </w:r>
      <w:r>
        <w:t xml:space="preserve">: el 5,6 % de crecimiento medio proyectado queda por debajo del orgánico histórico (6,6-8,8 %) y no necesita capital nuevo.</w:t>
      </w:r>
    </w:p>
    <w:p>
      <w:pPr>
        <w:spacing w:after="100"/>
      </w:pPr>
      <w:r>
        <w:rPr>
          <w:b/>
        </w:rPr>
        <w:t xml:space="preserve">Finanzas.</w:t>
      </w:r>
      <w:r>
        <w:t xml:space="preserve"> Flujo libre de al menos 2.800 M en 2026 y 2.600 M de recompras hasta septiembre [7]. Deuda neta ajustada de 11.664 M más 12.500 M de minoritarios a valor de mercado (sobre todo Tradeweb); con Octus y Trumid la deuda tocará 2,5 veces el EBITDA en 2027 [9].</w:t>
      </w:r>
    </w:p>
    <w:p>
      <w:pPr>
        <w:spacing w:after="100"/>
      </w:pPr>
      <w:r>
        <w:rPr>
          <w:b/>
        </w:rPr>
        <w:t xml:space="preserve">Valoración.</w:t>
      </w:r>
      <w:r>
        <w:t xml:space="preserve"> El DCF da 91,22 (−4,1 %) y el precio descuenta ya un crecimiento del 5,9 % anual en 2027-2032, algo más que nuestro 5,3 %, o un margen del 54,2 % frente al 53,0 %: el 14-oct descontaba menos que nuestro base. Con la prima implícita del mercado el DCF sube a 116,72. Frente a los comparables sigue un 24-31 % más barata.</w:t>
      </w:r>
    </w:p>
    <w:p>
      <w:pPr>
        <w:spacing w:after="100"/>
      </w:pPr>
      <w:r>
        <w:rPr>
          <w:b/>
        </w:rPr>
        <w:t xml:space="preserve">Riesgos y catalizadores.</w:t>
      </w:r>
      <w:r>
        <w:t xml:space="preserve"> El riesgo principal es la IA en Workflows (21 % de los ingresos; +2,8 % en el 3T26): es el bajista del DCF, −48,1 %. El segundo, que Markets (+12,1 % en 2026) se normalice; el tercero, pagar caro Octus. A 12 meses el bajista es de 80,54 (−13,6 %). Catalizadores: resultados de 2026 y nueva recompra en febrero de 2027. Precio y noticias: no cambia (subida con causa publicada, sin colocaciones ni ventas de directivos).</w:t>
      </w:r>
    </w:p>
    <w:p>
      <w:pPr>
        <w:spacing w:after="100"/>
      </w:pPr>
      <w:r>
        <w:rPr>
          <w:b/>
        </w:rPr>
        <w:t xml:space="preserve">Qué cambiaría la decisión.</w:t>
      </w:r>
      <w:r>
        <w:t xml:space="preserve"> Comprar por debajo de 95,84; vender por encima de 131,94; entre ambos, Mantener. Pasaríamos a Mantener si las suscripciones crecen menos del 6 % o Workflows menos del 1 % en dos trimestres; a Vender, si el crecimiento orgánico del grupo baja del 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117,16 GBP</w:t>
      </w:r>
      <w:r>
        <w:t xml:space="preserve"> (rentabilidad +24,9 % (base +22,0 %)) · Valor intrínseco: 95,84 GBP (+0,8 % sobre 95,10) · con la prima implícita del mercado: 116,71 (+22,7 %)</w:t>
      </w:r>
    </w:p>
    <w:p>
      <w:pPr>
        <w:spacing w:after="100"/>
      </w:pPr>
      <w:r>
        <w:t xml:space="preserve">LSEG es una infraestructura de datos y mercados con un 75 % de ingresos recurrentes, una retención del 92,8 %, un margen EBITDA ajustado del 50,3 % y flujo libre por encima del beneficio ajustado (2.445 M en 2025; al menos 2.800 M en 2026) [1, 7]. Tiene activos de referencia difíciles de copiar: SwapClear, FTSE Russell (2,26 billones USD en ETF) y Tradeweb [7]. En 2026 crece al ritmo más alto desde 2018 (≥ 8 % orgánico).</w:t>
      </w:r>
    </w:p>
    <w:p>
      <w:pPr>
        <w:spacing w:after="100"/>
      </w:pPr>
      <w:r>
        <w:t xml:space="preserve">El precio (95,10) es 17,8 veces nuestro BPA ajustado de 2027e, frente a una mediana de 22 veces en 2021-2025 y 25,8 en los comparables; el DCF inverso descuenta un 5,9 % de crecimiento anual en 2027-2032, algo más que nuestro caso base (5,3 %) y menos que el 8 % que la empresa logra hoy [11, 34].</w:t>
      </w:r>
    </w:p>
    <w:p>
      <w:pPr>
        <w:spacing w:after="100"/>
      </w:pPr>
      <w:r>
        <w:t xml:space="preserve">El mercado acierta en que los terminales (21 % de los ingresos) están expuestos a la IA, pero exagera al aplicarlo a todo el grupo: datos y feeds crecen un 7,5 %, FTSE Russell un 10,2 % y Markets un 12,5 % en el 3T26 [7]. Para invertir a 12 meses hay que creer que el PER vuelve hacia su historia; a largo plazo, el precio ya no deja margen frente a nuestro DCF.</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117,16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 × 5,13 = 80,54 · 19,6x × 5,84 = 114,46 · 25,8x × 6,17 = 159,19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 / 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118,15 (nuestro base -3,1 %)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95,84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 -48,1 %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8,6 %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95,84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95,84 y 131,94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131,94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95,84 GBP (el valor intrínseco), Mantener; por encima de 131,94, Vender o reducir (hoy 95,10).</w:t>
      </w:r>
    </w:p>
    <w:p>
      <w:pPr>
        <w:pStyle w:val="ListParagraph"/>
        <w:numPr>
          <w:ilvl w:val="0"/>
          <w:numId w:val="2"/>
        </w:numPr>
        <w:spacing w:after="60"/>
      </w:pPr>
      <w:r>
        <w:t xml:space="preserve">Si el crecimiento orgánico de las suscripciones baja del 6 % o Workflows del 1 % en dos trimestres seguidos, pasaríamos a Mantener.</w:t>
      </w:r>
    </w:p>
    <w:p>
      <w:pPr>
        <w:pStyle w:val="ListParagraph"/>
        <w:numPr>
          <w:ilvl w:val="0"/>
          <w:numId w:val="2"/>
        </w:numPr>
        <w:spacing w:after="60"/>
      </w:pPr>
      <w:r>
        <w:t xml:space="preserve">Si el crecimiento orgánico del grupo baja del 5 % o la retención del 92 %, pasaríamos a Vender.</w:t>
      </w:r>
    </w:p>
    <w:p>
      <w:pPr>
        <w:pStyle w:val="ListParagraph"/>
        <w:numPr>
          <w:ilvl w:val="0"/>
          <w:numId w:val="2"/>
        </w:numPr>
        <w:spacing w:after="60"/>
      </w:pPr>
      <w:r>
        <w:t xml:space="preserve">Si la empresa cuantifica ingresos de IA por encima del 2 % del total con margen similar, o la guía de 2027 supera el 7 % en suscripciones,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Tras la subida de octubre, un crecimiento del 5,9 % anual en 2027-2032 con un PER de 17,8 veces, todavía 4 puntos por debajo de su historia por el riesgo de la IA.</w:t>
      </w:r>
    </w:p>
    <w:p>
      <w:pPr>
        <w:keepNext/>
        <w:spacing w:after="100"/>
      </w:pPr>
      <w:r>
        <w:rPr>
          <w:b/>
          <w:bCs/>
        </w:rPr>
        <w:t xml:space="preserve">Lo que creemos nosotros.</w:t>
      </w:r>
    </w:p>
    <w:p>
      <w:pPr>
        <w:spacing w:after="100"/>
      </w:pPr>
      <w:r>
        <w:t xml:space="preserve">Que el riesgo está concentrado en Workflows (21 % de los ingresos) y que el resto gana con más automatización y más volumen; el grupo crece al 6-7 % y el múltiplo recupera parte de su historia en un año, pero el valor intrínseco con nuestra tasa (95,84) ya está en el precio.</w:t>
      </w:r>
    </w:p>
    <w:p>
      <w:pPr>
        <w:keepNext/>
        <w:spacing w:after="100"/>
      </w:pPr>
      <w:r>
        <w:rPr>
          <w:b/>
          <w:bCs/>
        </w:rPr>
        <w:t xml:space="preserve">Por qué podemos tener razón.</w:t>
      </w:r>
    </w:p>
    <w:p>
      <w:pPr>
        <w:spacing w:after="100"/>
      </w:pPr>
      <w:r>
        <w:t xml:space="preserve">Los datos de 2026 lo apoyan: tres subidas de guía, suscripciones que aceleran al 6,6 % y clientes que compran más datos al adoptar IA (80 % de los acuerdos) [7]. Pero no hay cifra de ingresos de IA, Markets puede normalizarse y Octus se paga caro, y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95,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que acelera</w:t>
      </w:r>
      <w:r>
        <w:t xml:space="preserve">: +8,8 % orgánico en el 3T26 y guía de 2026 de al menos el 8,0 %, la más alta desde 2018 [7].</w:t>
      </w:r>
    </w:p>
    <w:p>
      <w:pPr>
        <w:pStyle w:val="ListParagraph"/>
        <w:numPr>
          <w:ilvl w:val="0"/>
          <w:numId w:val="2"/>
        </w:numPr>
        <w:spacing w:after="60"/>
      </w:pPr>
      <w:r>
        <w:rPr>
          <w:b/>
        </w:rPr>
        <w:t xml:space="preserve">Barata frente a su historia</w:t>
      </w:r>
      <w:r>
        <w:t xml:space="preserve">: 17,8 veces el BPA ajustado del año próximo frente a 22 de mediana.</w:t>
      </w:r>
    </w:p>
    <w:p>
      <w:pPr>
        <w:pStyle w:val="ListParagraph"/>
        <w:numPr>
          <w:ilvl w:val="0"/>
          <w:numId w:val="2"/>
        </w:numPr>
        <w:spacing w:after="60"/>
      </w:pPr>
      <w:r>
        <w:rPr>
          <w:b/>
        </w:rPr>
        <w:t xml:space="preserve">Caja y recompras</w:t>
      </w:r>
      <w:r>
        <w:t xml:space="preserve">: flujo libre de al menos 2.800 M en 2026; 10 % de la capitalización devuelto entre enero de 2026 y febrero de 2027 [7].</w:t>
      </w:r>
    </w:p>
    <w:p>
      <w:pPr>
        <w:pStyle w:val="ListParagraph"/>
        <w:numPr>
          <w:ilvl w:val="0"/>
          <w:numId w:val="2"/>
        </w:numPr>
        <w:spacing w:after="60"/>
      </w:pPr>
      <w:r>
        <w:rPr>
          <w:b/>
        </w:rPr>
        <w:t xml:space="preserve">Activos de referencia</w:t>
      </w:r>
      <w:r>
        <w:t xml:space="preserve">: SwapClear, FTSE Russell y Tradeweb, con márgenes EBITDA del 56-67 % [1, 7].</w:t>
      </w:r>
    </w:p>
    <w:p>
      <w:pPr>
        <w:pStyle w:val="ListParagraph"/>
        <w:numPr>
          <w:ilvl w:val="0"/>
          <w:numId w:val="2"/>
        </w:numPr>
        <w:spacing w:after="60"/>
      </w:pPr>
      <w:r>
        <w:rPr>
          <w:b/>
        </w:rPr>
        <w:t xml:space="preserve">Adopción de la IA medible</w:t>
      </w:r>
      <w:r>
        <w:t xml:space="preserve">: 47.000 usuarios de AI Search y dos tercios de los 50 mayores clientes por MCP [7].</w:t>
      </w:r>
    </w:p>
    <w:p>
      <w:pPr>
        <w:pStyle w:val="Heading2"/>
      </w:pPr>
      <w:r>
        <w:t xml:space="preserve">En contra</w:t>
      </w:r>
    </w:p>
    <w:p>
      <w:pPr>
        <w:pStyle w:val="ListParagraph"/>
        <w:numPr>
          <w:ilvl w:val="0"/>
          <w:numId w:val="2"/>
        </w:numPr>
        <w:spacing w:after="60"/>
      </w:pPr>
      <w:r>
        <w:rPr>
          <w:b/>
        </w:rPr>
        <w:t xml:space="preserve">Valor intrínseco en el precio</w:t>
      </w:r>
      <w:r>
        <w:t xml:space="preserve">: 95,84 frente a 95,10; el DCF con nuestra tasa (91,22) queda por debajo.</w:t>
      </w:r>
    </w:p>
    <w:p>
      <w:pPr>
        <w:pStyle w:val="ListParagraph"/>
        <w:numPr>
          <w:ilvl w:val="0"/>
          <w:numId w:val="2"/>
        </w:numPr>
        <w:spacing w:after="60"/>
      </w:pPr>
      <w:r>
        <w:rPr>
          <w:b/>
        </w:rPr>
        <w:t xml:space="preserve">ROIC bajo</w:t>
      </w:r>
      <w:r>
        <w:t xml:space="preserve"> por Refinitiv: 5,7 % frente a un WACC del 8,63 %.</w:t>
      </w:r>
    </w:p>
    <w:p>
      <w:pPr>
        <w:pStyle w:val="ListParagraph"/>
        <w:numPr>
          <w:ilvl w:val="0"/>
          <w:numId w:val="2"/>
        </w:numPr>
        <w:spacing w:after="60"/>
      </w:pPr>
      <w:r>
        <w:rPr>
          <w:b/>
        </w:rPr>
        <w:t xml:space="preserve">Octus cara</w:t>
      </w:r>
      <w:r>
        <w:t xml:space="preserve">: ≈ 29 veces el EBITDA, con deuda que lleva el apalancamiento a 2,5 veces en 2027 [9].</w:t>
      </w:r>
    </w:p>
    <w:p>
      <w:pPr>
        <w:pStyle w:val="ListParagraph"/>
        <w:numPr>
          <w:ilvl w:val="0"/>
          <w:numId w:val="2"/>
        </w:numPr>
        <w:spacing w:after="60"/>
      </w:pPr>
      <w:r>
        <w:rPr>
          <w:b/>
        </w:rPr>
        <w:t xml:space="preserve">Asimetría del DCF mala</w:t>
      </w:r>
      <w:r>
        <w:t xml:space="preserve">: bajista −48,1 % frente a alcista +11,3 %.</w:t>
      </w:r>
    </w:p>
    <w:p>
      <w:pPr>
        <w:pStyle w:val="ListParagraph"/>
        <w:numPr>
          <w:ilvl w:val="0"/>
          <w:numId w:val="2"/>
        </w:numPr>
        <w:spacing w:after="60"/>
      </w:pPr>
      <w:r>
        <w:rPr>
          <w:b/>
        </w:rPr>
        <w:t xml:space="preserve">Markets en máximos</w:t>
      </w:r>
      <w:r>
        <w:t xml:space="preserve">: +12,1 % en 2026, parte por volatilidad [7].</w:t>
      </w:r>
    </w:p>
    <w:p>
      <w:pPr>
        <w:pStyle w:val="Heading2"/>
      </w:pPr>
      <w:r>
        <w:t xml:space="preserve">Qué tiene que pasar para que la tesis funcione</w:t>
      </w:r>
    </w:p>
    <w:p>
      <w:pPr>
        <w:spacing w:after="100"/>
      </w:pPr>
      <w:r>
        <w:t xml:space="preserve">La tesis depende de que la IA no erosione los terminales más rápido de lo que crecen los datos con licencia, y de que Markets no se normalice de golpe. La señal de alarma sería Workflows sin crecer, suscripciones por debajo del 6 % o un orgánico del grupo por debajo del 6 % en 2027; la de confirmación, ingresos de IA cuantificados y suscripciones por encima del 7 %.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suscripciones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es ≈ 7 %.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Workflows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más expuesto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retención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las bajas de clientes en el negocio de suscripción.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 (2025); guía 2026 +100-120 pb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51 %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y efecto de SwapClear.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operativa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2,0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 las recompras tras Octus.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 / 13,2x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34,0x / 17,7x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La Bolsa de Londres nace en 1801 y la sociedad cotiza desde 2001. Compró Borsa Italiana en 2007 y, bajo Xavier Rolet (2009-2017), LCH (2013) y Frank Russell (2014), y unió los índices en FTSE Russell. En 2019, ya con David Schwimmer, acordó comprar Refinitiv a Blackstone y Thomson Reuters por unos 27.000 M USD en acciones; cerró en enero de 2021 tras vender Borsa Italiana a Euronext. La compra convirtió a LSEG en el segundo proveedor mundial de datos financieros, con más de la mitad de los ingresos en datos y suscripciones. Desde 2022 Microsoft es accionista (4,2 %) y socio en la nube y en Workspace. En 2025-2026 la acción cayó por el miedo a que la IA generativa sustituya los terminales, y un fondo activista entró en el capital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Borsa Italiana.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LCH, la cámara de swaps de tipos (SwapClear).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Frank Russell: nace FTSE Russell.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Refinitiv (enero) y vende Borsa Italiana a Euronext (abril).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a 10 años con Microsoft, que compra el 4,2 % del capital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de Eikon y paso de los clientes a Workspace; compra del 11,6 % de LCH Group.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de datos para IA con Anthropic, OpenAI, Databricks y Snowflake; nuevo reparto de SwapClear y venta del 20 % de Post Trade Solutions a 11 bancos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12,8 % en un día (3-feb) por el miedo a la IA; entrada de Elliott; récord del 1S26, plan de negociación 24 horas (LSE 24) y, en octubre, compra de Octus (3.535 M USD) y de Trumid por Tradeweb (≈ 1.750 M USD) con la guía de crecimiento subida al 8 % [2, 9, 17].</w:t>
            </w:r>
          </w:p>
        </w:tc>
      </w:tr>
    </w:tbl>
    <w:p>
      <w:pPr>
        <w:spacing w:after="160" w:before="0"/>
      </w:pPr>
    </w:p>
    <w:p>
      <w:pPr>
        <w:pStyle w:val="Heading1"/>
      </w:pPr>
      <w:r>
        <w:t xml:space="preserve">2. Modelo de negocio</w:t>
      </w:r>
    </w:p>
    <w:p>
      <w:pPr>
        <w:spacing w:after="100"/>
      </w:pPr>
      <w:r>
        <w:t xml:space="preserve">LSEG vende datos y servicios de infraestructura a bancos, gestoras, aseguradoras y empresas en todo el mundo. Data &amp; Analytics (44 % de los ingresos sin recuperaciones de 2025) vende terminales Workspace, datos en tiempo real y feeds, y analítica; FTSE Russell (11 %) licencia índices; Risk Intelligence (6 %) vende datos de identificación y riesgo (World-Check); y Markets (39 %) agrupa la Bolsa de Londres, Tradeweb (renta fija electrónica, consolidada pero con socios minoritarios), FXall, la cámara LCH (swaps de tipos, divisas, crédito, repos) y Post Trade Solutions [1]. Más de la mitad de los ingresos y de los costes son en dólares [1].</w:t>
      </w:r>
    </w:p>
    <w:p>
      <w:pPr>
        <w:pStyle w:val="Heading2"/>
      </w:pPr>
      <w:r>
        <w:t xml:space="preserve">Cómo gana dinero</w:t>
      </w:r>
    </w:p>
    <w:p>
      <w:pPr>
        <w:spacing w:after="100"/>
      </w:pPr>
      <w:r>
        <w:t xml:space="preserve">Cerca de tres cuartas partes de los ingresos son recurrentes: suscripciones de datos, terminales e índices, que se cobran por adelantado y se renuevan con subidas anuales de precio; el resto son comisiones por negociación y compensación, que suben con la volatilidad, y el ingreso neto de tesorería de los saldos de LCH [1, 2]. El margen depende de la escala: los costes son personal (71 % de los gastos) y tecnología, casi fijos, así que cada punto de crecimiento por encima de la inflación de costes amplía el margen (de 47,8 % a 50,3 % en tres años) [1]. FTSE Russell y Markets tienen márgenes del 56-67 %; Data &amp; Analytics, del 41 %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&amp; Analytics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Intelligence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&amp; Analytics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Risk Intelligence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Clientes, recurrencia y poder de precios</w:t>
      </w:r>
    </w:p>
    <w:p>
      <w:pPr>
        <w:spacing w:after="100"/>
      </w:pPr>
      <w:r>
        <w:t xml:space="preserve">Ningún cliente pesa de forma significativa en los ingresos (no se publica concentración) [1]. La retención de ingresos es del 92,8 % y el ASV crece un 6,1 % [2]: las bajas son pocas y el crecimiento sale sobre todo de subidas de precio y de vender más datos al mismo cliente. Contratos de suscripción anuales o plurianuales con subida anual; en 2026 la empresa añade un cargo por usar sus datos con modelos de IA y por el acceso MCP [2]. El poder de precio se ve en que el crecimiento orgánico de Data &amp; Analytics (5,0 %) supera al número de usuarios de terminales, que no crece (estimación propia: Workflows solo +3,1 %)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negocios de suscripción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 (3T26); ≈ 6,5 % previsto en 2026 y ≈ 7 % en 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Data &amp; Analytics, FTSE Russell y Risk Intelligence [7,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Workflows (terminales)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más expuesto a la IA; 479 M en el 3T26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retención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publica en la actualización trimestral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 (2025); 52,7 % (1S26); guía 2026 +100-120 pb</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pb de la guía de 2026 por SwapClear [1, 2,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Tradeweb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billones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billones USD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de tipos +46 %, crédito al contado +18,9 %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en ETF ligados a FTSE Russell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1.732.000 M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2.261.000 M USD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activos +14,7 %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Usuarios de Workspace AI Search</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17.000 (jul-26)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47.000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50.000 en octubre según la dirección [7,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datos, análisis e infraestructura de los mercados financieros</w:t>
      </w:r>
      <w:r>
        <w:t xml:space="preserve">, mundial (perímetro de la ficha sectorial del 14-oct-2026 [13]). Para el tamaño se usa el gasto mundial en datos y análisis de mercados financieros de Burton-Taylor, que cubre Data &amp; Analytics y parte de FTSE Russell y Risk Intelligence, pero no las comisiones de negociación y compensación de Markets; los índices (≈ 7.200 M USD) y las bolsas se citan aparte. Como contraste, IBISWorld da 23.400 M USD para los proveedores de datos de EE. UU.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37.400 M GBP (49.200 M USD) de gasto mundial en datos y análisis de mercados financieros en 2025, +6,5 % (Burton-Taylor) [13, 14]; más ≈ 5.500 M GBP (7.200 M USD) de índices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GBP (gasto mundial en datos y análisis de mercados financieros, Burton-Taylor, convertido a 1,3154 USD/GBP))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las entidades en datos (automatización, IA, volatilidad)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en 2025 y TCAC del 7,4 % en 2019-2025 [13, 14, 15, 16]; el tráfico de la red en tiempo real de LSEG creció un 29 %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Amenaza para terminales y analítica genérica (caída del 12,8 % de la acción el 3-feb-2026) [17]; oportunidad como proveedor de datos «listos para IA» con cargo por uso (MCP, 200 clientes)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pasiva y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ETF ligados a FTSE Russell llegaron a 2 billones USD; ingresos mundiales de índices +13,4 % en 2025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volúmenes de negociación y compensación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 +11,9 % en el 1S26; volumen de Tradeweb +24,8 %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 (ingreso neto de tesorería)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143 M en el 1S26, +12,6 % por más saldos de garantías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Bloomberg y LSEG reúnen la mitad del gasto en datos de mercado (Burton-Taylor) y en cada índice o contrato de referencia hay un líder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bancos negocian precios de datos y han promovido alternativas; los reguladores (FCA, ESMA) revisan el precio de los datos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nube (Microsoft) son los insumos; los datos de bolsas de terceros se repercuten (recuperaciones)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cámara y de administrador de índices, historia de datos y efecto red; la IA baja la barrera en analítica, no en datos propios ni en compensación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Modelos de IA y agentes pueden sustituir parte del uso de terminales y de la analítica genérica; los clientes construyen sus propias capas sobre datos en bruto [13, 17].</w:t>
            </w:r>
          </w:p>
        </w:tc>
      </w:tr>
    </w:tbl>
    <w:p>
      <w:pPr>
        <w:spacing w:after="160" w:before="0"/>
      </w:pPr>
    </w:p>
    <w:p>
      <w:pPr>
        <w:pStyle w:val="Heading2"/>
      </w:pPr>
      <w:r>
        <w:t xml:space="preserve">Ciclo</w:t>
      </w:r>
    </w:p>
    <w:p>
      <w:pPr>
        <w:spacing w:after="100"/>
      </w:pPr>
      <w:r>
        <w:t xml:space="preserve">Volúmenes de negociación y compensación en máximos (1S26: Markets +11,9 %, Tradeweb +24,8 %) y activos indexados en máximos [2]. Las suscripciones apenas notan el ciclo: en 2022, con caída de bolsas y bonos, LSEG creció un 5,7 %; en 2020 los volúmenes subieron. 2008-09 no es comparable (LSEG era solo bolsa). El riesgo cíclico está en Markets (volúmenes e intereses), un 39 % de los ingresos [1].</w:t>
      </w:r>
    </w:p>
    <w:p>
      <w:pPr>
        <w:pStyle w:val="Heading2"/>
      </w:pPr>
      <w:r>
        <w:t xml:space="preserve">Regulación</w:t>
      </w:r>
    </w:p>
    <w:p>
      <w:pPr>
        <w:spacing w:after="100"/>
      </w:pPr>
      <w:r>
        <w:t xml:space="preserve">LCH está supervisada por el Banco de Inglaterra y, para el euro, depende de la equivalencia de la UE, prorrogada hasta junio de 2028; EMIR 3 obliga a los bancos europeos a mantener una cuenta activa en cámaras de la UE desde junio de 2025 [13]. FTSE Russell es administrador de índices autorizado (FCA, Reglamento de Índices de Referencia revisado en la UE en 2026). La FCA revisó en 2024 el mercado de datos mayoristas y vigila el precio de los datos; la cinta consolidada de bonos del Reino Unido llega en 2026. La compensación obligatoria de bonos del Tesoro de EE. UU. (diciembre de 2026 y junio de 2027) favorece a LCH [13].</w:t>
      </w:r>
    </w:p>
    <w:p>
      <w:pPr>
        <w:pStyle w:val="Heading2"/>
      </w:pPr>
      <w:r>
        <w:t xml:space="preserve">Tendencias y disrupción</w:t>
      </w:r>
    </w:p>
    <w:p>
      <w:pPr>
        <w:spacing w:after="100"/>
      </w:pPr>
      <w:r>
        <w:t xml:space="preserve">La IA es la tendencia que decide: LSEG apuesta por vender datos con licencia para modelos (MCP, Anthropic, OpenAI, Microsoft Copilot, Google Gemini) en vez de defender el terminal, y empieza a cobrar por ese uso [1, 2]. Gana si los clientes necesitan datos fiables y auditables para sus agentes; pierde en Workflows (terminales), que solo crece un 3,1 % [1]. Otras: negociación 24 horas (LSE 24), mercados privados (Private Securities Market) y activos digitales [2]. La convergencia del crédito público y privado es la apuesta de octubre de 2026: Octus aporta datos de crédito privado e ilíquido, un segmento de 7.000-9.000 M USD que crece a dos cifras, y Trumid amplía Tradeweb en la negociación electrónica de crédito [9].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del mundo en datos financieros**, detrás de Bloomberg: Data &amp; Analytics ingresó 3.978 M GBP en 2025, ≈ 10,6 % de un gasto mundial de ≈ 37.400 M GBP (estimación propia; Burton-Taylor da a Bloomberg y LSEG la mitad de los ingresos de datos de mercado juntos) [1, 13, 14]. Con FTSE Russell y Risk Intelligence (5.511 M), ≈ 14,7 % (la cuota de esta fila, estimación propia sobre el mismo perímetro; Markets queda fuera). **3.º en índices** (FTSE Russell, ≈ 18 %) y **1.º en compensación de swaps de tipos** (SwapClear) [1,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Bloomberg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terminales; privada, sin cuentas publicadas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IQ, índices S&amp;P DJI (1.º) y calificaciones; ingresos y margen operativo de 2025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renta fija e índices de bonos, bolsas de energía y NYSE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índices (≈ 24,8 % del sector) y analítica de carteras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Terminales y datos para gestoras; el más expuesto a la IA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de tipos de EE. UU. y BrokerTec/EBS frente a LCH y FXall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Deutsche Börse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Eurex compite en la compensación de swaps en euros (EMIR 3); STOXX en índices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SwapClear compensa la mayoría de los swaps de tipos del mundo; Tradeweb y FXall concentran liquidez; los índices FTSE Russell son referencia de 2 billones USD en ETF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del 92,8 %; datos integrados en sistemas de clientes; cambiar de cámara o de índice de referencia cuesta años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cámara y de administrador de índices; historia de datos de mercado (Tick History, con peticiones por API +48 % en el 1S26)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tecnológica compartida; margen ajustado del 50,3 % frente al 36 % de FactSet [5,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menor que el de CME o MSCI (EBITDA del 48 % frente a 61-71 %) por el peso de los terminales [1].</w:t>
            </w:r>
          </w:p>
        </w:tc>
      </w:tr>
    </w:tbl>
    <w:p>
      <w:pPr>
        <w:spacing w:after="160" w:before="0"/>
      </w:pPr>
    </w:p>
    <w:p>
      <w:pPr>
        <w:pStyle w:val="Heading2"/>
      </w:pPr>
      <w:r>
        <w:t xml:space="preserve">Amenazas</w:t>
      </w:r>
    </w:p>
    <w:p>
      <w:pPr>
        <w:spacing w:after="100"/>
      </w:pPr>
      <w:r>
        <w:t xml:space="preserve">La amenaza principal es la IA generativa en Workflows (unos 1.925 M de ingresos, el 21 % del total): si los agentes de IA sustituyen el uso del terminal, LSEG perdería usuarios y poder de precio; probabilidad media en cinco años [1, 17]. Segunda, que los grandes bancos lleven la compensación de swaps en euros a Eurex por EMIR 3 (baja-media). Tercera, que la FCA o la ESMA limiten el precio de los datos (baja). Los datos propios, los índices y la cámara están menos expuestos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9,7 %</w:t>
      </w:r>
      <w:r>
        <w:t xml:space="preserve">, EBITDA </w:t>
      </w:r>
      <w:r>
        <w:rPr>
          <w:b/>
          <w:bCs/>
        </w:rPr>
        <w:t xml:space="preserve">11,1 %</w:t>
      </w:r>
      <w:r>
        <w:t xml:space="preserve">, BPA </w:t>
      </w:r>
      <w:r>
        <w:rPr>
          <w:b/>
          <w:bCs/>
        </w:rPr>
        <w:t xml:space="preserve">29,1 %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sin recuperaciones pasaron de 6.211 M GBP en 2021 (11 meses de Refinitiv) a 8.986 M en 2025: +5,8 % publicado en 2025 y +7,1 % orgánico a tipo de cambio constante [1]. El crecimiento orgánico fue del 6,6-8,4 % cada año desde 2022 [1, 3, 4]. El EBITDA ajustado subió de 2.969 M a 4.523 M y su margen, del 47,8 % al 50,3 % (+150 pb en 2025, 100 pb de ellos por el cambio del reparto del excedente de SwapClear) [1, 4]. En el 1S26 el margen ajustado llegó al 52,7 % (+320 pb, 140 pb por SwapClear, que la empresa espera que se deshagan en gran parte en el 4T26) [2]. El beneficio publicado es mucho menor que el ajustado porque la cuenta lleva unos 1.000-1.200 M al año de amortización de intangibles comprados (sobre todo Refinitiv): 1.221 M en 2025 y 1.499 M en 2024, con un deterioro de 235 M [1]. Ningún año está distorsionado por pérdidas; 2021 no es comparable (11 meses de Refinitiv). En los nueve meses de 2026 los ingresos sin recuperaciones suman 7.206 M (+7,4 % publicado y +8,6 % orgánico) y la guía de 2026 pasa a un orgánico de al menos el 8,0 % con un margen +100-120 pb [7].</w:t>
      </w:r>
    </w:p>
    <w:p>
      <w:pPr>
        <w:pStyle w:val="Heading2"/>
      </w:pPr>
      <w:r>
        <w:t xml:space="preserve">Ajustes y partidas no recurrentes</w:t>
      </w:r>
    </w:p>
    <w:p>
      <w:pPr>
        <w:spacing w:after="100"/>
      </w:pPr>
      <w:r>
        <w:t xml:space="preserve">La empresa publica cifras ajustadas que excluyen la amortización y el deterioro de intangibles comprados, los costes de integración, separación y reestructuración, y los costes de transacción [1]. Las cuentas de este informe son las publicadas; los costes de integración y reestructuración que caen dentro del EBITDA (334 M en 2021, 233 M en 2022, 263 M en 2023, 203 M en 2024 y 158 M en 2025) van en no recurrentes porque bajan con el fin de la integración de Refinitiv [1, 3, 4]. El BPA ajustado (272,4 p en 2021, 317,8 p en 2022, 323,9 p en 2023, 363,5 p en 2024 y 420,6 p en 2025) es el que usa la rentabilidad a 12 meses, porque la amortización de lo comprado no es un coste de caja recurrente; el publicado fue 85,8, 141,8, 138,9, 128,8 y 238,4 p [1, 3,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actualización del 3T26 (22-oct-2026) los ingresos sin recuperaciones fueron de 2.407 M GBP, +8,5 % publicado y +8,8 % orgánico, frente a 2.386 M y +7,8 % que esperaba el consenso compilado por la empresa (el máximo era 2.406 M) [7, 11]. Markets creció un 12,5 % (OTC +16,7 %, tesorería +21,3 %, renta fija y derivados +14,4 %) y los negocios de suscripción aceleraron al 6,6 % (6,3 % en el 1S): FTSE Russell +10,2 %, Risk Intelligence +9,8 % y Data &amp; Analytics +5,2 %, con Workflows en el 2,8 % [7]. Por tercera vez en el año la dirección subió la guía: crecimiento orgánico de al menos el 8,0 % (6,5-7,5 % en febrero, 7,0-7,5 % en julio), margen +100-120 pb (de ellos 30 pb por SwapClear) y flujo libre para el accionista de al menos 2.800 M [7, 8]. El mismo día anunció la compra de Octus (datos de crédito privado e ilíquido) por 3.535 M USD en efectivo, financiada con deuda, y Tradeweb la de Trumid por ≈ 1.750 M USD [9]. En la conferencia los analistas preguntaron sobre todo por la parte cíclica de Markets (la dirección la atribuyó también a inversión estructural: SwapClear +18 %, CDSClear +15 %) y por los ingresos de la IA: la dirección no dio cifra, habló de derechos de uso, precio por consumo y acceso MCP, y de que la conversión en ingresos llevará tiempo [8]. Dio un dato nuevo para 2027: crecimiento orgánico de las suscripciones en torno al 7 % (≈ 6,5 % en 2026) [9]. Frente a julio, el discurso pasa de defender la IA a enseñar su uso (47.000 usuarios de AI Search, más de 50.000 en octubre; dos tercios de los 50 mayores clientes conectados por MCP) [7,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Refinitiv consolidada desde el 29-ene-2021 (11 meses); Borsa Italiana vendida a Euronext en abril de 2021 (actividad interrumpida, fuera de la cuenta).; 2025: Mayor participación en el excedente de SwapClear (intangible de 1.171 M, octubre de 2025) y venta del 20 % de Post Trade Solutions a 11 bancos.).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operativa (sin arrendamientos y con la caja regulatoria apartada) subió de 7.178 M a 8.175 M en 2025 y a 9.982 M en junio de 2026, por el pago de SwapClear (921 M) y las recompras (2.072 M en 2025 y 2.100 M en el 1S26) [1, 2]. El apalancamiento es de 1,8 veces el EBITDA ajustado en diciembre, dentro de la banda de 1,5-2,5 veces que la empresa se fija [1]. Las cifras de balance de este informe quitan los saldos de los miembros compensadores; el circulante comercial es negativo (clientes 1.753 M frente a proveedores 2.300 M en 2025) porque las suscripciones se cobran por adelantado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9.883</w:t>
      </w:r>
      <w:r>
        <w:t xml:space="preserve">, conversión </w:t>
      </w:r>
      <w:r>
        <w:rPr>
          <w:b/>
          <w:bCs/>
        </w:rPr>
        <w:t xml:space="preserve">250 %</w:t>
      </w:r>
      <w:r>
        <w:t xml:space="preserve"> del beneficio neto; adquisiciones 3.385, dividendos 2.964, recompras 4.587.</w:t>
      </w:r>
    </w:p>
    <w:p>
      <w:pPr>
        <w:spacing w:after="100"/>
      </w:pPr>
      <w:r>
        <w:t xml:space="preserve">El flujo de explotación (después de intereses e impuestos) creció de 2.602 M en 2021 a 3.622 M en 2025 [1, 6]. El flujo libre para el accionista que publica la empresa (después de capex, arrendamientos y dividendos a minoritarios) fue de 2.445 M en 2025, el 111 % del beneficio ajustado atribuible, y la guía de 2026 es de al menos 2.700 M [1]. El capex (inversión en software y plataformas, 919 M en caja en 2025) baja del 11,3 % al 10,2 % de los ingresos y la guía lo lleva al 9,5 % en 2026 y al 8 % en 2029 [1]; no se separa mantenimiento de crecimiento (estimación propia: algo más de la mitad es mantenimiento, cerca de la amortización ajustada de 1.017 M). Los impuestos pagados (396 M) son la mitad del cargo ajustado (800 M) porque la amortización de intangibles comprados es deducible en parte [1]. En 2021 las desinversiones son la venta de Borsa Italiana; en 2024 y 2025 las adquisiciones incluyen la compra de minoritarios de LCH (507 M) y el pago de SwapClear (921 M)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ni párrafo de énfasis)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auditor no pudo confiar en los controles informáticos de los ingresos de Data &amp; Analytics por «deficiencias de control de TI continuadas» y amplió las pruebas sustantivas [1]: es una debilidad de control interno, no un error en las cifras, pero conviene vigilarla. La remuneración en acciones es apreciable (176 M en 2025, un 14 % del beneficio publicado) y no se resta en el EBITDA ajustado [1]. La diferencia entre beneficio publicado y ajustado es casi toda amortización de intangibles comprados (1.221 M en 2025), que no consume caja; los costes de integración bajan cada año (de 334 M en 2021 a 158 M en 2025) [1, 4]. La conversión del beneficio ajustado en flujo libre es superior al 100 % [1]. Las cifras de balance quitan los saldos de compensación, así que los indicadores del motor se calculan sobre un balance limpio de 39.000-43.000 M.</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Deficiencias de control de TI sobre los ingresos de Data &amp; Analytics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auditor no se apoyó en los controles y amplió las pruebas; opinión limpia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alta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176 M en 2025, fuera del EBITDA ajustado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ajustado muy por encima del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la amortización de lo comprado (Refinitiv, SwapClear), sin efecto en caja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31.223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8,6 %.</w:t>
      </w:r>
    </w:p>
    <w:p>
      <w:pPr>
        <w:spacing w:after="100"/>
      </w:pPr>
      <w:r>
        <w:t xml:space="preserve">LSEG no crea valor sobre todo el capital pagado por Refinitiv: el ROIC del motor (con el fondo de comercio y después de amortizar lo comprado) fue del 5,7 % en 2025, frente a un WACC del 8,63 %, y del 3-4 % en 2021-2024. Con el beneficio operativo ajustado (3.506 M, sin la amortización de intangibles comprados) el rendimiento del capital invertido sube a ≈ 8,7 % (estimación propia), en línea con el WACC [1]. El ROIC sube por rotación (0,16 a 0,23 veces) y por margen: el capital invertido baja (30.790 M) mientras el beneficio sube. Sin el fondo de comercio y los intangibles comprados el capital operativo es pequeño y el rendimiento muy alto: el negocio es bueno, el precio pagado por Refinitiv (13 veces el EBITDA, en acciones) no lo fue tanto. Octus, a ≈ 29 veces el EBITDA, repite el patrón en pequeño (≈ 2.650 M, un 6 % de la capitalización). Los comparables orgánicos (Moody's 32 %, MSCI 40 %) están muy por encima; ICE (8,6 %) y S&amp;P Global (11,1 %), con grandes compras, cerca [34].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4.056 M GBP a 30-jun-2026, de la que 1.277 M está reservada por requisitos regulatorios y operativos, más 3.000 M de líneas de crédito comprometidas sin disponer hasta diciembre de 2027 y 500 M USD de Tradeweb hasta noviembre de 2028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(estable); Moody's A3 (estable). LCH Ltd y LCH SA: AA- (S&amp;P)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El balance consolidado lleva 757.261 M GBP de activos y 757.444 M de pasivos de los miembros compensadores de LCH (márgenes y fondos de garantía) [1]; se quitan de las cifras de este informe porque no son del accionista ni generan su resultado, que entra como ingreso neto de tesorería (143 M en el 1S26) [2]. Quedan 250 M por pagar en 2026 por la ampliación del excedente de SwapClear [1]. Plan de pensiones con superávit neto (238 M de activo frente a 86 M de obligación en 2025) [1]. Sin factoring ni opciones de venta de minoritarios conocidas; los minoritarios de Tradeweb (cotizada) son el pasivo asimilable más grande y van a valor de mercado en el puente.</w:t>
      </w:r>
    </w:p>
    <w:p>
      <w:pPr>
        <w:pStyle w:val="Heading1"/>
      </w:pPr>
      <w:r>
        <w:t xml:space="preserve">12. Asignación de capital</w:t>
      </w:r>
    </w:p>
    <w:p>
      <w:pPr>
        <w:pStyle w:val="Confianza"/>
        <w:spacing w:after="100"/>
      </w:pPr>
      <w:r>
        <w:t xml:space="preserve">Confianza: Alta</w:t>
      </w:r>
    </w:p>
    <w:p>
      <w:pPr>
        <w:spacing w:after="100"/>
      </w:pPr>
      <w:r>
        <w:t xml:space="preserve">Dividendo progresivo con un reparto del 33-40 % del BPA ajustado (150 p en 2025, el 35,7 %; 55 p a cuenta de 2026, +17 %) [1, 2]. Apalancamiento objetivo de 1,5-2,5 veces la deuda neta operativa sobre el EBITDA ajustado, en torno a la mitad de la banda; la caja sobrante vuelve en recompras: 2.100 M en 2025 y 2.600 M en lo que va de 2026, con 800 M más del programa de 3.000 M hasta febrero de 2027 y capacidad para otros 1.000-1.500 M en 2027 [1, 2, 7]. Con Octus y Trumid la deuda terminará 2027 cerca del techo de la banda (2,5 veces) y volverá a la mitad a finales de 2028 [9]. Guía 2027-2029: crecimiento de dos cifras del flujo libre por acción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 (datos, terminales Eikon/Workspace, FX, 51 % de Tradeweb)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(37 % económico para Blackstone y Thomson Reuters) y asunción de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terminada y objetivos de sinergias cumplidos, pero el ROIC del grupo quedó en el 6-7 % y la acción no ha superado el máximo de 2020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Acadia (riesgo de crédito y márgenes no compensados) y GDC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Post Trade Solutions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11,6 % adicional de LCH Group y Global Data Consortium/Infinitive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propiedad de LCH Group sube a más del 95 %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parte del excedente de SwapClear hasta 2045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(921 M en 2025 y 250 M en 2026)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pb de margen y +2-3 % de BPA ajustado en 2025 según la empresa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Octus (datos, análisis y flujos de trabajo de crédito privado, ilíquido y en dificultades; &gt;300 M USD de ingresos en 2026 con margen EBITDA ajustado ≈ 40 %)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externa; cierre previsto en el 1S27 sujeto a autorizaciones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La empresa espera que sea neutral para el BPA ajustado el primer año completo y que sume después; ≈ 100 M de costes de integración en 2027-2028. Múltiplo: estimación propia (3.535 M USD ÷ ≈ 120 M USD de EBITDA 2026) [8,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Trumid (plataforma electrónica de crédito), comprada por Tradeweb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de Tradeweb (precio neto ≈ 1.750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amplía Tradeweb en crédito [7].</w:t>
            </w:r>
          </w:p>
        </w:tc>
      </w:tr>
    </w:tbl>
    <w:p>
      <w:pPr>
        <w:spacing w:after="160" w:before="0"/>
      </w:pPr>
    </w:p>
    <w:p>
      <w:pPr>
        <w:spacing w:after="100"/>
      </w:pPr>
      <w:r>
        <w:t xml:space="preserve">Asignación de capital correcta desde 2023: la integración de Refinitiv cumplió sus objetivos, el capex baja y la caja vuelve al accionista: 2.964 M de dividendos y 4.587 M de recompras en 2021-2025 más 2.600 M en 2026 hasta septiembre [1, 7]. La empresa dice que entre enero de 2026 y febrero de 2027 habrá devuelto el 10 % de su capitalización [7]. La compra de SwapClear (1.171 M) sube el margen 100 pb y el BPA un 2-3 % [1]. Octus es la primera compra grande desde Refinitiv: 3.535 M USD por un negocio de ≈ 300 M USD de ingresos y un 40 % de margen (≈ 29 veces el EBITDA), con deuda, neutral para el BPA en 2028 y que lleva el apalancamiento al techo de la banda en 2027 [9]; estratégicamente encaja (crédito privado, clientes de fondos alternativos), pero el precio exige crecer a dos cifras durante años. El lunar sigue siendo Refinitiv: pagada en acciones a 13 veces el EBITDA, dejó un ROIC del 5-6 % [1]. El número de acciones baja de 557 M (2022) a 481 M (octubre de 2026), un 14 % [1,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Schwimmer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Goldman Sachs (25 años, banca de inversión y estructura de mercado). Cerró la compra de Refinitiv, cumplió sus objetivos de sinergias e ingresos y llevó el margen ajustado del 47,8 % al 50,3 % [2,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Michel-Alain Proch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Publicis y de Hertz; desde 2024 ha bajado la intensidad de capex del 11,3 % al 10,2 % [2,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Don Robert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y presidente de Experian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divisa constante del 6-8 %; margen EBITDA ajustado ≈ 48 %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+8,3 % a divisa constante; margen 47,2 % (47,7 % sin divisa)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2023-2025: crecimiento orgánico del 6-8 % anual y mejora del margen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 orgánico y +150 pb de margen en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6,5-7,5 %, margen +80-100 pb (febrero)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a 7,0-7,5 % y ≈ +100 pb en julio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Schwimmer lleva ocho años y la empresa dice haber cumplido o superado todos los marcos de guía desde 2023 [2]. El director financiero es de 2024. El punto débil es la retribución: la subida de 2025 (sueldo +40 %, máximo total de unos 6,3 M a 13,2 M GBP) tuvo un 30,4 % de votos en contra [22, 23]. No hay sucesor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 Robert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Schwimmer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Michel-Alain Proch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Cressida Hogg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Corley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DeRose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 (presidenta), 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Tsega Gebreyes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Guthrie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(Microsoft)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Lloyd Pitchford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Riesgos,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 Rahmani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Remuneración,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Vereker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(presidente), Nombramientos, Riesgos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ni párrafo de énfasis)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diciembre de 2022 a Blackstone; consejero dominical desde 2023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HSBC (posición de negociación)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5,5 % a menos del 5 % de derechos de voto el 30-jul-2026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Elliott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Empezó a comprar en febrero de 2026, tras la caída por la IA (Reuters)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Cruza el 5 % al alza el 15-oct-2026 (4,97 % el 8-oct); 2,51 % más en instrumentos financieros, 7,51 % en total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M de acciones de 502,65 M a 30-sep-2026; las recompradas desde julio se amortizan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política aprobada en 2025 subió el sueldo del consejero delegado de 1,0 M a 1,4 M GBP, el bonus máximo de 2,25 M a 4,1 M y el plan a largo plazo de 3 M a 7,5 M, para acercarlo a sus pares de EE. UU.; ISS, Glass Lewis y PIRC recomendaron votar en contra y el informe de remuneración tuvo un 30,39 % de votos en contra [22, 23]. En 2026 el voto en contra bajó al 6,81 % [21]. El plan a largo plazo se mide con el BPA ajustado y la rentabilidad total para el accionista (estimación: métricas habituales de la política, no verificadas en el informe de remuneración) [23].</w:t>
      </w:r>
    </w:p>
    <w:p>
      <w:pPr>
        <w:pStyle w:val="Heading2"/>
      </w:pPr>
      <w:r>
        <w:t xml:space="preserve">Operaciones vinculadas, estructura de control y defensas</w:t>
      </w:r>
    </w:p>
    <w:p>
      <w:pPr>
        <w:spacing w:after="100"/>
      </w:pPr>
      <w:r>
        <w:t xml:space="preserve">Sin accionista de control: el mayor accionista estratégico es Microsoft (4,2 %), con un consejero; Blackstone y Thomson Reuters, que recibieron el 37 % por Refinitiv, han ido vendiendo desde 2022 (no verificado si conservan algo) [4]. Una acción, un voto. Las operaciones con Microsoft (alianza de 10 años en nube y productos, compromiso de gasto mínimo) son vinculadas y relevantes [4]. Los minoritarios de Tradeweb (cotizada en EE. UU.) y de LCH participan en filiales clave. Elliott entró en 2026 y puede empujar recompras o una revisión de la cartera de negocios [17]. El 1-dic-2026 entra Amit Zavery (presidente y director de operaciones y de producto de ServiceNow) como consejero independiente, un perfil tecnológico para la estrategia de IA [27].</w:t>
      </w:r>
    </w:p>
    <w:p>
      <w:pPr>
        <w:pStyle w:val="Heading2"/>
      </w:pPr>
      <w:r>
        <w:t xml:space="preserve">Señales de alerta</w:t>
      </w:r>
    </w:p>
    <w:p>
      <w:pPr>
        <w:pStyle w:val="ListParagraph"/>
        <w:numPr>
          <w:ilvl w:val="0"/>
          <w:numId w:val="2"/>
        </w:numPr>
        <w:spacing w:after="60"/>
      </w:pPr>
      <w:r>
        <w:t xml:space="preserve">Voto en contra del 30,4 % a la remuneración en 2025 [22].</w:t>
      </w:r>
    </w:p>
    <w:p>
      <w:pPr>
        <w:pStyle w:val="ListParagraph"/>
        <w:numPr>
          <w:ilvl w:val="0"/>
          <w:numId w:val="2"/>
        </w:numPr>
        <w:spacing w:after="60"/>
      </w:pPr>
      <w:r>
        <w:t xml:space="preserve">Entrada de un activista (Elliott) en 2026 [17].</w:t>
      </w:r>
    </w:p>
    <w:p>
      <w:pPr>
        <w:pStyle w:val="ListParagraph"/>
        <w:numPr>
          <w:ilvl w:val="0"/>
          <w:numId w:val="2"/>
        </w:numPr>
        <w:spacing w:after="60"/>
      </w:pPr>
      <w:r>
        <w:t xml:space="preserve">Deficiencias de control de TI señaladas por el auditor en los ingresos de Data &amp; Analytics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subida por tercera vez el 22-oct-2026: crecimiento orgánico a divisa constante de los ingresos sin recuperaciones de al menos el 8,0 % (6,5-7,5 % en febrero y 7,0-7,5 % en julio), margen EBITDA a divisa constante +100-120 pb (antes ≈ +100 pb), flujo libre para el accionista de al menos 2.800 M (antes 2.700 M), capex ≈ 9,5 % de los ingresos y tipo impositivo subyacente del 24-25 % [7]. Marco 2027-2029 (febrero de 2026, confirmado en octubre): crecimiento orgánico de un dígito medio-alto, margen subyacente +150 pb acumulados, capex hacia el 8 % en 2029 y flujo libre por acción con crecimiento anual de dos cifras; nuevo: crecimiento orgánico de las suscripciones en torno al 7 % en 2027, al que Octus sumaría [2, 7]. Octus no cambia la guía de margen y será neutral para el BPA ajustado el primer año completo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la empresa, 13-oct-2026 (12 analistas) [11]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la empresa, 13-oct-2026 [11]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la empresa, 13-oct-2026 [11]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1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104,00 – 137,70</w:t>
            </w:r>
          </w:p>
        </w:tc>
      </w:tr>
    </w:tbl>
    <w:p>
      <w:pPr>
        <w:spacing w:after="160" w:before="0"/>
      </w:pPr>
    </w:p>
    <w:p>
      <w:pPr>
        <w:pStyle w:val="Heading2"/>
      </w:pPr>
      <w:r>
        <w:t xml:space="preserve">Revisiones de estimaciones</w:t>
      </w:r>
    </w:p>
    <w:p>
      <w:pPr>
        <w:spacing w:after="100"/>
      </w:pPr>
      <w:r>
        <w:t xml:space="preserve">El consenso compilado por la empresa sigue siendo el del 13-oct, previo al 3T26 (12 analistas): BPA ajustado de 480,6 p en 2026, 550,9 p en 2027 y 615,5 p en 2028, con recompras que bajan las acciones medias a 458,5 M en 2028; reparto de recomendaciones 15 comprar, 1 mantener y 1 vender [11]. Esperaba 2.386 M de ingresos en el 3T y un orgánico del 7,8 %; salieron 2.407 M y +8,8 % [11]. Tras la subida de la guía el consenso debería subir (el de 2026 ya suponía un 8,0 % orgánico, en línea con la guía nueva, pero no el margen de +120 pb): el objetivo medio de MarketScreener es de 118,15 GBP con 16 analistas (104,00-137,70) al cierre del 23-oct, frente a 115,91 del consenso de la empresa del 13-oct [11, 31]; Jefferies y Deutsche Bank reiteraron Comprar con 110 GBP [38]. MarketScreener da en base publicada 3,06, 3,64 y 4,39 GBP de BPA [31]. Solo hay un proveedor con estimaciones completas en base ajustada y aún no recoge el 3T26: es un hueco temporal, no de fuentes.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pierde un 2,9 % en un año y gana un 6,2 % en 2026, frente a subidas del 10,8 % y del 7,6 % del FTSE 100; en cinco años, +5,2 % anual frente a +8,0 % (de precio) [30]. La caída máxima, del 40,7 %, va de febrero de 2025 a febrero de 2026, con el peor día el 3-feb-2026 (−12,8 %), cuando los nuevos productos de IA para finanzas hundieron a los vendedores de datos [17, 30]. Desde el mínimo de 66,84 ha rebotado un 42 %: la entrada de Elliott en febrero, el 1T26 en abril y, en octubre, la guía al alza del 3T26 (+7,7 % el 22-oct) [7, 30]. Beta de 0,60 mensual a cinco años frente al FTSE 100, volatilidad del 33,5 % [30].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 / +6,3 % / -4,3 % / -2,9 %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 / +32,6 %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mes hasta el 23-oct: actualización del 3T26 por encima del consenso (+8,8 % orgánico frente a +7,8 %), guía de 2026 elevada por tercera vez y compra de Octus; +7,7 % el 22-oct [7, 9, 30]. Antes, −4,7 % el 13-oct al confirmar las conversaciones por Octus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25-jun, con −7,0 % el 18-jun, el día en que Rothschild &amp; Co Redburn rebajó FactSet a vender por el «riesgo terminal» de la IA sobre el modelo de terminales: contagio sectorial, sin noticia propia de LSEG encontrada [30,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mes hasta el 28-abr tras el 1T26 (+9,8 % orgánico) y el rebote del sector desde el mínimo de febrero [7,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día (3-feb-2026) por el miedo a que los nuevos productos de IA para finanzas sustituyan a los vendedores de datos y terminales; mínimo de 66,84 el 4-feb [17,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30-jul con los resultados del 1S26: costes por encima de lo esperado pese a subir la guía [12,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ingresos de 2.407 M (+8,8 % orgánico), guía de 2026 de al menos +8,0 % orgánico, margen +100-120 pb y flujo libre de al menos 2.800 M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Octus por 3.535 M USD en efectivo, con deuda, cierre previsto en el 1S27 sujeto a autorizaciones; neutral para el BPA ajustado en 2028; Tradeweb compra Trumid por ≈ 1.750 M USD. Sin ampliación de capital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(22-oct) y Deutsche Bank (23-oct) reiteran Comprar con 110 GBP; objetivo medio de 118,15 GBP con 16 analistas (MarketScreener) [31,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 sube al 5,00 % de los votos en acciones (7,51 % con instrumentos)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en curso: 2.600 M en 2026 hasta septiembre, ≈ 800 M pendientes hasta febrero de 2027 y capacidad para 1.000-1.500 M más en 2027 [7,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Amit Zavery (ServiceNow) entra en el consejo el 1-dic-2026. Sin comunicaciones de operaciones de consejeros o directivos entre el 22-jul y el 22-oct [27,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Management construye una participación «significativa» (sin cifra) y pide recompras y más margen, no una venta de partes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guía de 2027 a finales de febrero (fecha aún no publicada; la de 2025 fue el 26-feb-2026)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subido un 15,3 % en un mes y está un 4,8 % bajo su máximo de 52 semanas, con tendencia lateral (9,4 % sobre la media de 200 sesiones). La subida tiene una causa de negocio publicada (3T26 por encima del consenso y guía elevada), no especulativa. No hay hechos pendientes que puedan mover el precio más de un 5 % en contra: Octus se paga con deuda (sin ampliación), su cierre en el 1S27 depende de autorizaciones sin conflicto aparente y no hay colocaciones de accionistas de referencia anunciadas ni ventas de directivos. Los próximos resultados son en febrero de 2027. Se buscó en los comunicados regulatorios (Investegate), Yahoo, MarketScreener, MarketBeat y prensa.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Con el BPA publicado (que lleva la amortización de Refinitiv) el PER de los últimos 12 meses es de 34 veces frente a una media de 58,6, una comparación sin sentido. La que importa es la ajustada: el PER adelantado (precio ÷ BPA ajustado del año siguiente) es de 17,8 veces frente a una mediana de 22,0 en 2021-2025 y un mínimo de 18,8 (cierre de 2025). El EV/EBITDA de los últimos 12 meses (14,5 veces) está en su media (14,5). Tras la subida de octubre el descuento frente a la historia se ha reducido de 6 a 4 puntos de PER. Lo que ha cambiado no es el crecimiento (el orgánico de 2026, ≥ 8 %, es el más alto desde 2018) sino la percepción del riesgo de la IA desde 2025 y unos tipos más altos (gilt del 5,3 %).</w:t>
      </w:r>
    </w:p>
    <w:p>
      <w:pPr>
        <w:pStyle w:val="Heading1"/>
      </w:pPr>
      <w:r>
        <w:t xml:space="preserve">18. Comparables cotizados</w:t>
      </w:r>
    </w:p>
    <w:p>
      <w:pPr>
        <w:pStyle w:val="Confianza"/>
        <w:spacing w:after="100"/>
      </w:pPr>
      <w:r>
        <w:t xml:space="preserve">Confianza: Media</w:t>
      </w:r>
    </w:p>
    <w:p>
      <w:pPr>
        <w:spacing w:after="100"/>
      </w:pPr>
      <w:r>
        <w:t xml:space="preserve">Once cotizadas de la ficha sectorial del 14-oct-2026: bolsas con cámara (CME, ICE, Nasdaq, Deutsche Börse), una plataforma de renta fija como Tradeweb (que LSEG consolida), índices y analítica (MSCI), calificaciones y datos (S&amp;P Global, Moody's) y datos y analítica (Thomson Reuters, Verisk, FactSet). Bloomberg, el rival más directo en datos, no cotiza; Cboe y Euronext quedan fuera por no tener estimaciones del mismo proveedor. Cifras de MarketScreener y Stock Analysis de la ficha, llevadas al cierre del 23-oct-2026 con la variación del precio desde el 13-oct (EE. UU.) y el 14-oct (Europa): subidas del 3,5-17,1 %, con estimaciones sin actualizar por los resultados del 3T de octubre, así que los PER y EV/EBITDA de los próximos 12 meses salen algo altos; capitalización en M GBP a 1,336 USD/GBP [34, 37]. El PER de los comparables es sobre BPA ajustado en la mayoría (EE. UU.), la misma base que el de LSEG en la rentabilidad a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 / 17,4x / 19,0x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 / 20,0x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 / 25,8x / 28,0x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 / 10,6x / 12,4x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rPr>
        <w:t xml:space="preserve">Regresión EV/EBITDA NTM sobre crecimiento</w:t>
      </w:r>
      <w:r>
        <w:t xml:space="preserve"> (11 comparables): múltiplo = 13,5 + 0,46 × crecimiento; R² = 0,12. El crecimiento explica poco los múltiplos de estos comparables (R² &lt; 0,3): la regresión no se usa en la valoración.</w:t>
      </w:r>
    </w:p>
    <w:p>
      <w:pPr>
        <w:spacing w:after="100"/>
      </w:pPr>
      <w:r>
        <w:t xml:space="preserve">LSEG cotiza a 13,2 veces el EBITDA de los próximos 12 meses y a 17,7 veces el beneficio de los próximos 12 meses, frente a medianas de 17,4 y 25,8 veces de los comparables: el descuento es del 24-31 %. Una parte está justificada: tiene menos margen (51 % ajustado frente a 56 %), un ROIC menor (5,7 % frente a 12,2 %) y la mayor exposición a terminales, el negocio que la IA amenaza, junto con FactSet (18,8 veces el PER). La otra parte es el miedo a la IA: Thomson Reuters, también expuesta, cotiza a 28,2 veces. Los múltiplos de los comparables están algo inflados: los hemos llevado al 23-oct con la subida de precio (+3,5-17,1 % en diez días, muchos tras publicar el 3T) sin subir sus estimaciones. La regresión múltiplo-crecimiento no explica nada (R² de 0,12). Usaríamos un PER de 19-21 veces, entre FactSet y la mediana, cerca de su propia historia (22 veces de mediana adelantada).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167 USD por acción. Ventas (870 M) y EBITDA (430 M) de los últimos 12 meses a junio de 2026; la prima es la que publica el folleto. Valor empresa pasado a GBP a 1,336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Motive Partners (capital privado). Unos 130 M de ingresos esperados en 2025, con crecimiento del valor anual de contratos en la parte alta de la decena; el múltiplo es sobre esos ingresos previstos. No se publicó el EBITDA. Valor empresa pasado a GBP a 1,336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Preqin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2.550 M GBP (unos 3.200 M USD) en efectivo por el 100 % del capital. El 8-K no da ingresos ni EBITDA, así que no hay múltiplo verificado. Valor empresa pasado a GBP a 1,336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Thoma Bravo, con 5.750 M en efectivo y 85,6 M de acciones de Nasdaq. Múltiplos sobre las previsiones de 2023 que publicó Nasdaq (unos 590 M de ingresos y un margen EBITDA ajustado del 58 %), no sobre los últimos 12 meses: estimación propia. Valor empresa pasado a GBP a 1,336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acciones de S&amp;P Global por cada una de IHS Markit. Valor empresa publicado, 44.000 M, con 4.800 M de deuda neta. Ventas (4.288 M) y EBITDA ajustado (1.837 M) del ejercicio cerrado en noviembre de 2020. Valor empresa pasado a GBP a 1,336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los vendedores (Blackstone y Thomson Reuters) se quedaron con el 37 % económico de LSEG. El valor empresa incluye 12.500 M de deuda neta. Ingresos ajustados de 2018, 6.204 M; EBITDA ajustado, 2.054 M, antes de los 650 M de ahorros en marcha. Anunciada en agosto de 2019 y cerrada en enero de 2021, al límite del periodo de siete años. Valor empresa pasado a GBP a 1,336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La cifra es lo pagado por las acciones; además, ICE asumió unos 1.000 M de bonos. No hay EBITDA oficial del perímetro comprado. Valor empresa pasado a GBP a 1,336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80,74 – 206,82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operaciones del sector se pagaron a 13-31 veces el EBITDA (Refinitiv, 13,1 veces; MarketAxess, 13 veces; IHS Markit, 24 veces; Adenza, 31 veces) [35], y LSEG paga ahora ≈ 29 veces por Octus (estimación propia con los datos de la empresa) [9]. Con 70.040 M de valor empresa (13,2 veces el EBITDA de los próximos 12 meses), LSEG está en la zona baja. Es demasiado grande para una OPA, pero un activista (Elliott) entró en 2026 y, según la prensa, empuja recompras y más margen, no una venta de partes [17, 43].</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sin recuperaciones +7,4 % en 2026e: nueve meses a +7,4 % publicado (7.206 M) y guía orgánica de al menos el 8,0 %, con ≈ 0,6 puntos de divisa en contra [7]. +7,0 % en 2027e: la empresa da ≈ 7 % para las suscripciones (≈ 6,5 % en 2026) y suponemos que Markets, tras crecer un 12,1 % en 2026, se acerca a ese ritmo [7, 9]. +6,5 % en 2028e y +6,0 % en 2029e, dentro del marco 2027-2029 de «un dígito medio-alto» [1]; después baja al 3,5 % en 2032. Historia: +6,6-8,8 % orgánico cada año desde 2022 [1, 3, 4, 7]. El consenso del 13-oct da +7,3 % en 2027 y +6,9 % en 2028 [11]: coincidimos en ventas (−0,4 % en 2028e).</w:t>
      </w:r>
    </w:p>
    <w:p>
      <w:pPr>
        <w:keepNext/>
        <w:spacing w:after="100"/>
      </w:pPr>
      <w:r>
        <w:rPr>
          <w:b/>
          <w:bCs/>
        </w:rPr>
        <w:t xml:space="preserve">Márgenes.</w:t>
      </w:r>
    </w:p>
    <w:p>
      <w:pPr>
        <w:spacing w:after="100"/>
      </w:pPr>
      <w:r>
        <w:t xml:space="preserve">Margen EBITDA del 51,3 % en 2026e, 51,9 % en 2027e, 52,4 % en 2028e y 53,0 % al final, frente al 50,3 % ajustado de 2025 y el 52,7 % del 1S26 [1, 2]. Es el ajustado menos 0,5 puntos de reestructuración que se repite: la guía de 2026 (+100-120 pb, 30 pb de ellos por SwapClear) llevaría el ajustado al 51,3-51,5 % [7, 8], y para 2027-2029 la empresa da +150 pb acumulados que Octus no cambia [9]; nosotros subimos 1,1 puntos. El consenso da 51,7 % en 2026 y 52,7 % en 2028 [11]. Los comparables tienen una mediana del 56 % [34]: LSEG queda por debajo por los terminales.</w:t>
      </w:r>
    </w:p>
    <w:p>
      <w:pPr>
        <w:keepNext/>
        <w:spacing w:after="100"/>
      </w:pPr>
      <w:r>
        <w:rPr>
          <w:b/>
          <w:bCs/>
        </w:rPr>
        <w:t xml:space="preserve">Inversión y circulante.</w:t>
      </w:r>
    </w:p>
    <w:p>
      <w:pPr>
        <w:spacing w:after="100"/>
      </w:pPr>
      <w:r>
        <w:t xml:space="preserve">Capex del 9,5 % de los ingresos en 2026e (guía reiterada en octubre) y del 8 % desde 2029, como guía la empresa [1, 7]; amortización propia (sin la de lo comprado) del 11,0 % en 2026e (1.017 M en 2025, 11,3 %) que converge al 8 % en 2032, cuando iguala al capex. Circulante negativo (−8 % en 2026e, −9 % real en 2025, hacia −5 %) porque las suscripciones se cobran por adelantado [1]. Impuesto del 24,5 % (guía del 24-25 %) [7]. Octus (3.535 M USD con deuda) y Trumid quedan fuera: se tratan como compras de valor neutro.</w:t>
      </w:r>
    </w:p>
    <w:p>
      <w:pPr>
        <w:keepNext/>
        <w:spacing w:after="100"/>
      </w:pPr>
      <w:r>
        <w:rPr>
          <w:b/>
          <w:bCs/>
        </w:rPr>
        <w:t xml:space="preserve">Coste del capital.</w:t>
      </w:r>
    </w:p>
    <w:p>
      <w:pPr>
        <w:spacing w:after="100"/>
      </w:pPr>
      <w:r>
        <w:t xml:space="preserve">Tasa libre del 5,33 % (gilt a 10 años, 21-oct-2026, último dato del Banco de Inglaterra) [32]; beta de 0,85 (la mensual de 5 años frente al FTSE 100 es 0,60 y la semanal de 2 años, ≈ 0,89 [30]; 0,85 está en la zona de los comparables y del sector); prima de mercado del 5,5 %; coste de la deuda del 5,0 % (el medio actual es 3,3 %, pero la deuda nueva, la de Octus incluida, cuesta más) y un 22 % de deuda: WACC del 8,63 %. Con la prima implícita del mercado (4,2 %) [33] el WACC baja al 7,77 % y el DCF sube a 116,72.</w:t>
      </w:r>
    </w:p>
    <w:p>
      <w:pPr>
        <w:keepNext/>
        <w:spacing w:after="100"/>
      </w:pPr>
      <w:r>
        <w:rPr>
          <w:b/>
          <w:bCs/>
        </w:rPr>
        <w:t xml:space="preserve">Valor terminal.</w:t>
      </w:r>
    </w:p>
    <w:p>
      <w:pPr>
        <w:spacing w:after="100"/>
      </w:pPr>
      <w:r>
        <w:t xml:space="preserve">Gordon con un crecimiento del 3,0 %: inflación británica a largo plazo (≈ 2-2,5 %) más algo de crecimiento real, por debajo de la tasa libre menos medio punto. El valor terminal pesa un 72 % del DCF. Implica 11,8 veces el EBITDA terminal, por debajo de la mediana de los comparables (17,4 veces en los próximos 12 meses) [34].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113,28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(reinvierte el 26 %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frente al 5,6 %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-858 M, con un capex bruto medio del 8,4 % de las ventas). En un negocio de activos ligeros, el crecimiento medio del 5,6 %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orgánica de al menos el 8,0 % [7]: volumen de Markets (+12,1 % en nueve meses) y nuevos datos (≈ 4,4 puntos) y subidas de precio de suscripciones (≈ 3,3 puntos); divisa −0,3.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 7 % según la empresa [9]: precio ≈ 3 % (retención del 92,8 % y subidas anuales) y volumen ≈ 4 % (datos para IA, Markets más moderado).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de un dígito medio-alto [1]; incluye el cobro de licencias de datos para IA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precio 3 %.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al crecimiento del mercado.</w:t>
            </w:r>
          </w:p>
        </w:tc>
      </w:tr>
    </w:tbl>
    <w:p>
      <w:pPr>
        <w:spacing w:after="160" w:before="0"/>
      </w:pPr>
    </w:p>
    <w:p>
      <w:pPr>
        <w:spacing w:after="100"/>
      </w:pPr>
      <w:r>
        <w:t xml:space="preserve">Sí: el crecimiento medio proyectado (5,6 %) está por debajo del orgánico de los últimos cinco años (6,6-8,8 %) y del mercado de datos (+7,4 % anual en 2019-2025) [1, 7, 13]. No necesita capital nuevo: el capex baja del 10,2 % al 8 % de los ingresos y la reinversión neta es negativa (−858 M acumulados), así que la prueba es el poder de precio y la cuota. Precio: subidas anuales con una retención del 92,8 % y suscripciones que aceleran al 6,6 % en el 3T26 [2, 7]. Cuota (prueba a mano, porque Markets no está en el perímetro del mercado): los negocios de suscripción pasan de 5.511 M (14,7 % de ≈ 37.400 M) a ≈ 7.500 M en 2030e (al crecimiento del grupo) frente a un mercado de ≈ 53.200 M (70.000 M USD) [13]: ≈ 14,1 %, cuota algo menor. El riesgo no es de financiación sino de la IA.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(base: 5,3 %)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54,2 %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8,6 %)</w:t>
            </w:r>
          </w:p>
        </w:tc>
      </w:tr>
    </w:tbl>
    <w:p>
      <w:pPr>
        <w:spacing w:after="160" w:before="0"/>
      </w:pPr>
    </w:p>
    <w:p>
      <w:pPr>
        <w:spacing w:after="100"/>
      </w:pPr>
      <w:r>
        <w:t xml:space="preserve">El DCF da 91,22 por acción, un 4,1 % por debajo del precio, con un WACC del 8,63 % y un valor terminal del 72 %. El DCF inverso dice que el precio descuenta un crecimiento del 5,9 % anual en 2027-2032 frente al 5,3 % de nuestro caso base, o un margen del 54,2 % frente al 53,0 %, y una rentabilidad implícita del 8,5 %, por debajo de nuestro WACC. Es el gran cambio frente al 14-oct: entonces el precio pedía un 4,3 %, menos que nuestro base; tras subir un 13 % ya pide algo más que nuestro base, aunque menos que el 8 % orgánico de 2026 y que lo logrado desde 2022 (6,6-8,8 %). No es exigente frente a la historia, pero sí frente a nuestra proyección prudente. Con la prima implícita del mercado (4,2 %) el DCF sube a 116,72. El valor depende mucho de la tasa: con un gilt al 5,33 % y una beta de 0,85, cada medio punto de WACC mueve el valor un 10-12 % (tabla de sensibilidad).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sustituyen parte del uso del terminal y de la analítica genérica: Workflows cae, Data &amp; Analytics crece un 1-2 % y el grupo, un 3,5-4 %, con Markets de vuelta a volúmenes normales y un margen 2,5 puntos menor. Es lo que el mercado temió en febrero de 2026 (−12,8 % en un día) y lo que vive FactSet.</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elevada de 2026 y el marco 2027-2029: un dígito medio-alto de crecimiento, margen +150 pb y capex hacia el 8 %. La IA se convierte en un canal más de venta de datos y Octus suma sin cambiar el BPA.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licencias de datos para IA y el MCP aceleran las suscripciones por encima del 7 %, Octus crece a dos cifras y Markets sigue con volúmenes altos: crecimiento del 8 %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GBP) · precio actual 95,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84,40 GBP (-11,3 %).</w:t>
      </w:r>
    </w:p>
    <w:p>
      <w:pPr>
        <w:spacing w:after="100"/>
      </w:pPr>
      <w:r>
        <w:t xml:space="preserve">La asimetría del DCF es mala (0,23 veces): el bajista pierde un 48,1 % y el alcista gana un 11,3 %, porque el bajista combina menos crecimiento, menos margen, un WACC medio punto mayor y un crecimiento terminal del 2,5 %, una pérdida permanente de franquicia, y el precio ya está cerca del DCF base. Con la prima implícita del mercado la asimetría pasa a 1,25 veces. A 12 meses la asimetría es muy distinta (4,4 veces) porque el bajista solo aplica un PER de 15,7 veces, poco por debajo del actual (17,8). El escenario bajista es verosímil en la parte de terminales (21 % de los ingresos), pero es menos probable para índices, compensación y datos en bruto, que acaban de acelerar.</w:t>
      </w:r>
    </w:p>
    <w:p>
      <w:pPr>
        <w:pStyle w:val="Heading1"/>
      </w:pPr>
      <w:r>
        <w:t xml:space="preserve">22. Suma de partes</w:t>
      </w:r>
    </w:p>
    <w:p>
      <w:pPr>
        <w:pStyle w:val="Confianza"/>
        <w:spacing w:after="100"/>
      </w:pPr>
      <w:r>
        <w:t xml:space="preserve">Confianza: Media</w:t>
      </w:r>
    </w:p>
    <w:p>
      <w:pPr>
        <w:spacing w:after="100"/>
      </w:pPr>
      <w:r>
        <w:t xml:space="preserve">No se usa como método: los negocios comparten clientes, datos y tecnología. Como contraste, Tradeweb, que LSEG consolida, vale en bolsa ≈ 21.460 M GBP (28.676 M USD al 23-oct) y la parte de LSEG (≈ 43 %) ≈ 9.230 M, un 20 % de la capitalización de LSEG [34, 36].</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GBP) · precio actual 95,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95,84 GBP (+0,8 % sobre 95,10).</w:t>
      </w:r>
    </w:p>
    <w:p>
      <w:pPr>
        <w:spacing w:after="100"/>
      </w:pPr>
      <w:r>
        <w:t xml:space="preserve">El DCF pesa un 45 % y los escenarios un 40 % porque es un negocio de caja estable, con un 75 % de ingresos recurrentes, y los escenarios recogen el riesgo de la IA, que es lo que mueve la acción. Los comparables pesan solo un 15 %: LSEG cotiza a 13,2 veces el EBITDA de los próximos 12 meses frente a 17,4 de mediana, pero tiene más terminales (margen menor), minoritarios grandes y un ROIC bajo; aplicarle la mediana daría 141,54 por acción, y la mediana está inflada porque los comparables se han llevado al 23-oct sin subir sus estimaciones. Las transacciones no pesan (no hay operación a la vista y sus múltiplos, de 13 a 31 veces el EBITDA, son de activos de software o índices; Octus se paga a ≈ 29 veces). La dispersión es grande: de 49,33 (bajista) a 141,54 (comparables). El valor intrínseco (95,84) queda casi en el precio: tras la subida del 13 % desde el 14-oct el margen de seguridad del DCF ha desaparecido.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(17.8x) × 1.1 (tope: la mediana de 5 años, 22x,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+69,0 %</w:t>
            </w:r>
          </w:p>
        </w:tc>
      </w:tr>
    </w:tbl>
    <w:p>
      <w:pPr>
        <w:spacing w:after="160" w:before="0"/>
      </w:pPr>
    </w:p>
    <w:p>
      <w:pPr>
        <w:spacing w:after="100"/>
      </w:pPr>
      <w:r>
        <w:rPr>
          <w:b/>
          <w:bCs/>
        </w:rPr>
        <w:t xml:space="preserve">Objetivo a 12 meses (ponderado):</w:t>
      </w:r>
      <w:r>
        <w:t xml:space="preserve"> 117,16 GBP · rentabilidad +24,9 % (base +22,0 %) · señal Comprar.</w:t>
      </w:r>
    </w:p>
    <w:p>
      <w:pPr>
        <w:spacing w:after="100"/>
      </w:pPr>
      <w:r>
        <w:t xml:space="preserve">Para comparar, con la regla v2 (historia al cierre, mismo precio): 15,1x / 17,8x / 23,1x, 14,1 % Mantener; con el tope anterior del base (×1,3, 14-oct mediodía): 25,6 %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(4,75 GBP) queda un 1,2 % por debajo del consenso de la empresa (4,81) y el de 2028e (5,84), un 5,1 % por debajo (6,16). Las ventas coinciden (−0,4 % en 2028e) y el EBITDA queda un 1,0 % por debajo porque restamos 0,5 puntos de reestructuración recurrente; el resto son las acciones: el consenso supone recompras hasta 458,5 M en 2028 y nosotros solo contamos las anunciadas (476 M). El consenso es del 13-oct y no recoge la subida de la guía del 3T26, así que la distancia real será algo mayor. El objetivo ponderado (117,16) queda un 0,8 % por debajo del objetivo medio de los analistas (118,15, MarketScreener) y el del base (114,46), un 3,1 %: la diferencia de BPA la compensa en parte un PER base de 19,6 veces.</w:t>
      </w:r>
    </w:p>
    <w:p>
      <w:pPr>
        <w:keepNext/>
        <w:spacing w:after="100"/>
      </w:pPr>
      <w:r>
        <w:rPr>
          <w:b/>
          <w:bCs/>
        </w:rPr>
        <w:t xml:space="preserve">Del valor intrínseco al objetivo a 12 meses.</w:t>
      </w:r>
    </w:p>
    <w:p>
      <w:pPr>
        <w:spacing w:after="100"/>
      </w:pPr>
      <w:r>
        <w:t xml:space="preserve">El objetivo a 12 meses (117,16) queda un 22 % por encima del valor intrínseco (95,84): la regla supone que el PER adelantado, hoy en 17,8 veces frente a 22 de mediana en 2021-2025, sube a 19,6 veces en un año (la mitad del camino con el tope de ×1,1), mientras el DCF, con un WACC del 8,63 % y un gilt del 5,33 %, apenas da el precio actual (91,22). Con la prima implícita del mercado (4,2 %) el DCF sube a 116,72, casi el objetivo. Con la historia del PER al cierre (regla v2) la ponderada baja al 14,1 % (Mantener). El BPA ajustado de 2028e (5,84) crece un 11,6 % anual desde el ajustado de 2025 (4,206), la misma base; frente al publicado (2,38) el salto parece del 34,8 % anual solo porque este resta la amortización de Refinitiv. Lo que cerraría la brecha entre los dos valores: que el mercado siga premiando la guía al alza como el 22-oct (+7,7 %), la recompra pendiente (≈ 635 M hasta febrero de 2027) y que la IA se vea en las cifras de 2027. Como la distancia pasa del 20 %, la parte de la tesis que descansa en 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Seminario sobre mercados digitales (Digital Markets)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Tokenización y activos digitales; poca cifra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fin de la recompra de 3.000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el ≥ 8 % orgánico y el margen +100-120 pb; nueva recompra de 1.000-1.500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Octus (y de Trumid en Tradeweb)</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crecimiento en Data &amp; Analytics; deuda al techo de la banda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ingresos visibles por licencias de datos para IA y MCP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Cambiaría la percepción del riesgo de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LSE 24 (negociación 24 horas, 5 días)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contado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Diciembre de 2026 y 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Compensación obligatoria de bonos del Tesoro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volumen para LCH (RepoClear)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sustituye el uso de terminales (Workspace) y la analítica genérica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datos con licencia para IA, MCP (dos tercios de los 50 mayores clientes) y alianzas con Microsoft, Anthropic, OpenAI y Google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Workflows por debajo del 2 % orgánico o retención por debajo del 92 %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mercado no vuelve a pagar su múltiplo histórico (PER adelantado de 18 frente a 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frente al objetivo a 12 meses (bajista de 80,54 con un PER de 15,7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3-5 % anual y crecimiento del BPA de dos cifras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16 veces con resultados en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volúmenes de negociación y de ingresos de tesorería tras un 2026 excepcional (Markets, 39 % de los ingresos, +12,1 % en nueve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del 61 %; diversificación por activos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diario de Tradeweb a la baja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Octus no crece lo previsto o se integra mal (pagada a ≈ 29 veces el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 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 (un tercio del precio, 2.650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40 % y crecimiento de dos cifras desde 2022; ≈ 100 M de costes de integración ya anunciados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o crecimiento de Octus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compensación de swaps en euros por EMIR 3 o fin de la equivalencia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LCH SA en París; cuenta activa limitada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Eurex en swaps en euros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operativo o ciberataque en LCH o en los datos en tiempo real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Supervisión del Banco de Inglaterra, DORA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Incidentes y sanciones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 al techo de la banda (2,5 veces) en 2027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Banda de 1,5-2,5 veces, vuelta a la mitad en 2028 y rating 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operativa por encima de 2,5 veces el EBITDA o recompras de 2027 por debajo de 1.000 M</w:t>
            </w:r>
          </w:p>
        </w:tc>
      </w:tr>
    </w:tbl>
    <w:p>
      <w:pPr>
        <w:spacing w:after="160" w:before="0"/>
      </w:pPr>
    </w:p>
    <w:p>
      <w:pPr>
        <w:pStyle w:val="Heading2"/>
      </w:pPr>
      <w:r>
        <w:t xml:space="preserve">Pre-mortem</w:t>
      </w:r>
    </w:p>
    <w:p>
      <w:pPr>
        <w:spacing w:after="100"/>
      </w:pPr>
      <w:r>
        <w:t xml:space="preserve">Octubre de 2029: la acción vale 57 GBP, un 40 % menos. Lo que pasó: en 2027 los grandes bancos y gestoras sustituyeron parte de sus terminales Workspace por agentes de IA conectados a datos en bruto, que compraron más baratos a varios proveedores. Workflows (≈ 1.900 M, el 21 % de los ingresos) empezó a caer un 5 % al año y la retención bajó del 92,8 % al 90 %. LSEG vendió más datos con licencia para IA, pero a menos margen y sin compensar la caída. A la vez, la volatilidad de 2025-2026 se calmó, Markets pasó de crecer un 12 % a un 2 % y los tipos bajaron, con menos ingreso de tesorería. Octus, pagada a 29 veces, creció un 5 % y obligó a un deterioro. Con la deuda en el techo de la banda, las recompras se frenaron. El crecimiento del grupo cayó al 3-4 %, el margen se estancó en el 50 % y el mercado pagó el PER de FactSet (16 veces) sobre un BPA más bajo. Lo habrían anticipado el crecimiento de Workflows y de las suscripciones de cada trimestre y el volumen de Tradeweb frente a 2026.</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−48 % en el bajista; +16 % en el alcista a 3-5 años</w:t>
      </w:r>
    </w:p>
    <w:p>
      <w:pPr>
        <w:spacing w:after="100"/>
      </w:pPr>
      <w:r>
        <w:t xml:space="preserve">La IA toca Workflows (terminales, ≈ 21 % de los ingresos), donde puede sustituir usuarios, y Data &amp; Feeds y Analytics, donde puede multiplicar el consumo de datos con licencia. En el 3T26 Workflows creció un 2,8 % y Data &amp; Feeds un 7,5 %; el 95 % de los 200 mayores clientes usa algún producto de IA de LSEG, dos tercios de los 50 mayores están conectados por MCP (consumo ×5 en el trimestre) y el 80 % de los acuerdos de IA incluyen datos adicionales [7, 8]. La empresa no da cifra de ingresos de IA. Señal de alarma: Workflows por debajo del 2 % o retención por debajo del 92 %; de confirmación, suscripciones por encima del 7 % en 2027.</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LSEG no son las emisiones (empresa de servicios) sino la resiliencia operativa y la ciberseguridad (una caída de LCH o de los datos en tiempo real sería un riesgo sistémico regulado por DORA y el Banco de Inglaterra) y la gobernanza de los datos y de la IA [2, 13]. FTSE Russell vende índices ESG y está sujeta a la regulación de calificaciones ESG (UE desde julio de 2026) [13].</w:t>
      </w:r>
    </w:p>
    <w:p>
      <w:pPr>
        <w:pStyle w:val="Heading2"/>
      </w:pPr>
      <w:r>
        <w:t xml:space="preserve">Controversias</w:t>
      </w:r>
    </w:p>
    <w:p>
      <w:pPr>
        <w:spacing w:after="100"/>
      </w:pPr>
      <w:r>
        <w:t xml:space="preserve">Voto en contra del 30,4 % al informe de remuneración en 2025 por la subida del sueldo del consejero delegado (ver gobierno). Sin sanciones relevantes encontradas en los tres últimos años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aportan ya las licencias de datos para IA y el MCP, y a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decide si la IA suma o resta; en el 3T26 la dirección siguió sin cuantificarlo.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y qué sinergias de ingresos justifican pagar ≈ 29 veces el EBITDA, y en qué plazo se cubre el coste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compra grande desde Refinitiv y lleva la deuda al techo de la banda.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+12,1 % de Markets en 2026 es estructural (nuevos productos, compensación obligatoria) y qué parte es volatilidad?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crecimiento de 2027 frente a un 2026 excepcional.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Workflows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el número de usuarios de Workspace y el precio por usuario?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Workflows crece un 2,8 % y es el negocio más expuesto.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queda en 2027 sin los 30 pb de SwapClear y con los costes de integración de Octus?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decepcionar en febrero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la participación económica exacta de LSEG en Tradeweb tras Trumid?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el puente en varios miles de millones.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(titulares de análisis de autores independientes, LSEGY)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3T26 el único análisis nuevo reafirma Comprar por la guía al alza, la monetización de la IA y Octus; en julio convivían un «Buy confirmado» y una rebaja porque las recompras ya estarían en el precio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(artículo de análisis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la preocupación de los inversores porque los proveedores de IA sacudan a los vendedores de datos y terminales tras la caída de febrero [19].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Hargreaves Lansdown (investigación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Destaca que la dirección ha puesto la IA en el centro para presentarse como facilitadora y no como víctima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(noticia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bajó el día de resultados pese a la guía al alza y a superar las previsiones del semestre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los terminales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Workflows crece solo un 3,1 % y es el 21 % de los ingresos; datos y feeds crecen un 6,6 % y la retención sube al 92,8 % (resultados de la empresa). Riesgo real pero acotado; está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su efecto en la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4.200 M en 12 meses con la deuda en 1,8-2,0 veces el EBITDA, dentro de la banda de la empresa (resultados de la empresa).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Activista en el capital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empezó a comprar en febrero de 2026; sin propuesta pública: catalizador sin fecha [17].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buenos que el precio por fin premia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cayó el día del 1S26 (−6,4 %) y el 13-oct (−4,7 %, conversaciones por Octus), pero subió un 7,7 % el 22-oct con el 3T26 y la guía al alza (Yahoo); el PER adelantado ajustado sigue por debajo de su mediana.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pagado por Octus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3.535 M USD por ≈ 300 M USD de ingresos (≈ 12 veces ventas y ≈ 29 veces el EBITDA, estimación propia), neutral para el BPA en 2028 según la empresa y financiado con deuda (resultados de la empresa).</w:t>
            </w:r>
          </w:p>
        </w:tc>
      </w:tr>
    </w:tbl>
    <w:p>
      <w:pPr>
        <w:spacing w:after="160" w:before="0"/>
      </w:pPr>
    </w:p>
    <w:p>
      <w:pPr>
        <w:spacing w:after="100"/>
      </w:pPr>
      <w:r>
        <w:t xml:space="preserve">Lo leído es sobre todo análisis para particulares y titulares, no hilos de foro: los foros británicos (LSE Chat) y Reddit no abren desde este entorno, así que la confianza es baja. Tras el 3T26 el tono mejora a positivo (el único análisis nuevo es alcista y la acción subió un 7,7 % en el día), con la duda del precio pagado por Octus. Antes estaba dividido: la caída por la IA dejó la idea de que el mercado no premiará los buenos resultados mientras no se vea crecimiento por la IA, pero la guía al alza, las recompras y la entrada de un activista dan argumentos a los alcistas. No hay euforia ni capitulación. Los foros apuntan el mismo riesgo que el informe (Workflows) y no añaden ninguno nuevo. Los analistas son mucho más optimistas (15 de 17 comprar).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19 controles correctos y 3 explicados. Fuentes: 43 (19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-9,1 % real: genera una variación de circulante de 48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0,12: el crecimiento no explica los múltiplos de estos comparables; no uses el valor de la regresión. Explicación: R² de 0,12: en este sector el múltiplo depende del tipo de negocio (índices y calificaciones frente a terminales y bolsas), no del crecimiento.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14,1 %: para comprar o ampliar hace falta motivo de negocio propio; para mantener basta la vigente. Explicación: La regla v2 (historia al cierre) da Mantener con un 14,1 %: según el método vigente decide la v3 (selector sin marcas) y la v2 es control. La recomendación queda en Comprar con convicción baja y la acción robusta la fija robustez.mjs.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(5,84) supone un 34,8 % anual desde 2,38 (2025): explícalo en valoracion.objetivo_12m.comentario o la confianza es baja. Explicación: El control compara nuestro BPA ajustado de 2028e (5,84) con el publicado de 2025 (2,38), que resta 1.221 M de amortización de intangibles comprados. En la misma base, el BPA ajustado de 2025 fue de 4,206 GBP y el crecimiento a 2028e es del 11,6 % anual (ver el comentario del objetivo a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 los resultados 2025 (tabla de bonos con vencimiento, sin agregado anual); 2) informe semestral 2026 (sin calendario); 3) agregar bono a bono (no hecho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2025 (solo el reparto por divisa de los ingresos); 2) semestral 2026; 3) informe anual 2025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2025 (sin calificaciones ESG); 2) semestral 2026; 3) no se buscó en las webs de MSCI/Sustainalytics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(cifra única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informe de remuneración (no descargado); 2) resultados de la junta 2026 (solo votos); 3) prensa (solo la política máxima de 13,2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Listado de comunicados de Investegate del 22-jul al 22-oct-2026: ningún «Director/PDMR Shareholding» (solo recompras, derechos de voto y participaciones) [29]; 2) informe anual 2025 (no descargado) para noviembre de 2025-julio de 2026; 3) prensa: sin compras o ventas relevantes citadas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Preliminary results for the year ended 31 December 2025 (cuenta, balance, flujos, deuda neta, segmentos, guía 2026 y 2027-2029)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 plc (FCA NSM)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https://data.fca.org.uk/artefacts/NSM/DirectUpload/NI-000139719/NI-000139719.pdf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results for six months ended 30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https://www.lseg.com/content/dam/lseg/en_us/documents/investor-relations/financial-results/interim-report/lseg-interim-report-h1-2026-30july2026.pdf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year ended 31 December 2023 (cifras de 2023 y 2022, balance de 2022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(FCA NSM)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https://data.fca.org.uk/artefacts/NSM/Portal/NI-000090829/NI-000090829.pdf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for the year ended 31 December 2022 (cifras de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(FCA NSM)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https://data.fca.org.uk/artefacts/NSM/RNS/4691300.html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six months ended 30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https://www.lseg.com/content/dam/lseg/en_us/documents/investor-relations/financial-results/interim-report/lseg-interim-report-h1-2025-31july2025.pdf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consolidadas 2020-2025 en XBRL (ESEF):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 FCA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Trading Update (ingresos por negocio y trimestre, crecimiento orgánico, KPI, guía 2026 elevada,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https://www.investegate.co.uk/announcement/rns/london-stock-exchange-group--lseg/q3-2026-trading-update/9835429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Q3 Earnings Call Highlights (conferencia del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https://www.marketbeat.com/instant-alerts/transcript-london-stock-exchange-group-q3-earnings-call-highlights-2026-10-22/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 to acquire Octus (precio, ingresos y margen de Octus, efecto en BPA, financiación, apalancamiento)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https://www.investegate.co.uk/announcement/rns/london-stock-exchange-group--lseg/lseg-to-acquire-octus/9835254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Transactions in Own Shares (19-oct-2026): 481.039.104 acciones con voto tras amortizar las recompradas hasta el 16-oct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https://www.investegate.co.uk/announcement/rns/london-stock-exchange-group--lseg/transaction-in-own-shares/9830282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 analyst consensus Q3 2026 (13-oct-2026): ingresos del trimestre esperados por negocio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https://www.lseg.com/en/investor-relations/consensus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 shares drop following H1 costs miss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Investment 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https://www.investmentweek.co.uk/news/4121525/lseg-shares-drop-following-h1-costs-miss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infraestructura de mercados y datos financieros (14-oct-2026), con Burton-Taylor, SEC NRSRO y FIA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(sectores/bolsas-datos-financieros-2026-10-14.md)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Market Data/Analysis: Global Share &amp; Segment Sizing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Burton-Taylor International Consulting (TP ICAP)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https://tpicap.com/burtontaylor/reports/03/2026/financial-market-dataanalysis-global-share-segment-sizing-2026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reaches record 37,3bn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https://www.marketsmedia.com/market-data-spend-reaches-record-37-3bn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spending on financial market data reaches record (2023, 42.000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https://marketsmedia.com/global-spending-on-financial-market-data-reaches-record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Analysis: LSEG slowly sheds AI risk tag with drive to show growth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https://www.marketscreener.com/news/lseg-slowly-sheds-ai-risk-tag-with-drive-to-show-growth-ce7f5cdbde80f22d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value del repositorio: S&amp;P Global (12-oct), Moody's, CME, Deutsche Börse (14-oct) e ICE (8-oct): ingresos y márgenes de los competidores de sus 10-K e informes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London Stock Exchange Group a buy after share price slump?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https://global.morningstar.com/en-gb/stocks/is-london-stock-exchange-group-buy-after-share-price-slump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https://www.lseg.com/en/about-us/board-of-directors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2026 (23-abr-2026)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https://www.ticker.app/lse/LSEG/rns/2026-04-23/Result-of-AGM/7122B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2025 (1-may-2025)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https://www.lseg.com/content/dam/lseg/en_us/documents/investor-relations/annual-general-meeting/result/lseg-annual-general-meeting-result-2025-01may2025.pdf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owner faces potential shareholder revolt over plans to double chief's pay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City 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https://www.cityam.com/?p=2147143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https://www.investegate.co.uk/announcement/rns/london-stock-exchange-group--lseg/total-voting-rights/9701675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HSBC Holdings falls below 5 % voting rights threshold in London Stock Exchange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https://kalkinemedia.com/uk/news/announcements/hsbc-holdings-falls-below-5-voting-rights-threshold-in-london-stock-exchange-group-as-of-july-2026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(1-oct-2026): 482.457.344 acciones con voto y 20.188.599 en autocartera a 30-sep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https://www.investegate.co.uk/announcement/rns/london-stock-exchange-group--lseg/total-voting-rights/9802417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Amit Zavery (ServiceNow) consejero desde el 1-dic-2026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https://www.investegate.co.uk/announcement/rns/london-stock-exchange-group--lseg/directorate-change/9801131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Inc. 5,00 % en acciones y 2,51 % en instrumentos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https://www.investegate.co.uk/announcement/rns/london-stock-exchange-group--lseg/holding-s-in-company/9827957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comunicados regulatorios de LSEG (22-jul a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https://www.investegate.co.uk/company/LSEG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LSEG.L, ^FTSE, ISF.L: históricos diarios hasta el 23-oct-2026 (precio, rango, volumen, beta, rentabilidades, cierres de año;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 y movimiento.mjs)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https://finance.yahoo.com/quote/LSEG.L/history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Valuation y Consensus London Stock Exchange Group Plc (ventas, EBITDA, BPA publicado 2023-2028; 16 analistas, objetivo medio 118,15 GBP, mínimo 104,00 y máximo 137,70 al cierre del 23-oct)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https://uk.marketscreener.com/quote/stock/LONDON-STOCK-EXCHANGE-GRO-4005918/valuation/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gilt a 10 años (IUDMNPY), 21-oct-2026: 5,33 % (último dato publicado)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la ficha sectorial (MarketScreener y Stock Analysis vía los informes del repo) llevados al cierre del 23-oct-2026 con la variación del precio en Yahoo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(notas/comparables-2026-10-23.json)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del informe de S&amp;P Global del repo (Refinitiv, IHS Markit, Adenza, MarketAxess, With Intelligence, Preqin, Black Knight)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(informes/sp-global-2026-10-12)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Markets Inc. Form 10-K FY2025 y 10-Q 3T25 (clases de acciones A, B, C y 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https://www.sec.gov/Archives/edgar/data/1758730/000175873026000015/tw-20251231.htm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GBPUSD=X y EURUSD=X, 26-oct-2026 (1,336 y 1,121)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https://finance.yahoo.com/quote/GBPUSD=X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price target (Jefferies y Deutsche Bank reiteran Comprar con 110 GBP, 22 y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https://www.marketbeat.com/stocks/LON/LSEG/price-target/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LSEGY: titulares y análisis de Seeking Alpha (RSS, feb-oct 2026; «Higher Guidance, AI Monetization, And Octus Deal Reinforce Our Buy», 23-oct)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https://seekingalpha.com/symbol/LSEGY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 share research (comentarios y valoraciones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https://www.hl.co.uk/shares/shares-search-results/l/london-stock-exchange-ordinary-6,7986p/share-research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 shares slip despite raised guidance and first-half earnings 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(comentarios de lectores)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https://www.investing.com/news/earnings/lseg-shares-slip-despite-raised-guidance-and-firsthalf-earnings-beat-4822548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Stock Downgraded to Sell, Price Target Reduced on Terminal Risks (Rothschild &amp; Co Redburn, 18-jun-2026)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https://app.sentisense.ai/stories/factset-stock-downgraded-to-sell-price-target-reduced-on-terminal-risks-06182026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Elliott said to have built significant stake in LSEG, shares spark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 (con el Financial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https://www.hl.co.uk/shares/stock-market-news/company--news/elliott-said-to-have-built-significant-stake-in-lseg,-shares-spark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87,8 %</w:t>
      </w:r>
      <w:r>
        <w:t xml:space="preserve"> · Secciones con menos del 60 % de campos cubiertos: </w:t>
      </w:r>
      <w:r>
        <w:rPr>
          <w:b/>
          <w:bCs/>
        </w:rPr>
        <w:t xml:space="preserve">gobierno</w:t>
      </w:r>
      <w:r>
        <w:t xml:space="preserve"> · Generado el 26 oct 2026.</w:t>
      </w:r>
    </w:p>
    <w:p>
      <w:pPr>
        <w:pStyle w:val="Nota"/>
        <w:spacing w:after="100"/>
      </w:pPr>
      <w:r>
        <w:t xml:space="preserve">Divisa de las cuentas y de la valoración: GBP; la acción cotiza en peniques (9.510 p el 23-oct-2026 = 95,10 GBP, último cierre: la sesión del 26-oct no había cerrado a la hora del análisis) y todas las cifras por acción van en libras. Ingresos = ingresos totales sin recuperaciones (total income excl. recoveries), la cifra que guía la empresa; el EBITDA es el publicado (EBIT + amortizaciones) y los costes de integración y reestructuración van como no recurrentes. El balance quita los activos y pasivos de los miembros compensadores de LCH (≈ 757.000 M). La actualización del 3T26 solo publica ingresos: el LTM y el puente siguen en junio de 2026. Segmentos solo de 2024 y 2025 (segmentación nueva de 2025). Comparables de la ficha sectorial llevados al 23-oct con la variación del precio y sin actualizar sus estimaciones por los resultados de octubre; en GBP a 1,336 USD/GBP. Minoritarios de Tradeweb a valor de mercado del 23-oct con una participación económica de LSEG estimada en ≈ 43 %. Acciones: 481,0 M con voto tras las recompras hasta el 16-oct, menos ≈ 0,6 M recompradas hasta el 23-oct y más ≈ 2 M de dilución por planes de acciones. Octus (3.535 M USD) y Trumid (≈ 1.750 M USD, de Tradeweb), sin cerrar, quedan fuera de la proyección y del puente como compras de valor neutro. El consenso de BPA ajustado de la empresa es del 13-oct, anterior al 3T26.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London Stock Exchange Group plc (LSEG)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95,10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(66,84 – 101,40)</c:v>
                </c:pt>
                <c:pt idx="1">
                  <c:v>Precio objetivo de los analistas (104,00 – 137,70)</c:v>
                </c:pt>
                <c:pt idx="2">
                  <c:v>Comparables: EV/EBITDA NTM (115,11 – 159,16)</c:v>
                </c:pt>
                <c:pt idx="3">
                  <c:v>Comparables: PER NTM (128,63 – 150,96)</c:v>
                </c:pt>
                <c:pt idx="4">
                  <c:v>Transacciones precedentes (EV/EBITDA) (80,74 – 206,82)</c:v>
                </c:pt>
                <c:pt idx="5">
                  <c:v>DCF (WACC y g ± 0,5) (72,44 – 118,03)</c:v>
                </c:pt>
                <c:pt idx="6">
                  <c:v>Escenarios (bajista – alcista) (49,33 – 105,84)</c:v>
                </c:pt>
                <c:pt idx="7">
                  <c:v>DCF con la prima implícita del mercado (4,2 %)</c:v>
                </c:pt>
                <c:pt idx="8">
                  <c:v>Precio actual (95,10)</c:v>
                </c:pt>
              </c:strCache>
            </c:strRef>
          </c:cat>
          <c:val>
            <c:numRef>
              <c:f>Hoja1!$B$2:$B$10</c:f>
              <c:numCache>
                <c:formatCode>#,##0</c:formatCode>
                <c:ptCount val="9"/>
                <c:pt idx="0">
                  <c:v>66.84</c:v>
                </c:pt>
                <c:pt idx="1">
                  <c:v>104</c:v>
                </c:pt>
                <c:pt idx="2">
                  <c:v>115.11</c:v>
                </c:pt>
                <c:pt idx="3">
                  <c:v>128.63</c:v>
                </c:pt>
                <c:pt idx="4">
                  <c:v>80.74</c:v>
                </c:pt>
                <c:pt idx="5">
                  <c:v>72.44</c:v>
                </c:pt>
                <c:pt idx="6">
                  <c:v>49.33</c:v>
                </c:pt>
                <c:pt idx="7">
                  <c:v>100.91</c:v>
                </c:pt>
                <c:pt idx="8">
                  <c:v>94.62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(66,84 – 101,40)</c:v>
                </c:pt>
                <c:pt idx="1">
                  <c:v>Precio objetivo de los analistas (104,00 – 137,70)</c:v>
                </c:pt>
                <c:pt idx="2">
                  <c:v>Comparables: EV/EBITDA NTM (115,11 – 159,16)</c:v>
                </c:pt>
                <c:pt idx="3">
                  <c:v>Comparables: PER NTM (128,63 – 150,96)</c:v>
                </c:pt>
                <c:pt idx="4">
                  <c:v>Transacciones precedentes (EV/EBITDA) (80,74 – 206,82)</c:v>
                </c:pt>
                <c:pt idx="5">
                  <c:v>DCF (WACC y g ± 0,5) (72,44 – 118,03)</c:v>
                </c:pt>
                <c:pt idx="6">
                  <c:v>Escenarios (bajista – alcista) (49,33 – 105,84)</c:v>
                </c:pt>
                <c:pt idx="7">
                  <c:v>DCF con la prima implícita del mercado (4,2 %)</c:v>
                </c:pt>
                <c:pt idx="8">
                  <c:v>Precio actual (95,10)</c:v>
                </c:pt>
              </c:strCache>
            </c:strRef>
          </c:cat>
          <c:val>
            <c:numRef>
              <c:f>Hoja1!$C$2:$C$10</c:f>
              <c:numCache>
                <c:formatCode>#,##0</c:formatCode>
                <c:ptCount val="9"/>
                <c:pt idx="0">
                  <c:v>34.56</c:v>
                </c:pt>
                <c:pt idx="1">
                  <c:v>33.69999999999999</c:v>
                </c:pt>
                <c:pt idx="2">
                  <c:v>44.05</c:v>
                </c:pt>
                <c:pt idx="3">
                  <c:v>22.330000000000013</c:v>
                </c:pt>
                <c:pt idx="4">
                  <c:v>126.08</c:v>
                </c:pt>
                <c:pt idx="5">
                  <c:v>45.59</c:v>
                </c:pt>
                <c:pt idx="6">
                  <c:v>56.510000000000005</c:v>
                </c:pt>
                <c:pt idx="7">
                  <c:v>35.34</c:v>
                </c:pt>
                <c:pt idx="8">
                  <c:v>0.9599999999999937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Data &amp; Analytics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3859</c:v>
                </c:pt>
                <c:pt idx="1">
                  <c:v>3978</c:v>
                </c:pt>
              </c:numCache>
            </c:numRef>
          </c:val>
        </c:ser>
        <c:ser>
          <c:idx val="1"/>
          <c:order val="1"/>
          <c:tx>
            <c:strRef>
              <c:f>Hoja1!$C$1</c:f>
              <c:strCache>
                <c:ptCount val="1"/>
                <c:pt idx="0">
                  <c:v>FTSE Russell</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911</c:v>
                </c:pt>
                <c:pt idx="1">
                  <c:v>954</c:v>
                </c:pt>
              </c:numCache>
            </c:numRef>
          </c:val>
        </c:ser>
        <c:ser>
          <c:idx val="2"/>
          <c:order val="2"/>
          <c:tx>
            <c:strRef>
              <c:f>Hoja1!$D$1</c:f>
              <c:strCache>
                <c:ptCount val="1"/>
                <c:pt idx="0">
                  <c:v>Risk Intelligence</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531</c:v>
                </c:pt>
                <c:pt idx="1">
                  <c:v>579</c:v>
                </c:pt>
              </c:numCache>
            </c:numRef>
          </c:val>
        </c:ser>
        <c:ser>
          <c:idx val="3"/>
          <c:order val="3"/>
          <c:tx>
            <c:strRef>
              <c:f>Hoja1!$E$1</c:f>
              <c:strCache>
                <c:ptCount val="1"/>
                <c:pt idx="0">
                  <c:v>Markets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3180</c:v>
                </c:pt>
                <c:pt idx="1">
                  <c:v>3467</c:v>
                </c:pt>
              </c:numCache>
            </c:numRef>
          </c:val>
        </c:ser>
        <c:ser>
          <c:idx val="4"/>
          <c:order val="4"/>
          <c:tx>
            <c:strRef>
              <c:f>Hoja1!$F$1</c:f>
              <c:strCache>
                <c:ptCount val="1"/>
                <c:pt idx="0">
                  <c:v>Otros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13</c:v>
                </c:pt>
                <c:pt idx="1">
                  <c:v>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Data &amp; Analytics</c:v>
                </c:pt>
                <c:pt idx="1">
                  <c:v>FTSE Russell</c:v>
                </c:pt>
                <c:pt idx="2">
                  <c:v>Risk Intelligence</c:v>
                </c:pt>
                <c:pt idx="3">
                  <c:v>Markets</c:v>
                </c:pt>
                <c:pt idx="4">
                  <c:v>Otros</c:v>
                </c:pt>
              </c:strCache>
            </c:strRef>
          </c:cat>
          <c:val>
            <c:numRef>
              <c:f>Hoja1!$B$2:$B$6</c:f>
              <c:numCache>
                <c:formatCode>General</c:formatCode>
                <c:ptCount val="5"/>
                <c:pt idx="0">
                  <c:v>44.3</c:v>
                </c:pt>
                <c:pt idx="1">
                  <c:v>10.6</c:v>
                </c:pt>
                <c:pt idx="2">
                  <c:v>6.4</c:v>
                </c:pt>
                <c:pt idx="3">
                  <c:v>38.6</c:v>
                </c:pt>
                <c:pt idx="4">
                  <c:v>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GBP (gasto mundial en datos y análisis de mercados financieros, Burton-Taylor, convertido a 1,3154 USD/GBP))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2019</c:v>
                </c:pt>
                <c:pt idx="1">
                  <c:v>2022</c:v>
                </c:pt>
                <c:pt idx="2">
                  <c:v>2023</c:v>
                </c:pt>
                <c:pt idx="3">
                  <c:v>2025</c:v>
                </c:pt>
                <c:pt idx="4">
                  <c:v>2030e</c:v>
                </c:pt>
              </c:strCache>
            </c:strRef>
          </c:cat>
          <c:val>
            <c:numRef>
              <c:f>Hoja1!$B$2:$B$6</c:f>
              <c:numCache>
                <c:formatCode>#,##0</c:formatCode>
                <c:ptCount val="5"/>
                <c:pt idx="0">
                  <c:v>24327</c:v>
                </c:pt>
                <c:pt idx="1">
                  <c:v>28356</c:v>
                </c:pt>
                <c:pt idx="2">
                  <c:v>31929</c:v>
                </c:pt>
                <c:pt idx="3">
                  <c:v>37403</c:v>
                </c:pt>
                <c:pt idx="4">
                  <c:v>53216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LSEG</c:v>
                </c:pt>
                <c:pt idx="1">
                  <c:v>Bloomberg</c:v>
                </c:pt>
                <c:pt idx="2">
                  <c:v>S&amp;P Global</c:v>
                </c:pt>
                <c:pt idx="3">
                  <c:v>Intercontinental Exchange</c:v>
                </c:pt>
                <c:pt idx="4">
                  <c:v>MSCI</c:v>
                </c:pt>
                <c:pt idx="5">
                  <c:v>FactSet</c:v>
                </c:pt>
                <c:pt idx="6">
                  <c:v>CME Group</c:v>
                </c:pt>
                <c:pt idx="7">
                  <c:v>Deutsche Börse</c:v>
                </c:pt>
              </c:strCache>
            </c:strRef>
          </c:cat>
          <c:val>
            <c:numRef>
              <c:f>Hoja1!$B$2:$B$9</c:f>
              <c:numCache>
                <c:formatCode>0.0"%"</c:formatCode>
                <c:ptCount val="8"/>
                <c:pt idx="0">
                  <c:v>25.4</c:v>
                </c:pt>
                <c:pt idx="2">
                  <c:v>42.2</c:v>
                </c:pt>
                <c:pt idx="3">
                  <c:v>39</c:v>
                </c:pt>
                <c:pt idx="4">
                  <c:v>54.7</c:v>
                </c:pt>
                <c:pt idx="5">
                  <c:v>32.2</c:v>
                </c:pt>
                <c:pt idx="6">
                  <c:v>64.9</c:v>
                </c:pt>
                <c:pt idx="7">
                  <c:v>50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6211</c:v>
                </c:pt>
                <c:pt idx="1">
                  <c:v>7428</c:v>
                </c:pt>
                <c:pt idx="2">
                  <c:v>8009</c:v>
                </c:pt>
                <c:pt idx="3">
                  <c:v>8494</c:v>
                </c:pt>
                <c:pt idx="4">
                  <c:v>8986</c:v>
                </c:pt>
                <c:pt idx="5">
                  <c:v>9651</c:v>
                </c:pt>
                <c:pt idx="6">
                  <c:v>10327</c:v>
                </c:pt>
                <c:pt idx="7">
                  <c:v>10998</c:v>
                </c:pt>
                <c:pt idx="8">
                  <c:v>11658</c:v>
                </c:pt>
                <c:pt idx="9">
                  <c:v>12241</c:v>
                </c:pt>
                <c:pt idx="10">
                  <c:v>12730</c:v>
                </c:pt>
                <c:pt idx="11">
                  <c:v>13176</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2969</c:v>
                </c:pt>
                <c:pt idx="1">
                  <c:v>3550</c:v>
                </c:pt>
                <c:pt idx="2">
                  <c:v>3777</c:v>
                </c:pt>
                <c:pt idx="3">
                  <c:v>4148</c:v>
                </c:pt>
                <c:pt idx="4">
                  <c:v>4523</c:v>
                </c:pt>
                <c:pt idx="5">
                  <c:v>4951</c:v>
                </c:pt>
                <c:pt idx="6">
                  <c:v>5359</c:v>
                </c:pt>
                <c:pt idx="7">
                  <c:v>5763</c:v>
                </c:pt>
                <c:pt idx="8">
                  <c:v>6155</c:v>
                </c:pt>
                <c:pt idx="9">
                  <c:v>6475</c:v>
                </c:pt>
                <c:pt idx="10">
                  <c:v>6747</c:v>
                </c:pt>
                <c:pt idx="11">
                  <c:v>6983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86.2</c:v>
                </c:pt>
                <c:pt idx="1">
                  <c:v>85.7</c:v>
                </c:pt>
                <c:pt idx="2">
                  <c:v>85.7</c:v>
                </c:pt>
                <c:pt idx="3">
                  <c:v>86.2</c:v>
                </c:pt>
                <c:pt idx="4">
                  <c:v>87.6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47.8</c:v>
                </c:pt>
                <c:pt idx="1">
                  <c:v>47.8</c:v>
                </c:pt>
                <c:pt idx="2">
                  <c:v>47.2</c:v>
                </c:pt>
                <c:pt idx="3">
                  <c:v>48.8</c:v>
                </c:pt>
                <c:pt idx="4">
                  <c:v>50.3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22.5</c:v>
                </c:pt>
                <c:pt idx="1">
                  <c:v>22.2</c:v>
                </c:pt>
                <c:pt idx="2">
                  <c:v>20.4</c:v>
                </c:pt>
                <c:pt idx="3">
                  <c:v>19.6</c:v>
                </c:pt>
                <c:pt idx="4">
                  <c:v>25.4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7.4</c:v>
                </c:pt>
                <c:pt idx="1">
                  <c:v>10.6</c:v>
                </c:pt>
                <c:pt idx="2">
                  <c:v>9.5</c:v>
                </c:pt>
                <c:pt idx="3">
                  <c:v>8.1</c:v>
                </c:pt>
                <c:pt idx="4">
                  <c:v>13.9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4">
                  <c:v>6.8</c:v>
                </c:pt>
                <c:pt idx="5">
                  <c:v>7</c:v>
                </c:pt>
                <c:pt idx="6">
                  <c:v>8.5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0">
                  <c:v>7.8</c:v>
                </c:pt>
                <c:pt idx="1">
                  <c:v>7.8</c:v>
                </c:pt>
                <c:pt idx="2">
                  <c:v>6.4</c:v>
                </c:pt>
                <c:pt idx="3">
                  <c:v>6.2</c:v>
                </c:pt>
                <c:pt idx="4">
                  <c:v>9.8</c:v>
                </c:pt>
                <c:pt idx="5">
                  <c:v>7.1</c:v>
                </c:pt>
                <c:pt idx="6">
                  <c:v>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57</c:v>
                </c:pt>
                <c:pt idx="1">
                  <c:v>67</c:v>
                </c:pt>
                <c:pt idx="2">
                  <c:v>93</c:v>
                </c:pt>
                <c:pt idx="3">
                  <c:v>72</c:v>
                </c:pt>
                <c:pt idx="4">
                  <c:v>71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757</c:v>
                </c:pt>
                <c:pt idx="1">
                  <c:v>687</c:v>
                </c:pt>
                <c:pt idx="2">
                  <c:v>605</c:v>
                </c:pt>
                <c:pt idx="3">
                  <c:v>587</c:v>
                </c:pt>
                <c:pt idx="4">
                  <c:v>754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1852</c:v>
                </c:pt>
                <c:pt idx="1">
                  <c:v>1621</c:v>
                </c:pt>
                <c:pt idx="2">
                  <c:v>1702</c:v>
                </c:pt>
                <c:pt idx="3">
                  <c:v>2232</c:v>
                </c:pt>
                <c:pt idx="4">
                  <c:v>2476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462</c:v>
                </c:pt>
                <c:pt idx="1">
                  <c:v>790</c:v>
                </c:pt>
                <c:pt idx="2">
                  <c:v>761</c:v>
                </c:pt>
                <c:pt idx="3">
                  <c:v>685</c:v>
                </c:pt>
                <c:pt idx="4">
                  <c:v>1249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c:v>
                </c:pt>
                <c:pt idx="1">
                  <c:v>4</c:v>
                </c:pt>
                <c:pt idx="2">
                  <c:v>3.9</c:v>
                </c:pt>
                <c:pt idx="3">
                  <c:v>3.8</c:v>
                </c:pt>
                <c:pt idx="4">
                  <c:v>5.7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8.6</c:v>
                </c:pt>
                <c:pt idx="1">
                  <c:v>8.6</c:v>
                </c:pt>
                <c:pt idx="2">
                  <c:v>8.6</c:v>
                </c:pt>
                <c:pt idx="3">
                  <c:v>8.6</c:v>
                </c:pt>
                <c:pt idx="4">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c:v>
                </c:pt>
                <c:pt idx="1">
                  <c:v>3.2</c:v>
                </c:pt>
                <c:pt idx="2">
                  <c:v>3.1</c:v>
                </c:pt>
                <c:pt idx="3">
                  <c:v>2.9</c:v>
                </c:pt>
                <c:pt idx="4">
                  <c:v>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1.92</c:v>
                </c:pt>
                <c:pt idx="1">
                  <c:v>1.58</c:v>
                </c:pt>
                <c:pt idx="2">
                  <c:v>1.62</c:v>
                </c:pt>
                <c:pt idx="3">
                  <c:v>1.56</c:v>
                </c:pt>
                <c:pt idx="4">
                  <c:v>1.72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768</c:v>
                </c:pt>
                <c:pt idx="2">
                  <c:v>523</c:v>
                </c:pt>
                <c:pt idx="3">
                  <c:v>1173</c:v>
                </c:pt>
                <c:pt idx="4">
                  <c:v>921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426</c:v>
                </c:pt>
                <c:pt idx="1">
                  <c:v>567</c:v>
                </c:pt>
                <c:pt idx="2">
                  <c:v>611</c:v>
                </c:pt>
                <c:pt idx="3">
                  <c:v>642</c:v>
                </c:pt>
                <c:pt idx="4">
                  <c:v>718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303</c:v>
                </c:pt>
                <c:pt idx="2">
                  <c:v>1207</c:v>
                </c:pt>
                <c:pt idx="3">
                  <c:v>1005</c:v>
                </c:pt>
                <c:pt idx="4">
                  <c:v>2072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8</c:v>
                </c:pt>
                <c:pt idx="1">
                  <c:v>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Microsoft</c:v>
                </c:pt>
                <c:pt idx="1">
                  <c:v>HSBC (posición de negociación)</c:v>
                </c:pt>
                <c:pt idx="2">
                  <c:v>Elliott Management</c:v>
                </c:pt>
                <c:pt idx="3">
                  <c:v>BlackRock, Inc.</c:v>
                </c:pt>
                <c:pt idx="4">
                  <c:v>Autocartera</c:v>
                </c:pt>
              </c:strCache>
            </c:strRef>
          </c:cat>
          <c:val>
            <c:numRef>
              <c:f>Hoja1!$B$2:$B$6</c:f>
              <c:numCache>
                <c:formatCode>0.0"%"</c:formatCode>
                <c:ptCount val="5"/>
                <c:pt idx="0">
                  <c:v>4.2</c:v>
                </c:pt>
                <c:pt idx="1">
                  <c:v>4.48</c:v>
                </c:pt>
                <c:pt idx="3">
                  <c:v>5</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6.2</c:v>
                </c:pt>
                <c:pt idx="1">
                  <c:v>30.2</c:v>
                </c:pt>
                <c:pt idx="2">
                  <c:v>7.1</c:v>
                </c:pt>
                <c:pt idx="3">
                  <c:v>90.8</c:v>
                </c:pt>
                <c:pt idx="4">
                  <c:v>16.2</c:v>
                </c:pt>
                <c:pt idx="5">
                  <c:v>-23.1</c:v>
                </c:pt>
                <c:pt idx="6">
                  <c:v>3</c:v>
                </c:pt>
                <c:pt idx="7">
                  <c:v>30</c:v>
                </c:pt>
                <c:pt idx="8">
                  <c:v>21.7</c:v>
                </c:pt>
                <c:pt idx="9">
                  <c:v>-20.7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15.1</c:v>
                </c:pt>
                <c:pt idx="1">
                  <c:v>13.4</c:v>
                </c:pt>
                <c:pt idx="2">
                  <c:v>15.6</c:v>
                </c:pt>
                <c:pt idx="3">
                  <c:v>16.6</c:v>
                </c:pt>
                <c:pt idx="4">
                  <c:v>12.6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14.5</c:v>
                </c:pt>
                <c:pt idx="1">
                  <c:v>14.5</c:v>
                </c:pt>
                <c:pt idx="2">
                  <c:v>14.5</c:v>
                </c:pt>
                <c:pt idx="3">
                  <c:v>14.5</c:v>
                </c:pt>
                <c:pt idx="4">
                  <c:v>14.5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Pt>
            <c:idx val="11"/>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LSEG</c:v>
                </c:pt>
                <c:pt idx="1">
                  <c:v>S&amp;P Global</c:v>
                </c:pt>
                <c:pt idx="2">
                  <c:v>MSCI</c:v>
                </c:pt>
                <c:pt idx="3">
                  <c:v>Intercontinental Exchange</c:v>
                </c:pt>
                <c:pt idx="4">
                  <c:v>CME Group</c:v>
                </c:pt>
                <c:pt idx="5">
                  <c:v>Nasdaq</c:v>
                </c:pt>
                <c:pt idx="6">
                  <c:v>Verisk Analytics</c:v>
                </c:pt>
                <c:pt idx="7">
                  <c:v>Thomson Reuters</c:v>
                </c:pt>
                <c:pt idx="8">
                  <c:v>FactSet Research Systems</c:v>
                </c:pt>
                <c:pt idx="9">
                  <c:v>Moody's</c:v>
                </c:pt>
                <c:pt idx="10">
                  <c:v>Deutsche Börse</c:v>
                </c:pt>
                <c:pt idx="11">
                  <c:v>Tradeweb Markets</c:v>
                </c:pt>
              </c:strCache>
            </c:strRef>
          </c:cat>
          <c:val>
            <c:numRef>
              <c:f>Hoja1!$B$2:$B$13</c:f>
              <c:numCache>
                <c:formatCode>0.0"x"</c:formatCode>
                <c:ptCount val="12"/>
                <c:pt idx="0">
                  <c:v>13.2</c:v>
                </c:pt>
                <c:pt idx="1">
                  <c:v>18.8</c:v>
                </c:pt>
                <c:pt idx="2">
                  <c:v>21.9</c:v>
                </c:pt>
                <c:pt idx="3">
                  <c:v>14.3</c:v>
                </c:pt>
                <c:pt idx="4">
                  <c:v>20.9</c:v>
                </c:pt>
                <c:pt idx="5">
                  <c:v>17.4</c:v>
                </c:pt>
                <c:pt idx="6">
                  <c:v>15.4</c:v>
                </c:pt>
                <c:pt idx="7">
                  <c:v>15.9</c:v>
                </c:pt>
                <c:pt idx="8">
                  <c:v>12.9</c:v>
                </c:pt>
                <c:pt idx="9">
                  <c:v>19.1</c:v>
                </c:pt>
                <c:pt idx="10">
                  <c:v>14.6</c:v>
                </c:pt>
                <c:pt idx="11">
                  <c:v>18.9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LSEG</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7.2</c:v>
                </c:pt>
              </c:numCache>
            </c:numRef>
          </c:xVal>
          <c:yVal>
            <c:numRef>
              <c:f>Hoja1!$C$2</c:f>
              <c:numCache>
                <c:formatCode>0.0"x"</c:formatCode>
                <c:ptCount val="1"/>
                <c:pt idx="0">
                  <c:v>13.2</c:v>
                </c:pt>
              </c:numCache>
            </c:numRef>
          </c:yVal>
          <c:smooth val="0"/>
        </c:ser>
        <c:ser>
          <c:idx val="1"/>
          <c:order val="1"/>
          <c:tx>
            <c:strRef>
              <c:f>Hoja1!$A$3</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7.6</c:v>
                </c:pt>
              </c:numCache>
            </c:numRef>
          </c:xVal>
          <c:yVal>
            <c:numRef>
              <c:f>Hoja1!$C$3</c:f>
              <c:numCache>
                <c:formatCode>0.0"x"</c:formatCode>
                <c:ptCount val="1"/>
                <c:pt idx="0">
                  <c:v>18.8</c:v>
                </c:pt>
              </c:numCache>
            </c:numRef>
          </c:yVal>
          <c:smooth val="0"/>
        </c:ser>
        <c:ser>
          <c:idx val="2"/>
          <c:order val="2"/>
          <c:tx>
            <c:strRef>
              <c:f>Hoja1!$A$4</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10.2</c:v>
                </c:pt>
              </c:numCache>
            </c:numRef>
          </c:xVal>
          <c:yVal>
            <c:numRef>
              <c:f>Hoja1!$C$4</c:f>
              <c:numCache>
                <c:formatCode>0.0"x"</c:formatCode>
                <c:ptCount val="1"/>
                <c:pt idx="0">
                  <c:v>21.9</c:v>
                </c:pt>
              </c:numCache>
            </c:numRef>
          </c:yVal>
          <c:smooth val="0"/>
        </c:ser>
        <c:ser>
          <c:idx val="3"/>
          <c:order val="3"/>
          <c:tx>
            <c:strRef>
              <c:f>Hoja1!$A$5</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8.1</c:v>
                </c:pt>
              </c:numCache>
            </c:numRef>
          </c:xVal>
          <c:yVal>
            <c:numRef>
              <c:f>Hoja1!$C$5</c:f>
              <c:numCache>
                <c:formatCode>0.0"x"</c:formatCode>
                <c:ptCount val="1"/>
                <c:pt idx="0">
                  <c:v>14.3</c:v>
                </c:pt>
              </c:numCache>
            </c:numRef>
          </c:yVal>
          <c:smooth val="0"/>
        </c:ser>
        <c:ser>
          <c:idx val="4"/>
          <c:order val="4"/>
          <c:tx>
            <c:strRef>
              <c:f>Hoja1!$A$6</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5.9</c:v>
                </c:pt>
              </c:numCache>
            </c:numRef>
          </c:xVal>
          <c:yVal>
            <c:numRef>
              <c:f>Hoja1!$C$6</c:f>
              <c:numCache>
                <c:formatCode>0.0"x"</c:formatCode>
                <c:ptCount val="1"/>
                <c:pt idx="0">
                  <c:v>20.9</c:v>
                </c:pt>
              </c:numCache>
            </c:numRef>
          </c:yVal>
          <c:smooth val="0"/>
        </c:ser>
        <c:ser>
          <c:idx val="5"/>
          <c:order val="5"/>
          <c:tx>
            <c:strRef>
              <c:f>Hoja1!$A$7</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17.4</c:v>
                </c:pt>
              </c:numCache>
            </c:numRef>
          </c:yVal>
          <c:smooth val="0"/>
        </c:ser>
        <c:ser>
          <c:idx val="6"/>
          <c:order val="6"/>
          <c:tx>
            <c:strRef>
              <c:f>Hoja1!$A$8</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6.1</c:v>
                </c:pt>
              </c:numCache>
            </c:numRef>
          </c:xVal>
          <c:yVal>
            <c:numRef>
              <c:f>Hoja1!$C$8</c:f>
              <c:numCache>
                <c:formatCode>0.0"x"</c:formatCode>
                <c:ptCount val="1"/>
                <c:pt idx="0">
                  <c:v>15.4</c:v>
                </c:pt>
              </c:numCache>
            </c:numRef>
          </c:yVal>
          <c:smooth val="0"/>
        </c:ser>
        <c:ser>
          <c:idx val="7"/>
          <c:order val="7"/>
          <c:tx>
            <c:strRef>
              <c:f>Hoja1!$A$9</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8.2</c:v>
                </c:pt>
              </c:numCache>
            </c:numRef>
          </c:xVal>
          <c:yVal>
            <c:numRef>
              <c:f>Hoja1!$C$9</c:f>
              <c:numCache>
                <c:formatCode>0.0"x"</c:formatCode>
                <c:ptCount val="1"/>
                <c:pt idx="0">
                  <c:v>15.9</c:v>
                </c:pt>
              </c:numCache>
            </c:numRef>
          </c:yVal>
          <c:smooth val="0"/>
        </c:ser>
        <c:ser>
          <c:idx val="8"/>
          <c:order val="8"/>
          <c:tx>
            <c:strRef>
              <c:f>Hoja1!$A$10</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6.3</c:v>
                </c:pt>
              </c:numCache>
            </c:numRef>
          </c:xVal>
          <c:yVal>
            <c:numRef>
              <c:f>Hoja1!$C$10</c:f>
              <c:numCache>
                <c:formatCode>0.0"x"</c:formatCode>
                <c:ptCount val="1"/>
                <c:pt idx="0">
                  <c:v>12.9</c:v>
                </c:pt>
              </c:numCache>
            </c:numRef>
          </c:yVal>
          <c:smooth val="0"/>
        </c:ser>
        <c:ser>
          <c:idx val="9"/>
          <c:order val="9"/>
          <c:tx>
            <c:strRef>
              <c:f>Hoja1!$A$11</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7.3</c:v>
                </c:pt>
              </c:numCache>
            </c:numRef>
          </c:xVal>
          <c:yVal>
            <c:numRef>
              <c:f>Hoja1!$C$11</c:f>
              <c:numCache>
                <c:formatCode>0.0"x"</c:formatCode>
                <c:ptCount val="1"/>
                <c:pt idx="0">
                  <c:v>19.1</c:v>
                </c:pt>
              </c:numCache>
            </c:numRef>
          </c:yVal>
          <c:smooth val="0"/>
        </c:ser>
        <c:ser>
          <c:idx val="10"/>
          <c:order val="10"/>
          <c:tx>
            <c:strRef>
              <c:f>Hoja1!$A$12</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Hoja1!$B$12</c:f>
              <c:numCache>
                <c:formatCode>0"%"</c:formatCode>
                <c:ptCount val="1"/>
                <c:pt idx="0">
                  <c:v>7</c:v>
                </c:pt>
              </c:numCache>
            </c:numRef>
          </c:xVal>
          <c:yVal>
            <c:numRef>
              <c:f>Hoja1!$C$12</c:f>
              <c:numCache>
                <c:formatCode>0.0"x"</c:formatCode>
                <c:ptCount val="1"/>
                <c:pt idx="0">
                  <c:v>14.6</c:v>
                </c:pt>
              </c:numCache>
            </c:numRef>
          </c:yVal>
          <c:smooth val="0"/>
        </c:ser>
        <c:ser>
          <c:idx val="11"/>
          <c:order val="11"/>
          <c:tx>
            <c:strRef>
              <c:f>Hoja1!$A$13</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Hoja1!$B$13</c:f>
              <c:numCache>
                <c:formatCode>0"%"</c:formatCode>
                <c:ptCount val="1"/>
                <c:pt idx="0">
                  <c:v>13.3</c:v>
                </c:pt>
              </c:numCache>
            </c:numRef>
          </c:xVal>
          <c:yVal>
            <c:numRef>
              <c:f>Hoja1!$C$13</c:f>
              <c:numCache>
                <c:formatCode>0.0"x"</c:formatCode>
                <c:ptCount val="1"/>
                <c:pt idx="0">
                  <c:v>18.9</c:v>
                </c:pt>
              </c:numCache>
            </c:numRef>
          </c:yVal>
          <c:smooth val="0"/>
        </c:ser>
        <c:axId val="10"/>
        <c:axId val="20"/>
      </c:scatterChart>
      <c:valAx>
        <c:axId val="10"/>
        <c:scaling>
          <c:orientation val="minMax"/>
          <c:max val="16"/>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1"/>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MarketAxess Holdings</c:v>
                </c:pt>
                <c:pt idx="1">
                  <c:v>With Intelligence</c:v>
                </c:pt>
                <c:pt idx="2">
                  <c:v>Preqin</c:v>
                </c:pt>
                <c:pt idx="3">
                  <c:v>Adenza</c:v>
                </c:pt>
                <c:pt idx="4">
                  <c:v>IHS Markit</c:v>
                </c:pt>
                <c:pt idx="5">
                  <c:v>Refinitiv</c:v>
                </c:pt>
                <c:pt idx="6">
                  <c:v>Black Knight</c:v>
                </c:pt>
              </c:strCache>
            </c:strRef>
          </c:cat>
          <c:val>
            <c:numRef>
              <c:f>Hoja1!$B$2:$B$8</c:f>
              <c:numCache>
                <c:formatCode>0.0"x"</c:formatCode>
                <c:ptCount val="7"/>
                <c:pt idx="0">
                  <c:v>13</c:v>
                </c:pt>
                <c:pt idx="3">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3033</c:v>
                </c:pt>
                <c:pt idx="1">
                  <c:v>3341</c:v>
                </c:pt>
                <c:pt idx="2">
                  <c:v>3636</c:v>
                </c:pt>
                <c:pt idx="3">
                  <c:v>3923</c:v>
                </c:pt>
                <c:pt idx="4">
                  <c:v>4218</c:v>
                </c:pt>
                <c:pt idx="5">
                  <c:v>4368</c:v>
                </c:pt>
                <c:pt idx="6">
                  <c:v>4499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18883</c:v>
                </c:pt>
                <c:pt idx="1">
                  <c:v>49286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95,10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49.33</c:v>
                </c:pt>
                <c:pt idx="1">
                  <c:v>91.22</c:v>
                </c:pt>
                <c:pt idx="2">
                  <c:v>105.84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95,10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(66,84 – 101,40)</c:v>
                </c:pt>
                <c:pt idx="1">
                  <c:v>Precio objetivo de los analistas (104,00 – 137,70)</c:v>
                </c:pt>
                <c:pt idx="2">
                  <c:v>Comparables: EV/EBITDA NTM (115,11 – 159,16)</c:v>
                </c:pt>
                <c:pt idx="3">
                  <c:v>Comparables: PER NTM (128,63 – 150,96)</c:v>
                </c:pt>
                <c:pt idx="4">
                  <c:v>Transacciones precedentes (EV/EBITDA) (80,74 – 206,82)</c:v>
                </c:pt>
                <c:pt idx="5">
                  <c:v>DCF (WACC y g ± 0,5) (72,44 – 118,03)</c:v>
                </c:pt>
                <c:pt idx="6">
                  <c:v>Escenarios (bajista – alcista) (49,33 – 105,84)</c:v>
                </c:pt>
                <c:pt idx="7">
                  <c:v>DCF con la prima implícita del mercado (4,2 %)</c:v>
                </c:pt>
                <c:pt idx="8">
                  <c:v>Precio actual (95,10)</c:v>
                </c:pt>
              </c:strCache>
            </c:strRef>
          </c:cat>
          <c:val>
            <c:numRef>
              <c:f>Hoja1!$B$2:$B$10</c:f>
              <c:numCache>
                <c:formatCode>#,##0</c:formatCode>
                <c:ptCount val="9"/>
                <c:pt idx="0">
                  <c:v>66.84</c:v>
                </c:pt>
                <c:pt idx="1">
                  <c:v>104</c:v>
                </c:pt>
                <c:pt idx="2">
                  <c:v>115.11</c:v>
                </c:pt>
                <c:pt idx="3">
                  <c:v>128.63</c:v>
                </c:pt>
                <c:pt idx="4">
                  <c:v>80.74</c:v>
                </c:pt>
                <c:pt idx="5">
                  <c:v>72.44</c:v>
                </c:pt>
                <c:pt idx="6">
                  <c:v>49.33</c:v>
                </c:pt>
                <c:pt idx="7">
                  <c:v>100.91</c:v>
                </c:pt>
                <c:pt idx="8">
                  <c:v>94.62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(66,84 – 101,40)</c:v>
                </c:pt>
                <c:pt idx="1">
                  <c:v>Precio objetivo de los analistas (104,00 – 137,70)</c:v>
                </c:pt>
                <c:pt idx="2">
                  <c:v>Comparables: EV/EBITDA NTM (115,11 – 159,16)</c:v>
                </c:pt>
                <c:pt idx="3">
                  <c:v>Comparables: PER NTM (128,63 – 150,96)</c:v>
                </c:pt>
                <c:pt idx="4">
                  <c:v>Transacciones precedentes (EV/EBITDA) (80,74 – 206,82)</c:v>
                </c:pt>
                <c:pt idx="5">
                  <c:v>DCF (WACC y g ± 0,5) (72,44 – 118,03)</c:v>
                </c:pt>
                <c:pt idx="6">
                  <c:v>Escenarios (bajista – alcista) (49,33 – 105,84)</c:v>
                </c:pt>
                <c:pt idx="7">
                  <c:v>DCF con la prima implícita del mercado (4,2 %)</c:v>
                </c:pt>
                <c:pt idx="8">
                  <c:v>Precio actual (95,10)</c:v>
                </c:pt>
              </c:strCache>
            </c:strRef>
          </c:cat>
          <c:val>
            <c:numRef>
              <c:f>Hoja1!$C$2:$C$10</c:f>
              <c:numCache>
                <c:formatCode>#,##0</c:formatCode>
                <c:ptCount val="9"/>
                <c:pt idx="0">
                  <c:v>34.56</c:v>
                </c:pt>
                <c:pt idx="1">
                  <c:v>33.69999999999999</c:v>
                </c:pt>
                <c:pt idx="2">
                  <c:v>44.05</c:v>
                </c:pt>
                <c:pt idx="3">
                  <c:v>22.330000000000013</c:v>
                </c:pt>
                <c:pt idx="4">
                  <c:v>126.08</c:v>
                </c:pt>
                <c:pt idx="5">
                  <c:v>45.59</c:v>
                </c:pt>
                <c:pt idx="6">
                  <c:v>56.510000000000005</c:v>
                </c:pt>
                <c:pt idx="7">
                  <c:v>35.34</c:v>
                </c:pt>
                <c:pt idx="8">
                  <c:v>0.9599999999999937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