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Roper Technologies, Inc.</w:t>
      </w:r>
    </w:p>
    <w:p>
      <w:pPr>
        <w:spacing w:after="60"/>
        <w:rPr>
          <w:color w:val="52514E"/>
          <w:sz w:val="22"/>
          <w:szCs w:val="22"/>
        </w:rPr>
      </w:pPr>
      <w:r>
        <w:rPr>
          <w:color w:val="52514E"/>
          <w:sz w:val="22"/>
          <w:szCs w:val="22"/>
        </w:rPr>
        <w:t xml:space="preserve">ROP · Nasdaq Global Select Market · ISIN US7766961061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438,14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530,24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+21,8 % (base +22,2 %)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476,07 USD · mercado 555,64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43.595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Roper Technologies,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ROP / US7766961061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Sarasota (Florida) · 1981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www.ropertech.com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438,14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305,96 – 476,53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43.595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52.627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313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530,24 USD</w:t>
      </w:r>
      <w:r>
        <w:t xml:space="preserve"> frente a 438,14 · Rentabilidad a 12 meses </w:t>
      </w:r>
      <w:r>
        <w:rPr>
          <w:b/>
          <w:bCs/>
        </w:rPr>
        <w:t xml:space="preserve">+21,8 % (base +22,2 %)</w:t>
      </w:r>
      <w:r>
        <w:t xml:space="preserve"> · Valor intrínseco 476,07 USD · con la prima implícita del mercado: 555,64 (+26,8 %) · Alcista / bajista +25,6 % / -37,9 %</w:t>
      </w:r>
    </w:p>
    <w:p>
      <w:pPr>
        <w:spacing w:after="100"/>
      </w:pPr>
      <w:r>
        <w:rPr>
          <w:b/>
        </w:rPr>
        <w:t xml:space="preserve">La recomendación y por qué.</w:t>
      </w:r>
      <w:r>
        <w:t xml:space="preserve"> Mantener, con convicción baja. La regla a 12 meses da Comprar: objetivo de 530,24 USD (nuestro BPA 2028e por la regla común de múltiplos), rentabilidad ponderada del 21,8 % y del 22,2 % en el base, y valor intrínseco de 476,07 USD, un 8,7 % sobre el precio de 438,14. El objetivo medio de los analistas (460,33) queda dentro de nuestro rango, un 13 % bajo nuestro objetivo [31]. Nos apartamos de la regla porque la compra no es robusta: la v2 de control da un 11,2 % y con un BPA un 10 % peor la v3 cae al 9,7 %. La convicción es baja porque la regla con nuestro WACC da Mantener y la relativa Comprar; subiría con una guía 2027 de orgánico ≥ 6 %.</w:t>
      </w:r>
    </w:p>
    <w:p>
      <w:pPr>
        <w:spacing w:after="100"/>
      </w:pPr>
      <w:r>
        <w:rPr>
          <w:b/>
        </w:rPr>
        <w:t xml:space="preserve">Qué ha cambiado desde el 14-oct.</w:t>
      </w:r>
      <w:r>
        <w:t xml:space="preserve"> El 3T26 (22-oct) fue mejor de lo esperado: orgánico del 7 %, BPA ajustado de 5,89 USD frente a 5,79 de consenso y guía elevada a 22,35-22,40 [9, 11]. Subimos nuestro BPA 2028e de 19,08 a 20,00 USD y la deuda neta baja a 9.409 M con el cobro de Indicor. Pero la acción ha subido un 19 % (de 368,41 a 438,14): la ponderada apenas cambia (22,3 % antes) porque el objetivo de la regla se mueve con el precio, y el DCF inverso pasa de descontar un 1,6 % de crecimiento a un 3,8 %.</w:t>
      </w:r>
    </w:p>
    <w:p>
      <w:pPr>
        <w:spacing w:after="100"/>
      </w:pPr>
      <w:r>
        <w:rPr>
          <w:b/>
        </w:rPr>
        <w:t xml:space="preserve">El negocio.</w:t>
      </w:r>
      <w:r>
        <w:t xml:space="preserve"> Unas 30 empresas de software vertical y productos de nicho con margen EBITDA del 39,7 %, un 67 % de ingresos recurrentes o repetitivos y caja libre del 31 % de las ventas [1, 2]. El ROIC publicado es del 6,4 % frente a un WACC del 8,59 % (−2,2 puntos) porque el 74 % del capital es fondo de comercio; sin él, 24,4 %. Sostenibilidad «en parte»: el orgánico del 5-6 % no necesita capital y lo respalda el poder de precios (margen bruto del 70,1 %), pero la IA amenaza los negocios documentales.</w:t>
      </w:r>
    </w:p>
    <w:p>
      <w:pPr>
        <w:spacing w:after="100"/>
      </w:pPr>
      <w:r>
        <w:rPr>
          <w:b/>
        </w:rPr>
        <w:t xml:space="preserve">Finanzas.</w:t>
      </w:r>
      <w:r>
        <w:t xml:space="preserve"> Ventas de los últimos 12 meses de 8.435 M y EBITDA de 3.293 M; deuda neta de 2,9 veces el EBITDA, medio punto menos que en junio, y ~600 M más de Xylem en el 4T26 [9, 10]. La recompra se paró en el 3T26 para comprar empresas (436 M) con una capacidad de más de 6.000 M.</w:t>
      </w:r>
    </w:p>
    <w:p>
      <w:pPr>
        <w:spacing w:after="100"/>
      </w:pPr>
      <w:r>
        <w:rPr>
          <w:b/>
        </w:rPr>
        <w:t xml:space="preserve">Equipo y gobierno.</w:t>
      </w:r>
      <w:r>
        <w:t xml:space="preserve"> Presidenta independiente y nueve independientes de diez; la dirección ha subido la guía tres veces en 2026 [9]. El incentivo a largo plazo usa el beneficio ajustado sin la amortización de lo comprado, lo que premia comprar. El director financiero avisó la venta de 12.000 acciones de opciones el 23-oct [28].</w:t>
      </w:r>
    </w:p>
    <w:p>
      <w:pPr>
        <w:spacing w:after="100"/>
      </w:pPr>
      <w:r>
        <w:rPr>
          <w:b/>
        </w:rPr>
        <w:t xml:space="preserve">Valoración.</w:t>
      </w:r>
      <w:r>
        <w:t xml:space="preserve"> El DCF da 469,81 USD con un WACC del 8,59 % y 575,95 con la prima del mercado. Cotiza a 16,0 veces el EBITDA, un 30 % por debajo de su media de 2022-2025, y a 14,9 veces el de los próximos 12 meses frente a 17,4x de los comparables. Coincidimos con el consenso en el BPA; la diferencia con los analistas está en el múltiplo.</w:t>
      </w:r>
    </w:p>
    <w:p>
      <w:pPr>
        <w:spacing w:after="100"/>
      </w:pPr>
      <w:r>
        <w:rPr>
          <w:b/>
        </w:rPr>
        <w:t xml:space="preserve">Riesgos y catalizadores.</w:t>
      </w:r>
      <w:r>
        <w:t xml:space="preserve"> El bajista del DCF (272,01 USD, −37,9 %) es la erosión por IA, con un 30 % de probabilidad; a 12 meses, 367,43 (−15,3 %). Catalizadores: cobro de Xylem (4T26) y guía 2027 a finales de enero. La subida del 20 % en un mes tiene causa propia (resultados) y la regla 13 no cambia la señal; los foros pasan a positivo sin euforia.</w:t>
      </w:r>
    </w:p>
    <w:p>
      <w:pPr>
        <w:spacing w:after="100"/>
      </w:pPr>
      <w:r>
        <w:rPr>
          <w:b/>
        </w:rPr>
        <w:t xml:space="preserve">Qué cambiaría la decisión.</w:t>
      </w:r>
      <w:r>
        <w:t xml:space="preserve"> La regla vigente da Comprar por debajo de 464,17 USD; la v2, por debajo de 423,69, y la compra robusta (con BPA −10 %), por debajo de 418,19 USD: ahí compraríamos. Por encima de 593,11 USD, venderíamos. Un orgánico de Application Software por debajo del 3 % nos llevaría a Vender.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530,24 USD</w:t>
      </w:r>
      <w:r>
        <w:t xml:space="preserve"> (rentabilidad +21,8 % (base +22,2 %)) · Valor intrínseco: 476,07 USD (+8,7 % sobre 438,14) · con la prima implícita del mercado: 555,64 (+26,8 %)</w:t>
      </w:r>
    </w:p>
    <w:p>
      <w:pPr>
        <w:spacing w:after="100"/>
      </w:pPr>
      <w:r>
        <w:t xml:space="preserve">Roper es un conglomerado de unas 30 empresas de software vertical (78 % de las ventas) y productos de nicho, con un 67 % de ingresos recurrentes o repetitivos, margen EBITDA del 39,7 % y una caja libre del 31 % de las ventas (2.466 M en 2025) [1, 2]. Ha crecido un 13 % anual desde 2021, mitad orgánico y mitad comprado; en el 3T26 aceleró al 7 % orgánico con el software recurrente al 8 % y subió por tercera vez la guía de BPA [9].</w:t>
      </w:r>
    </w:p>
    <w:p>
      <w:pPr>
        <w:spacing w:after="100"/>
      </w:pPr>
      <w:r>
        <w:t xml:space="preserve">El precio (438,14 USD, un 19 % más que el 14-oct) ya descuenta buena parte de eso: el DCF inverso pide un 3,8 % anual de crecimiento en 2027-2035 frente al 4,6 % de nuestro base. Cotiza a 24,2 veces nuestro BPA de 2027, por debajo de su mediana adelantada de 37,2 veces, y a 16,0 veces el EBITDA, un 30 % por debajo de su media de 2022-2025.</w:t>
      </w:r>
    </w:p>
    <w:p>
      <w:pPr>
        <w:spacing w:after="100"/>
      </w:pPr>
      <w:r>
        <w:t xml:space="preserve">Para invertir hay que creer que la IA será más un módulo que Roper vende que un sustituto de sus programas, y además que el mercado le devolverá parte del múltiplo perdido. Las cifras de 2026 apoyan lo primero; lo segundo ya ha empezado y es lo que hace la regla a 12 meses, pero con nuestro coste de capital el margen de seguridad es pequeño.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530,24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 × 17,25 = 367,43 · 26,6x × 20,00 = 532,00 · 35,9x × 21,45 = 770,06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 / 22,2 %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460,33 (nuestro base +15,6 %)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476,07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 / -37,9 %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frente a 8,6 % y 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555,64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 frente a 11,5 %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(5,0 %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464,17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464,17 y 593,11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593,11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(ponderada del 21,8 %, base del 22,2 % y valor intrínseco de 476,07 por encima del precio), pero nos quedamos en Mantener por tres motivos que la regla no recoge. Primero, la prueba de robustez sale frágil: con la regla v2 de control la ponderada es del 11,2 % y con un BPA un 10 % peor la v3 cae al 9,7 %, así que la compra no aguanta ni el método de control ni un error moderado de BPA. Segundo, la rentabilidad de la v3 sale de que el PER de hoy suba un 10 % por el tope de la regla, y el objetivo se mueve con el precio (elasticidad de 0,82): tras subir un 19 % desde el informe anterior, la rentabilidad casi no ha cambiado. Tercero, la calidad con el capital publicado no pasa: ROIC del 6,4 % frente a un WACC del 8,59 %. Además, nuestro valor intrínseco (+8,7 %) ya no da margen con nuestro WACC.</w:t>
      </w:r>
    </w:p>
    <w:p>
      <w:pPr>
        <w:pStyle w:val="Heading2"/>
      </w:pPr>
      <w:r>
        <w:t xml:space="preserve">Qué cambiaría la recomendación</w:t>
      </w:r>
    </w:p>
    <w:p>
      <w:pPr>
        <w:pStyle w:val="ListParagraph"/>
        <w:numPr>
          <w:ilvl w:val="0"/>
          <w:numId w:val="2"/>
        </w:numPr>
        <w:spacing w:after="60"/>
      </w:pPr>
      <w:r>
        <w:t xml:space="preserve">Por debajo de 423,69 USD también la v2 de control daría Comprar, y por debajo de 418,19 USD la compra aguantaría un BPA un 10 % peor: ahí pasaríamos a Comprar (con la calidad como reserva).</w:t>
      </w:r>
    </w:p>
    <w:p>
      <w:pPr>
        <w:pStyle w:val="ListParagraph"/>
        <w:numPr>
          <w:ilvl w:val="0"/>
          <w:numId w:val="2"/>
        </w:numPr>
        <w:spacing w:after="60"/>
      </w:pPr>
      <w:r>
        <w:t xml:space="preserve">La regla vigente da Comprar por debajo de 464,17 USD (el precio ya lo está); por encima de 593,11 USD la rentabilidad a 12 meses caería por debajo del umbral de venta.</w:t>
      </w:r>
    </w:p>
    <w:p>
      <w:pPr>
        <w:pStyle w:val="ListParagraph"/>
        <w:numPr>
          <w:ilvl w:val="0"/>
          <w:numId w:val="2"/>
        </w:numPr>
        <w:spacing w:after="60"/>
      </w:pPr>
      <w:r>
        <w:t xml:space="preserve">Si la guía 2027 (finales de enero) da un orgánico ≥ 6 % y un BPA ajustado ≥ 24,5 USD, subiríamos la convicción y revisaríamos los escenarios.</w:t>
      </w:r>
    </w:p>
    <w:p>
      <w:pPr>
        <w:pStyle w:val="ListParagraph"/>
        <w:numPr>
          <w:ilvl w:val="0"/>
          <w:numId w:val="2"/>
        </w:numPr>
        <w:spacing w:after="60"/>
      </w:pPr>
      <w:r>
        <w:t xml:space="preserve">Si el orgánico de Application Software baja del 3 % o la guía de 2027 queda por debajo del 4 %, pasaríamos a Vender.</w:t>
      </w:r>
    </w:p>
    <w:p>
      <w:pPr>
        <w:pStyle w:val="ListParagraph"/>
        <w:numPr>
          <w:ilvl w:val="0"/>
          <w:numId w:val="2"/>
        </w:numPr>
        <w:spacing w:after="60"/>
      </w:pPr>
      <w:r>
        <w:t xml:space="preserve">Una compra de más de 3.000 M a más de 25 veces el EBITDA, con la deuda neta por encima de 3,5 veces, bajaría la recomendación.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Tras el 3T26, que Roper sigue creciendo cerca del 4 % anual a largo plazo con márgenes algo menores: la IA ya no se descuenta como amenaza grave, pero el múltiplo (24x el BPA adelantado) sigue lejos de los 37x de su historia.</w:t>
      </w:r>
    </w:p>
    <w:p>
      <w:pPr>
        <w:keepNext/>
        <w:spacing w:after="100"/>
      </w:pPr>
      <w:r>
        <w:rPr>
          <w:b/>
          <w:bCs/>
        </w:rPr>
        <w:t xml:space="preserve">Lo que creemos nosotros.</w:t>
      </w:r>
    </w:p>
    <w:p>
      <w:pPr>
        <w:spacing w:after="100"/>
      </w:pPr>
      <w:r>
        <w:t xml:space="preserve">Coincidimos en las cifras (nuestro BPA está a un 1-3 % del consenso) y en que la erosión por IA será parcial y lenta. Discrepamos poco: nuestro DCF da 469,81 USD, un 7 % por encima del precio, y la regla de múltiplos, 530,24 a 12 meses.</w:t>
      </w:r>
    </w:p>
    <w:p>
      <w:pPr>
        <w:keepNext/>
        <w:spacing w:after="100"/>
      </w:pPr>
      <w:r>
        <w:rPr>
          <w:b/>
          <w:bCs/>
        </w:rPr>
        <w:t xml:space="preserve">Por qué podemos tener razón.</w:t>
      </w:r>
    </w:p>
    <w:p>
      <w:pPr>
        <w:spacing w:after="100"/>
      </w:pPr>
      <w:r>
        <w:t xml:space="preserve">Los indicadores que adelantarían la erosión (software recurrente +8 % orgánico, retención bruta a mediados del 90 %, margen bruto del 70,1 %) mejoran [9, 10]. Pero no tenemos datos de puestos por cliente ni ingresos de IA del grupo, y el precio ya ha recogido la mejora: no hay una visión diferencial fuerte.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38,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Resultados que aceleran</w:t>
      </w:r>
      <w:r>
        <w:t xml:space="preserve">: orgánico del 7 % en el 3T26, BPA ajustado de 5,89 USD frente a 5,79 de consenso y guía elevada tres veces en 2026 [9, 11].</w:t>
      </w:r>
    </w:p>
    <w:p>
      <w:pPr>
        <w:pStyle w:val="ListParagraph"/>
        <w:numPr>
          <w:ilvl w:val="0"/>
          <w:numId w:val="2"/>
        </w:numPr>
        <w:spacing w:after="60"/>
      </w:pPr>
      <w:r>
        <w:rPr>
          <w:b/>
        </w:rPr>
        <w:t xml:space="preserve">Caja libre alta y estable</w:t>
      </w:r>
      <w:r>
        <w:t xml:space="preserve">: 2.466 M en 2025 (31 % de las ventas), un 5,8 % de la capitalización.</w:t>
      </w:r>
    </w:p>
    <w:p>
      <w:pPr>
        <w:pStyle w:val="ListParagraph"/>
        <w:numPr>
          <w:ilvl w:val="0"/>
          <w:numId w:val="2"/>
        </w:numPr>
        <w:spacing w:after="60"/>
      </w:pPr>
      <w:r>
        <w:rPr>
          <w:b/>
        </w:rPr>
        <w:t xml:space="preserve">Deuda a la baja</w:t>
      </w:r>
      <w:r>
        <w:t xml:space="preserve">: deuda neta de 9.409 M (2,9 veces el EBITDA) tras cobrar 1.239 M de Indicor, y otros ~600 M de Xylem en el 4T26 [9, 10].</w:t>
      </w:r>
    </w:p>
    <w:p>
      <w:pPr>
        <w:pStyle w:val="ListParagraph"/>
        <w:numPr>
          <w:ilvl w:val="0"/>
          <w:numId w:val="2"/>
        </w:numPr>
        <w:spacing w:after="60"/>
      </w:pPr>
      <w:r>
        <w:rPr>
          <w:b/>
        </w:rPr>
        <w:t xml:space="preserve">Múltiplo aún bajo frente a su historia</w:t>
      </w:r>
      <w:r>
        <w:t xml:space="preserve">: 16,0 veces el EBITDA, un 30 % por debajo de su media de 2022-2025.</w:t>
      </w:r>
    </w:p>
    <w:p>
      <w:pPr>
        <w:pStyle w:val="ListParagraph"/>
        <w:numPr>
          <w:ilvl w:val="0"/>
          <w:numId w:val="2"/>
        </w:numPr>
        <w:spacing w:after="60"/>
      </w:pPr>
      <w:r>
        <w:rPr>
          <w:b/>
        </w:rPr>
        <w:t xml:space="preserve">Agentes de IA ya a la venta</w:t>
      </w:r>
      <w:r>
        <w:t xml:space="preserve">: 17-18 de sus 21 negocios de software, con margen bruto de software [10].</w:t>
      </w:r>
    </w:p>
    <w:p>
      <w:pPr>
        <w:pStyle w:val="Heading2"/>
      </w:pPr>
      <w:r>
        <w:t xml:space="preserve">En contra</w:t>
      </w:r>
    </w:p>
    <w:p>
      <w:pPr>
        <w:pStyle w:val="ListParagraph"/>
        <w:numPr>
          <w:ilvl w:val="0"/>
          <w:numId w:val="2"/>
        </w:numPr>
        <w:spacing w:after="60"/>
      </w:pPr>
      <w:r>
        <w:rPr>
          <w:b/>
        </w:rPr>
        <w:t xml:space="preserve">ROIC publicado por debajo del WACC</w:t>
      </w:r>
      <w:r>
        <w:t xml:space="preserve">: 6,4 % frente a 8,59 %, por 21.555 M de fondo de comercio de compras.</w:t>
      </w:r>
    </w:p>
    <w:p>
      <w:pPr>
        <w:pStyle w:val="ListParagraph"/>
        <w:numPr>
          <w:ilvl w:val="0"/>
          <w:numId w:val="2"/>
        </w:numPr>
        <w:spacing w:after="60"/>
      </w:pPr>
      <w:r>
        <w:rPr>
          <w:b/>
        </w:rPr>
        <w:t xml:space="preserve">Poco margen de valor</w:t>
      </w:r>
      <w:r>
        <w:t xml:space="preserve">: el DCF da 469,81 USD (+7,2 %) y el precio descuenta ya un 3,8 % de crecimiento anual frente a nuestro 4,6 %.</w:t>
      </w:r>
    </w:p>
    <w:p>
      <w:pPr>
        <w:pStyle w:val="ListParagraph"/>
        <w:numPr>
          <w:ilvl w:val="0"/>
          <w:numId w:val="2"/>
        </w:numPr>
        <w:spacing w:after="60"/>
      </w:pPr>
      <w:r>
        <w:rPr>
          <w:b/>
        </w:rPr>
        <w:t xml:space="preserve">Riesgo de IA en un 20 % de las ventas</w:t>
      </w:r>
      <w:r>
        <w:t xml:space="preserve">: despachos (Aderant) y propuestas (Deltek) son las tareas que los agentes ya automatizan.</w:t>
      </w:r>
    </w:p>
    <w:p>
      <w:pPr>
        <w:pStyle w:val="ListParagraph"/>
        <w:numPr>
          <w:ilvl w:val="0"/>
          <w:numId w:val="2"/>
        </w:numPr>
        <w:spacing w:after="60"/>
      </w:pPr>
      <w:r>
        <w:rPr>
          <w:b/>
        </w:rPr>
        <w:t xml:space="preserve">Prueba de robustez frágil</w:t>
      </w:r>
      <w:r>
        <w:t xml:space="preserve">: con la regla v2 de control la ponderada a 12 meses es del 11,2 % y con un BPA un 10 % peor, del 9,7 %.</w:t>
      </w:r>
    </w:p>
    <w:p>
      <w:pPr>
        <w:pStyle w:val="ListParagraph"/>
        <w:numPr>
          <w:ilvl w:val="0"/>
          <w:numId w:val="2"/>
        </w:numPr>
        <w:spacing w:after="60"/>
      </w:pPr>
      <w:r>
        <w:rPr>
          <w:b/>
        </w:rPr>
        <w:t xml:space="preserve">Recompra parada y vuelta a comprar empresas</w:t>
      </w:r>
      <w:r>
        <w:t xml:space="preserve">: capacidad de más de 6.000 M con un ROIC incremental del 9,5 % [10].</w:t>
      </w:r>
    </w:p>
    <w:p>
      <w:pPr>
        <w:pStyle w:val="Heading2"/>
      </w:pPr>
      <w:r>
        <w:t xml:space="preserve">Qué tiene que pasar para que la tesis funcione</w:t>
      </w:r>
    </w:p>
    <w:p>
      <w:pPr>
        <w:spacing w:after="100"/>
      </w:pPr>
      <w:r>
        <w:t xml:space="preserve">La tesis depende de que la IA no erosione el núcleo de ingresos recurrentes y de que el múltiplo siga recuperándose. La señal que diría que la IA sí resta: software recurrente creciendo menos del 6 % orgánico o retención bruta por debajo del 90 %. La de capital: una compra grande a más de 25 veces el EBITDA con más deuda. La de precio: la guía 2027 de finales de enero por debajo de un orgánico del 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ya resta.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recurrente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núcleo de la tesis.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veces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de capital con la capacidad de 6.000 M.</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 (BPA 2027e)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22x o &gt; 30x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rentabilidad a 12 meses depende de que el múltiplo siga recuperándose.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16,0x / 14,9x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27,6x / 22,0x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 · 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Roper nació en 1981 como fabricante de bombas industriales en Georgia y salió a bolsa en 1992. Con Brian Jellison (2001-2018) se convirtió en un comprador en serie que reinvertía la caja de negocios de nicho en compras cada vez más de software. Neil Hunn, consejero delegado desde 2018, completó el giro: en 2022 vendió TransCore, Zetec, CIVCO y la mayoría del negocio industrial (Indicor, a CD&amp;R) por más de 5.500 M y hoy el 78 % de las ventas es software vertical [1, 4]. En 2023 pasó a cotizar en el Nasdaq. Desde finales de 2025 combina compras con recompras, tras la caída de la acción por el miedo a la IA [3]. En 2026 Indicor vendió su instrumentación a AMETEK y vende las bombas a Xylem: la participación industrial que quedaba de 2022 se convierte en caja [9,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Roper Industries (bombas industriales).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Jellison, consejero delegado: empieza la estrategia de compras de nichos con caja libre.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Deltek (2.800 M), su mayor compra de software hasta entonces.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Neil Hunn sucede a Jellison.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TransCore e industrial (5.562 M de cobros); compra de Frontline Education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CentralReach (1.850 M) y Subsplash (800 M); primer programa de recompra (3.000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9,0 M de acciones en tres trimestres; Indicor vende su instrumentación a AMETEK (5.000 M de valor empresa) y sus bombas a Xylem (1.460 M); 17-18 de sus 21 negocios de software venden ya agentes de IA [3, 4, 9, 10, 12].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Roper es un conglomerado de unas 30 empresas de nicho que gestiona de forma descentralizada. Application Software (57 % de las ventas de 2025) vende programas de gestión a sectores concretos: ingeniería y contratistas públicos (Deltek), despachos de abogados (Aderant), corredores de seguros (Vertafore), hospitales (Strata, Clinisys), guarderías (Procare), universidades (CBORD/Transact) y terapia del autismo (CentralReach). Network Software (20 %) son redes con efectos de red: la bolsa de cargas de camiones DAT, ConstructConnect en construcción, compras agrupadas para residencias y Subsplash para iglesias. Technology Enabled Products (23 %) fabrica productos de medición médica (Northern Digital, Verathon), contadores de agua (Neptune) y control de accesos [1].</w:t>
      </w:r>
    </w:p>
    <w:p>
      <w:pPr>
        <w:pStyle w:val="Heading2"/>
      </w:pPr>
      <w:r>
        <w:t xml:space="preserve">Cómo gana dinero</w:t>
      </w:r>
    </w:p>
    <w:p>
      <w:pPr>
        <w:spacing w:after="100"/>
      </w:pPr>
      <w:r>
        <w:t xml:space="preserve">El 57 % de las ventas son ingresos recurrentes de software (suscripciones, licencias anuales y mantenimiento) y otro 11 % son comisiones por transacción que se repiten; solo el 10 % es software no recurrente y el 22 % producto [1]. El margen bruto es del 69 % y el margen de los segmentos, del 32 %: Network Software llega al 43,5 % y Application Software al 26,8 % [1]. El crecimiento orgánico (5-6 %) sale de subidas de precio, venta de módulos y paso a la nube; el resto lo aportan las compras, pagadas con la caja libre (31 % de las ventas). Hay poca estacionalidad; los cobros anticipados de enero hacen negativo el circulante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Application 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Network 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Technology Enabled Products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Application 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Network 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Technology Enabled Products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pStyle w:val="Heading2"/>
      </w:pPr>
      <w:r>
        <w:t xml:space="preserve">Clientes, recurrencia y poder de precios</w:t>
      </w:r>
    </w:p>
    <w:p>
      <w:pPr>
        <w:spacing w:after="100"/>
      </w:pPr>
      <w:r>
        <w:t xml:space="preserve">Ningún cliente pesa de forma relevante: son decenas de miles de empresas medianas, despachos, hospitales y administraciones en nichos donde el producto de Roper suele ser el líder [1]. Los contratos son mayoritariamente anuales con renovación; la cartera a 12 meses (3.425 M a cierre de 2025) cubre el 43 % de las ventas del año siguiente [1]. El poder de precios se ve en la estabilidad del margen bruto (69 % en 2023-2025) pese a la inflación salarial, y en el crecimiento de los ingresos recurrentes del 12,7 % en 2025. La debilidad está en los negocios ligados al gasto público (Deltek, tras los recortes de contratos federales) y en Neptune [1, 3]. En el 3T26 la dirección dio una retención bruta del software empresarial «a mediados del 90 %» y un orgánico recurrente del 8 %; Deltek tuvo buenas contrataciones en la nube y Neptune sufrió la mezcla hacia contadores mecánicos más baratos [10].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(2025); 7 %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 (3T26 frente a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de ~6 %; software recurrente orgánico +8 % en el 3T26 [1, 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 software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3.976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57 % de las ventas; con los «reoccurring» (transacciones) llega al 67 %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a 12 meses (backlog)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3.286 M a junio de 2026, +11 % interanual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ajustada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2.466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 de las ventas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en circulación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 M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 M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del 1S26; ninguna en el 3T26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Retención bruta del software empresarial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mediados del 90 %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mediados del 90 %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no da la retención neta [10].</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vertical: aplicaciones específicas de un sector (sanidad, administración y contratistas públicos, despachos, seguros, educación, construcción, transporte) vendidas a organizaciones en todo el mundo, con peso de Norteamérica [13]. No hay estadística oficial. Usamos Mordor Intelligence (147.110 M USD en 2025) [13] y lo contrastamos con Grand View Research (150.250 M USD en 2024) [14]; ambos dan crecimientos del 11,5-12,5 % anual. Son estimaciones privadas que sirven como orden de magnitud. El segmento de productos de Roper (23 % de las ventas) queda fuera de este perímetro.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147.110 M USD en 2025 según Mordor Intelligence [13]; ≈ 150.250 M USD en 2024 según Grand View Research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USD (Mordor Intelligenc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 procesos en nichos (sanidad, sector público, pymes)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Previsiones del 11,5 % anual en 2026-2031 [13] y del 12,5 % en 2025-2033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SaaS y venta de módulos (incluidos los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recurrentes de software de Roper crecieron un 12,7 %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y agentes: menor barrera de entrada y menos usuarios por cliente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3-feb-2026 los complementos de Claude Cowork hundieron el software (−16 % Thomson Reuters) [16]; el ETF IGV llegó a caer un 18 % en el año en marzo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Presupuestos públicos y de contratistas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Roper atribuye la caída del ingreso no recurrente de Deltek al mercado de contratación federal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Oferta de empresas en venta del capital riesgo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valoraciones privadas del software han bajado tras la caída de las cotizadas en 2026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Nichos con uno o dos líderes; los márgenes de segmento de Roper (32 %) se mantienen desde 2023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pequeños y muy numerosos, con costes de cambio altos (datos, flujos de trabajo, formación).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principal es el personal; la nube (AWS, Azure) es una mercancía, aunque los modelos de IA añaden un proveedor nuevo con poder.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abarata escribir software: un competidor nativo en IA puede replicar funciones en meses; la barrera que queda son los datos, la integración y la confianza del regulador [15,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agentes de IA generalistas pueden hacer parte del trabajo (revisión de documentos jurídicos, propuestas) sin el programa vertical [16].</w:t>
            </w:r>
          </w:p>
        </w:tc>
      </w:tr>
    </w:tbl>
    <w:p>
      <w:pPr>
        <w:spacing w:after="160" w:before="0"/>
      </w:pPr>
    </w:p>
    <w:p>
      <w:pPr>
        <w:pStyle w:val="Heading2"/>
      </w:pPr>
      <w:r>
        <w:t xml:space="preserve">Ciclo</w:t>
      </w:r>
    </w:p>
    <w:p>
      <w:pPr>
        <w:spacing w:after="100"/>
      </w:pPr>
      <w:r>
        <w:t xml:space="preserve">El software vertical crece poco con el ciclo: Roper mantuvo crecimiento orgánico en software en 2020 y en 2022 subió el 6-8 % [1]. Lo cíclico es el producto (Neptune, medición) y el gasto público. Hoy el indicador que manda no es el ciclo económico sino la percepción de la IA: el IGV cayó con fuerza en el 1T26 y el múltiplo de Roper se desplomó sin que lo hicieran sus resultados [15]; desde julio el IGV ha recuperado un 21,6 % en tres meses y Roper un 16,8 %, la mitad del último mes tras su 3T26 [23].</w:t>
      </w:r>
    </w:p>
    <w:p>
      <w:pPr>
        <w:pStyle w:val="Heading2"/>
      </w:pPr>
      <w:r>
        <w:t xml:space="preserve">Regulación</w:t>
      </w:r>
    </w:p>
    <w:p>
      <w:pPr>
        <w:spacing w:after="100"/>
      </w:pPr>
      <w:r>
        <w:t xml:space="preserve">Los negocios de salud (Clinisys, CentralReach, Strata) dependen de la regulación de datos sanitarios de EE. UU. (HIPAA) y de los reembolsos de Medicaid en terapia del autismo; Deltek depende de las reglas de contratación federal (FAR), que la administración actual revisa y recorta [1]. No hay regulación específica de la IA en EE. UU. que afecte a sus cifras.</w:t>
      </w:r>
    </w:p>
    <w:p>
      <w:pPr>
        <w:pStyle w:val="Heading2"/>
      </w:pPr>
      <w:r>
        <w:t xml:space="preserve">Tendencias y disrupción</w:t>
      </w:r>
    </w:p>
    <w:p>
      <w:pPr>
        <w:spacing w:after="100"/>
      </w:pPr>
      <w:r>
        <w:t xml:space="preserve">La tendencia que decide es la IA generativa. Juega en dos sentidos: Roper puede vender módulos de IA sobre sus datos propios (17-18 de sus 21 negocios de software tienen agentes a la venta; Vertafore ha lanzado 12 este año y en CentralReach una parte alta de las contrataciones ya son de IA) [10], pero la IA reduce la barrera de entrada y puede reducir el número de puestos que pagan licencia. Los negocios con efectos de red (DAT) o con datos regulados (sanidad, seguros) parecen más protegidos que los de productividad documental (Aderant en despachos, Deltek en propuestas).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o número dos en la mayoría de sus nichos (Deltek en contratistas públicos, Aderant en grandes despachos, DAT en fletes, Vertafore en corredores de seguros); en el conjunto del software vertical su cuota es ~4 % (6.130 M de software sobre ~147.000 M) [1,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Software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 en serie de software vertical (cientos de compras pequeñas); compite por los mismos activos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Tyler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TYL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para administraciones locales; rival en tribunales y servicios públicos (Neptune/Muni-Link)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VEEV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vertical de ciencias de la vida; referencia de margen y de crecimiento orgánico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para pymes y contribuyentes; misma exposición al riesgo de IA en tareas administrativas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AMETEK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Conglomerado de instrumentos de nicho; compite con Technology Enabled Products y compra Indicor Instrumentation [4,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Fortive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Conglomerado de instrumentación y software (tras escindir Ralliant); modelo de gestión parecido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Network Software (20 % de las ventas, margen 43,5 %): DAT y ConstructConnect valen más cuanto más cargadores y contratistas tienen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gestión con datos históricos y flujos de trabajo del cliente; ingresos recurrentes +12,7 % en 2025 y margen bruto estable del 69 %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de nicho y datos propios; pocas patentes relevantes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Ventaja de capital: coste de la deuda del 3,8 % y capacidad de compra; no de coste operativo.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pequeños donde caben uno o dos proveedores rentables [1].</w:t>
            </w:r>
          </w:p>
        </w:tc>
      </w:tr>
    </w:tbl>
    <w:p>
      <w:pPr>
        <w:spacing w:after="160" w:before="0"/>
      </w:pPr>
    </w:p>
    <w:p>
      <w:pPr>
        <w:pStyle w:val="Heading2"/>
      </w:pPr>
      <w:r>
        <w:t xml:space="preserve">Amenazas</w:t>
      </w:r>
    </w:p>
    <w:p>
      <w:pPr>
        <w:spacing w:after="100"/>
      </w:pPr>
      <w:r>
        <w:t xml:space="preserve">La amenaza principal es la IA: abarata replicar funciones y puede sustituir parte del trabajo que hoy se hace con el programa (revisión de contratos en despachos, propuestas en contratistas). La caída del 3-feb-2026 (−6,4 % Roper, −16 % Thomson Reuters) muestra que el mercado ve probable ese escenario [16]. Le damos una probabilidad media de erosión parcial en cinco años en los negocios documentales (Aderant, parte de Deltek, ~20 % de las ventas) y baja en los de red, datos regulados o productos físicos. Segunda amenaza: la competencia por compras con el capital riesgo, que encarece los precios.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13,1 %</w:t>
      </w:r>
      <w:r>
        <w:t xml:space="preserve">, EBITDA </w:t>
      </w:r>
      <w:r>
        <w:rPr>
          <w:b/>
          <w:bCs/>
        </w:rPr>
        <w:t xml:space="preserve">14,0 %</w:t>
      </w:r>
      <w:r>
        <w:t xml:space="preserve">, BPA </w:t>
      </w:r>
      <w:r>
        <w:rPr>
          <w:b/>
          <w:bCs/>
        </w:rPr>
        <w:t xml:space="preserve">17,1 %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de operaciones continuadas pasan de 4.834 M USD en 2021 a 7.903 M en 2025 (TCAC del 13,1 %): unos 5-6 puntos anuales son orgánicos (5,4 % en 2025, 8 % en 2023) y el resto, compras (6,7 puntos en 2025: CentralReach, Subsplash, Transact, Procare) [1, 5]. El margen EBITDA contable sube de 38,4 % a 39,7 % y el EBIT ronda el 28 %, lastrado por la amortización de intangibles comprados (858 M en 2025, 10,9 % de las ventas) [1]. El beneficio de operaciones continuadas incluye revalorizaciones de las participaciones en Indicor y Certinia (1,25 USD por acción en 2023, 1,68 en 2024 y 0,22 en 2025) que no son operativas [2, 5]. En los nueve primeros meses de 2026 la cuenta lleva 1.059 M antes de impuestos de ganancias de Indicor (9,86 USD por acción), por lo que el LTM se da sin ellas [9]. El 3T26 creció un 7,6 % (7 % orgánico, el mejor trimestre desde 2023) con un margen EBITDA contable del 39,5 %, 0,4 puntos menos que un año antes por la mezcla de Neptune en productos [9, 10].</w:t>
      </w:r>
    </w:p>
    <w:p>
      <w:pPr>
        <w:pStyle w:val="Heading2"/>
      </w:pPr>
      <w:r>
        <w:t xml:space="preserve">Ajustes y partidas no recurrentes</w:t>
      </w:r>
    </w:p>
    <w:p>
      <w:pPr>
        <w:spacing w:after="100"/>
      </w:pPr>
      <w:r>
        <w:t xml:space="preserve">Usamos el BPA GAAP de operaciones continuadas. La empresa publica además un BPA ajustado que suma la amortización de intangibles de compras (5,95 USD en 2025) y quita los efectos de las participaciones minoritarias: 20,00 USD en 2025 frente a 14,20 GAAP [2]. Para la historia del PER usamos un BPA GAAP «limpio» (sin participaciones ni partidas puntuales, con la amortización): 9,83 USD en 2022, 11,59 en 2023, 12,88 en 2024 y 14,04 en 2025 [2, 5, 6]. El LTM a septiembre de 2026 excluye las ganancias de Indicor (1.059 M antes de impuestos y 996 M después en nueve meses) y se calcula como el BPA limpio de los 12 meses a junio (15,30 USD) menos el del 3T25 (5,14 − 1,53 − 0,03 = 3,58) más el del 3T26 (5,89 − 1,68 − 0,05 = 4,16): 15,88 USD (BPA ajustado − amortización de compras − costes de compras, de las conciliaciones de la empresa) [3, 9].</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julio la dirección subió la guía a un orgánico de ~6 % y a 22,15-22,30 USD de BPA ajustado, y el mensaje fue la recompra (9,0 M de acciones en tres trimestres) [3, 4]. En la conferencia del 22-oct el discurso cambió: el 3T26 creció un 7 % orgánico (software recurrente +8 %), el BPA ajustado de 5,89 USD batió su propia guía (5,75-5,80) y el consenso (5,79), y la guía anual sube a 22,35-22,40 USD [9, 10, 11]. La recompra se paró en el trimestre «para conservar opciones de compra»: 436 M en tres compras complementarias (Origo para iPipeline, Playground para Procare y C Myers para Strata), y capacidad de más de 6.000 M en 12 meses [9, 10]. La dirección insistió en la IA: 17 o 18 de sus 21 negocios de software tienen agentes a la venta, con margen bruto «de software»; CentralReach es el ejemplo de monetización visible [10]. Las preguntas de los analistas se repitieron en tres temas: la IA (adopción, precios y modelos), Deltek (buenas contrataciones en la nube, pero «un trimestre más» para hablar de giro en la contratación pública) y Neptune (mezcla hacia contadores mecánicos más baratos, segundo semestre algo peor de lo previsto) [10]. La dirección no cuantificó el efecto del retraso de cobros de Illumia en la caja libre (−4 % en el trimestre), no dio cifra de ingresos de IA del grupo ni guía para 2027, más allá de llamarlo «en general constructivo» [10].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Venta de TransCore, Zetec, CIVCO Radiotherapy y de la mayoría del negocio industrial (Indicor) a CD&amp;R: 5.562 M de cobros; la cuenta 2021-2022 es la de operaciones continuadas reexpresada y el balance de 2021 aún incluye esos negocios.).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circulante es negativo de forma estructural: los ingresos diferidos (1.889 M a 30-sep-2026) superan a clientes más existencias (1.135 M) [9]. La deuda neta subió de 6.116 M en 2023 a 9.004 M en 2025 por las compras (CentralReach 1.850 M, Subsplash 800 M), a ~10.950 M en junio de 2026 por las recompras y bajó a 9.409 M en septiembre con el cobro de Indicor [1, 4, 9]. Con el EBITDA LTM contable de 3.293 M, la deuda neta queda en 2,9 veces (la empresa da 2,9 con su EBITDA ajustado), medio punto menos que en junio [9, 10]; el cobro de Xylem la bajaría otras ~0,15 veces.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9.733</w:t>
      </w:r>
      <w:r>
        <w:t xml:space="preserve">, conversión </w:t>
      </w:r>
      <w:r>
        <w:rPr>
          <w:b/>
          <w:bCs/>
        </w:rPr>
        <w:t xml:space="preserve">156 %</w:t>
      </w:r>
      <w:r>
        <w:t xml:space="preserve"> del beneficio neto; adquisiciones 13.453, dividendos 1.466, recompras 500.</w:t>
      </w:r>
    </w:p>
    <w:p>
      <w:pPr>
        <w:spacing w:after="100"/>
      </w:pPr>
      <w:r>
        <w:t xml:space="preserve">La conversión es alta: el flujo operativo de 2025 (2.540 M) equivale al 165 % del beneficio, porque la amortización de intangibles (858 M) no es salida de caja y el negocio cobra por adelantado [1]. El capex más el software activado es solo 1,0-1,6 % de las ventas y la empresa espera 1,0-1,5 % [1]. La caja libre ajustada fue 2.466 M en 2025 (+8 %) [2]. El flujo de 2022 se da sin los 954 M de impuestos pagados por las plusvalías de las ventas de TransCore e industrial (el publicado de operaciones continuadas fue 607 M) [6]. El dinero se ha ido a compras (13.454 M en 2021-2025) más que a dividendos (1.466 M); en 2026 el destino principal pasó a ser la recompra (2.727 M en el 1S26, nada en el 3T26) [4, 9]. En nueve meses de 2026 el flujo operativo fue de 1.882 M (+4 %) y la inversión, 82 M; la caja libre del 3T26 bajó un 4 % por el calendario de cupones y un retraso de cobros en Illumia [9, 10].</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control interno eficaz a 31-dic-2025)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a Roper desde 2002 [1]. No hay cambios de criterio relevantes. La remuneración en acciones fue de 166 M en 2025 (2,1 % de las ventas) y se trata como gasto en el EBITDA [7]. La cuenta tiene dos fuentes de ruido: la revalorización a valor razonable de la participación en Indicor (nivel 3, con supuestos de la dirección; +996 M en el 1S26) y los intangibles de compras, que suman 31.105 M (fondo de comercio 21.341 M e intangibles 9.764 M), el 90 % del activo [1, 4]. No ha habido deterioros relevantes del fondo de comercio en cinco años (solo 94 M de intangibles en 2021) [6]. El software activado es pequeño (57 M en 2025)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de valor razonable de Indicor en el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1.059 M antes de impuestos en nueve meses de 2026 (9,86 USD por acción), ya casi realizadas en caja (1.239 M cobrados en el 3T26 y ~600 M pendientes de Xylem); se excluyen del BPA que usamos [9,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 90 % del activo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cambio de la IA que reduzca el valor de los negocios comprados obligaría a deterioros; no ha pasado todavía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bajo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14,0 % en nueve meses (15,3 % en el 3T26) por beneficios fiscales ligados a Indicor y a una reestructuración societaria; la guía del 4T26 es del 20-21 % [4, 9, 10].</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27.594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21.341 M en 2025 (el 74 % del capital invertido medio); ha subido más de un 5 % en 4 de 4 años: comprador en serie. ROIC publicado 6,4 %; sin fondo de comercio, 24,4 %.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9,5 % · </w:t>
      </w:r>
      <w:r>
        <w:rPr>
          <w:b/>
          <w:bCs/>
        </w:rPr>
        <w:t xml:space="preserve">WACC</w:t>
      </w:r>
      <w:r>
        <w:t xml:space="preserve">: 8,6 %.</w:t>
      </w:r>
    </w:p>
    <w:p>
      <w:pPr>
        <w:spacing w:after="100"/>
      </w:pPr>
      <w:r>
        <w:t xml:space="preserve">Con el capital invertido publicado, Roper no crea valor contable: ROIC del 6,4 % en 2025 frente a un WACC del 8,59 % (−2,2 puntos), y así desde 2021 (5,1 %) [1]. La razón es el fondo de comercio: el 74 % de los 27.594 M de capital invertido son fondo de comercio de compras [1]. Sin él, el ROIC sería del 24,4 %, que es la rentabilidad del negocio que ya tiene; la del capital que paga por comprar empresas es la publicada. El ROIC incremental de 2021-2025 es del 9,5 %, algo por encima del WACC: las compras recientes rinden apenas su coste. La rotación del capital (0,24 veces) es la que hunde el ROIC, no el margen (EBIT del 28,3 %). Constellation, con compras pequeñas y baratas, tiene un ROIC del 21,7 % [36]. Para el requisito de calidad decide el publicado: no lo cumple.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9.409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9.609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311,0 M USD a 30-sep-2026 y línea de crédito revolvente de 3.500 M, con 1.300 M dispuestos (2.850 M en junio): el cobro de 1.239 M de Indicor por la venta de su instrumentación y la caja del trimestre devolvieron 1.550 M [9, 10]. Queda un cobro de ~600 M antes de impuestos en el 4T26 por la venta de las bombas de Indicor a Xylem, pendiente de aprobación [10, 12].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Deuda bruta de 9.720 M USD a 30-sep-2026 (1.415 M a corto), frente a 11.319 M en junio [4, 9]; a 31-dic-2025 eran 8.500 M de bonos y 850 M de línea [1]. Los impuestos a pagar subieron de 28 M en diciembre a 212 M en septiembre, sobre todo por el cobro de Indicor (estimación propia: ~200 M de impuesto pendiente) [9]. El único covenant es deuda total/capital total ≤ 0,65 (32 % a cierre de 2025) [1]. Arrendamientos operativos de 267 M de pagos futuros, que en US GAAP no sumamos a la deuda [1]. Obligaciones de compra de 1.391 M [1]. Impuestos diferidos pasivos de 1.785 M, ligados a los intangibles comprados [9]. Lo que queda de la participación en Indicor está a valor razonable (577 M a 30-sep-2026, 1.792 M en junio) y no consolida; Indicor vende ese resto (bombas Cornell y Roper) a Xylem [9, 12].</w:t>
      </w:r>
    </w:p>
    <w:p>
      <w:pPr>
        <w:pStyle w:val="Heading1"/>
      </w:pPr>
      <w:r>
        <w:t xml:space="preserve">12. Asignación de capital</w:t>
      </w:r>
    </w:p>
    <w:p>
      <w:pPr>
        <w:pStyle w:val="Confianza"/>
        <w:spacing w:after="100"/>
      </w:pPr>
      <w:r>
        <w:t xml:space="preserve">Confianza: Media</w:t>
      </w:r>
    </w:p>
    <w:p>
      <w:pPr>
        <w:spacing w:after="100"/>
      </w:pPr>
      <w:r>
        <w:t xml:space="preserve">Roper reparte un dividendo creciente (3,39 USD en 2025; 0,91 USD trimestrales en 2026, payout de ~16 % del BPA ajustado) y dedica el resto de la caja a compras de software vertical [1, 3]. En octubre de 2025 aprobó por primera vez un programa de recompra de 3.000 M y en abril de 2026 lo amplió en otros 3.000 M; a 30-jun-2026 quedaban 2.776 M [4]. En el 3T26 no recompró: dedicó 436 M a tres compras complementarias y prefiere conservar capacidad (más de 6.000 M en 12 meses) para compras; la autorización sigue disponible [9,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Frontline Education (software para centros escolares)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las ventas de 2022</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Application Software; sin deterioros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Syntellis Performance Solutions (software de planificación para hospitales)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línea de crédito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Combinada con Strata; sin deterioros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Procare Solutions (software para guarderías)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Línea de crédito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Citada entre los negocios más flojos en 2026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Transact Campus (pagos y credenciales universitarios)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con CBORD; aporta pagos con menor margen bruto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CentralReach (software para terapia del autismo y discapacidad)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Línea de crédito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1.049 M e intangibles 890 M; motor del crecimiento por compras de 2025-2026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Subsplash (software y pagos para iglesias)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Línea de crédito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el margen bruto de Network Software por la mezcla de pagos; orgánica desde el 4T26 [1,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Origo (iPipeline), Playground (Procare) y C Myers (Strata): tres compras complementarias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cobro de Indicor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Recién cerradas; restan unos céntimos al BPA del 4T26 [9, 10].</w:t>
            </w:r>
          </w:p>
        </w:tc>
      </w:tr>
    </w:tbl>
    <w:p>
      <w:pPr>
        <w:spacing w:after="160" w:before="0"/>
      </w:pPr>
    </w:p>
    <w:p>
      <w:pPr>
        <w:spacing w:after="100"/>
      </w:pPr>
      <w:r>
        <w:t xml:space="preserve">Roper ha sido un buen operador y un comprador caro. En 2021-2025 dedicó 13.453 M a compras, 1.466 M a dividendos y solo 500 M a recompras, con una caja libre acumulada de 9.733 M y una conversión del 156 % del beneficio. El ROIC incremental (9,5 %) apenas supera el WACC. La recompra de 2.727 M del 1S26 a ~346 USD de media [4] fue su mejor decisión de capital reciente: hoy la acción vale 438,14. En el 3T26 la paró para conservar capacidad de compra (436 M en tres compras pequeñas y más de 6.000 M disponibles) [9, 10]: es la vuelta al modelo de comprador, que con el ROIC publicado no crea valor salvo que compre barato. La dilución por pagos en acciones es moderada (164 M en nueve meses, un 2,6 % de las ventas [9]), pero el plan de incentivos se amplió en 14,15 M de acciones [25].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 Neil Hunn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operaciones y consejero delegado (President and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Roper en 2011 como vicepresidente de grupo tras dirigir MedAssets; consejero delegado desde agosto de 2018. Ha llevado el giro a software (78 % de las ventas) con ventas por 5.562 M en 2022 y compras por más de 13.000 M; el BPA ajustado pasó de 14,28 USD en 2022 a 20,00 en 2025 [2, 6,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Jason P. Conley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(EVP,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controller y director de contabilidad de Roper; financió las compras de 2023-2025 con bonos a coste medio del 3,8 % y dirige ahora la recompra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Woods Brinkley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independiente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directora de riesgos de Bank of America; preside el consejo desde junio de 2021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K. Stipancich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Secretario general y director jurídico (EVP, General Counsel)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director jurídico de Newell Brands [24].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15,90-16,20 USD; orgánico +5-6 %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16,71 USD; orgánico +8 %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17,85-18,15 USD; orgánico +5-6 %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18,31 USD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19,75-20,00 USD; ventas +10 %; orgánico +6-7 %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20,00 USD; ventas +12 %; orgánico +5 %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21,30-21,55 USD; orgánico +5-6 %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guía elevada tres veces, a 22,35-22,40 USD en octubre, con orgánico de ~6 % y 3T26 por encima de su propia guía (5,89 frente a 5,75-5,80) [3,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dirección cumple casi siempre la guía de BPA ajustado y la eleva durante el año (2023, 2024, 2026); falló en el crecimiento orgánico de 2025 (5 % frente a 6-7 %), con dos trimestres por debajo de lo esperado en ventas [2, 8]. El equipo es estable: Hunn y Conley llevan desde 2018. Hunn compró 4,5 M USD de acciones en noviembre de 2025 a ~452 USD, aunque vendió 13,3 M con un plan 10b5-1 un día antes [26]. No hay plan de sucesión público; el consejo incorporó en octubre de 2026 a Abhijit Dubey (consejero delegado y responsable de IA de NTT DATA) para reforzar la estrategia de IA [27]. Tras el 3T26, el director financiero avisó (Form 144) la venta de 12.000 acciones de opciones ejercidas el 23-oct, por 5,23 M USD: ejercicio de opciones, no una venta de su cartera [28].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Woods Brinkley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 Neil Hunn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Shellye L. Archambeau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Irene M. Esteves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D. 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 Joyce,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F. Murphy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G. Thatcher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F. Wallman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Abhijit Dubey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asignar</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control interno eficaz a 31-dic-2025)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5,56 / ventas 19,06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Desagregó su declaración en marzo de 2026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 su 13G de 2024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Windacre Partnership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inversión concentrado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accionista significativo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10,5 M de acciones a 30-jun-2026, desde 2,7 M en diciembre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 Neil Hunn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 Neil Hunn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Amy Woods Brinkley (presidenta)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Jason Conley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P. Joyce, Jr.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F. Wallman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K. Stipancich (director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22,63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26,2 M USD en 2025: 1,0 M fijo, 2,1 M de bonus anual y 22,6 M en acciones con objetivos (17,5 M) y opciones (5,1 M) [24]. El bonus depende del crecimiento del EBITDA ajustado (+11 % en 2025, pago del 104,8 %); las acciones con objetivos, de la TCAC a tres años del beneficio neto ajustado y del rendimiento total relativo (percentiles 30-80) [24]. El problema: el beneficio ajustado excluye la amortización de lo comprado, así que premia comprar aunque sea caro; no hay métrica de ROIC. Hay recuperación (clawback) reforzada [24]. El voto consultivo sobre la remuneración obtuvo un 93,6 % a favor y un 5,9 % en contra en 2026 [25].</w:t>
      </w:r>
    </w:p>
    <w:p>
      <w:pPr>
        <w:pStyle w:val="Heading2"/>
      </w:pPr>
      <w:r>
        <w:t xml:space="preserve">Operaciones vinculadas, estructura de control y defensas</w:t>
      </w:r>
    </w:p>
    <w:p>
      <w:pPr>
        <w:spacing w:after="100"/>
      </w:pPr>
      <w:r>
        <w:t xml:space="preserve">No hay accionista de control: los mayores son gestoras (Vanguard 11,6 %, BlackRock 9,0 %) y Windacre (6,9 %) [24]. Una acción, un voto; consejeros elegidos cada año por mayoría; presidenta independiente separada del consejero delegado [24]. En la junta de 2026 los accionistas rechazaron (0,6 % a favor) una propuesta para estudiar escindir los segmentos de software, y aprobaron 14,15 M de acciones nuevas para el plan de incentivos (un 14 % del capital en circulación, aunque se emiten a lo largo de años) y un plan de compra para empleados con descuento del 15 % [25].</w:t>
      </w:r>
    </w:p>
    <w:p>
      <w:pPr>
        <w:pStyle w:val="Heading2"/>
      </w:pPr>
      <w:r>
        <w:t xml:space="preserve">Señales de alerta</w:t>
      </w:r>
    </w:p>
    <w:p>
      <w:pPr>
        <w:pStyle w:val="ListParagraph"/>
        <w:numPr>
          <w:ilvl w:val="0"/>
          <w:numId w:val="2"/>
        </w:numPr>
        <w:spacing w:after="60"/>
      </w:pPr>
      <w:r>
        <w:t xml:space="preserve">Plan de incentivos ampliado en 14,15 M de acciones (≈14 % del capital en circulación) en mayo de 2026: dilución potencial si no se compensa con recompras [25].</w:t>
      </w:r>
    </w:p>
    <w:p>
      <w:pPr>
        <w:pStyle w:val="ListParagraph"/>
        <w:numPr>
          <w:ilvl w:val="0"/>
          <w:numId w:val="2"/>
        </w:numPr>
        <w:spacing w:after="60"/>
      </w:pPr>
      <w:r>
        <w:t xml:space="preserve">Variable a largo plazo ligado al beneficio neto ajustado, que excluye la amortización de lo comprado: incentivo a crecer comprando [24].</w:t>
      </w:r>
    </w:p>
    <w:p>
      <w:pPr>
        <w:pStyle w:val="ListParagraph"/>
        <w:numPr>
          <w:ilvl w:val="0"/>
          <w:numId w:val="2"/>
        </w:numPr>
        <w:spacing w:after="60"/>
      </w:pPr>
      <w:r>
        <w:t xml:space="preserve">Aviso de venta (Form 144) del director financiero el 23-oct-2026: 12.000 acciones de opciones ejercidas, 5,23 M USD, al día siguiente de la subida del 9,7 % por los resultados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(22-oct-2026): BPA ajustado de 22,35-22,40 USD (21,30-21,55 en enero, 21,80-22,05 en abril y 22,15-22,30 en julio), crecimiento de ventas por encima del 8 % y orgánico de ~6 %; 4T26 de 5,95-6,00 USD con un tipo impositivo del 20-21 % [9, 10]. En BPA GAAP la guía es 25,60-25,65 USD, con 9,86 USD de ganancias de Indicor y 6,56 USD de amortización de intangibles comprados [9]. No incluye compras futuras, recompras ni el cobro de ~600 M de Xylem. Caja libre del 30 % de las ventas o más. No hay plan a medio plazo con cifras; para 2027 la dirección solo dijo que el punto de partida es «en general constructivo»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 analistas (BPA GAAP con la ganancia de Indicor)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9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355,00 – 540,00</w:t>
            </w:r>
          </w:p>
        </w:tc>
      </w:tr>
    </w:tbl>
    <w:p>
      <w:pPr>
        <w:spacing w:after="160" w:before="0"/>
      </w:pPr>
    </w:p>
    <w:p>
      <w:pPr>
        <w:pStyle w:val="Heading2"/>
      </w:pPr>
      <w:r>
        <w:t xml:space="preserve">Revisiones de estimaciones</w:t>
      </w:r>
    </w:p>
    <w:p>
      <w:pPr>
        <w:spacing w:after="100"/>
      </w:pPr>
      <w:r>
        <w:t xml:space="preserve">Las estimaciones a tres años solo están en MarketScreener, con datos del 16-oct, antes del 3T26 [30]; Stock Analysis (S&amp;P Global, 23-oct) da un BPA ajustado de 2026 de 22,35 USD, ya en la guía nueva [37]. MarketBeat da a 23-oct 7 comprar, 9 mantener y 3 vender, y un objetivo medio de 460,33 USD (355-540) [31]. Tras el 3T26 los objetivos subieron: Jefferies de 500 a 540 USD (comprar), Citi de 450 a 525 (comprar), Truist de 475 a 500 (comprar), RBC de 417 a 450 (neutral) y BMO mantuvo 462 (neutral) [31]. El BPA ajustado de 2026 sube 0,15 USD con la guía; el 3T26 batió el consenso (5,89 frente a 5,79) con ventas en línea (2.172 M frente a ~2.180) [11]. El BPA GAAP de 2026 del consenso (25,18) incluye la ganancia de Indicor.</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Roper pierde un 8,5 % en un año frente al +12,3 % del S&amp;P 500 y el −4,7 % del ETF de software IGV, y un 1,6 % en el año [29]. La caída tuvo dos golpes: el 27-ene-2026 (−9,6 %) por una guía 2026 floja y el 3-feb-2026 (−6,4 %) en la venta masiva del software por los complementos de IA de Anthropic. El mínimo fue de 305,96 USD el 13-may-2026; desde ahí sube un 43 %: los resultados del 2T26 y la recompra la llevaron a 426 USD a finales de agosto, septiembre la devolvió a 349 USD sin noticia propia, y el 3T26 la subió un 9,7 % el 22-oct, hasta 438,14 USD el 23-oct [29, 38]. La beta mensual de cinco años es 0,70 (ajustada 0,80; semanal de dos años 0,44) y la volatilidad, del 31 %, alta para su historia [29].</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 / +16,8 % / +24,0 % / -13,9 %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 +38,9 %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2027-01-27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22-jul al 20-ago: 2T26 por encima de lo esperado con la guía elevada (+5,5 % el 23-jul), recompra de 9,0 M de acciones y rebote del software (IGV +14 % en el mismo periodo) [3, 29,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28-ago al 29-sep, sin noticia propia: no hubo cambios de recomendación, guía ni hechos relevantes en EDGAR; solo compras pequeñas (Playground) y lanzamientos de agentes de Vertafore [39]. El IGV cayó un 4 % en ese tiempo: la caída de Roper fue mayor que la del sector y la recuperó con el 3T26 (estimación propia: rotación fuera del software de aplicaciones).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23-sep al 23-oct: el 3T26 (orgánico del 7 %, BPA ajustado de 5,89 USD frente a 5,79 de consenso, guía elevada) subió la acción un 9,7 % el 22-oct, y los analistas subieron sus objetivos [9, 11, 31,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27-ene-2026 y 3-feb-2026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Días de −9,6 % (guía 2026 por debajo de lo esperado) y −6,4 % (venta masiva del software por los complementos de IA de Anthropic). Ya están en la tesis: es el riesgo de IA del bajista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ventas +8 % (7 % orgánico), BPA ajustado de 5,89 USD (+15 %) y guía 2026 elevada a 22,35-22,40 USD; recompra parada para conservar capacidad de compra [9,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Suben objetivos Jefferies (540), Citi (525), Truist (500) y RBC (450); BMO mantiene 462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144 del director financiero: venta de 12.000 acciones de opciones ejercidas (5,23 M USD). Es un ejercicio de opciones, no venta de su cartera, y no hay ventas en serie de la cúpula (el consejero delegado compró 4,5 M en noviembre de 2025)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Indicor vende sus bombas a Xylem por 1.460 M; Roper espera ~600 M antes de impuestos en el 4T26, pendiente de la aprobación de competencia. Ya está en el puente a valor razonable (577 M) [10,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consejo Abhijit Dubey, consejero delegado de NTT DATA, para reforzar la estrategia de IA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Raymond James rebaja a «market perform»; Mizuho inicia con 355 USD; JPMorgan mantiene infraponderar (415)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2027-01-27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4T26 y guía 2027, hacia finales de enero (estimación propia por el calendario de 2026: 27-ene)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20,4 % en un mes y un 43 % desde el mínimo de mayo, con tendencia alcista (20 % sobre la media de 200 sesiones); no salta ningún aviso P1-P5. La subida tiene causa conocida y propia: el 3T26 batió al consenso y subió la guía. No hay hechos pendientes ajenos al análisis que puedan mover el precio más de un 5 % en contra: ni colocaciones, ni ampliaciones, ni litigios con fecha; el cobro de Xylem es a favor y ya está en el puente. La venta avisada del director financiero es de opciones ejercidas. Veredicto: no cambia [9, 28, 29, 31].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Roper cotiza a 16,0 veces el EBITDA de los últimos 12 meses y 27,6 veces el beneficio, frente a una media de 23,3x y 39,5x en sus cierres de 2022-2025: un descuento del 30 %, aún en el mínimo de la serie aunque menor que el del 14-oct. El cambio es de régimen, no de cifras: el beneficio sigue creciendo, pero desde enero de 2026 el mercado le aplica el descuento del software amenazado por la IA y la tasa libre está en el 5,0 %. Excluimos 2021 porque el precio incluía TransCore y el negocio industrial vendidos en 2022.</w:t>
      </w:r>
    </w:p>
    <w:p>
      <w:pPr>
        <w:pStyle w:val="Heading1"/>
      </w:pPr>
      <w:r>
        <w:t xml:space="preserve">18. Comparables cotizados</w:t>
      </w:r>
    </w:p>
    <w:p>
      <w:pPr>
        <w:pStyle w:val="Confianza"/>
        <w:spacing w:after="100"/>
      </w:pPr>
      <w:r>
        <w:t xml:space="preserve">Confianza: Media</w:t>
      </w:r>
    </w:p>
    <w:p>
      <w:pPr>
        <w:spacing w:after="100"/>
      </w:pPr>
      <w:r>
        <w:t xml:space="preserve">Seis compañías en dos grupos: software vertical cotizado en Norteamérica (Constellation Software, Tyler, Veeva e Intuit) y conglomerados de nicho con gestión descentralizada y compras (AMETEK y Fortive) [21, 22, 30, 36]. Roper está entre los dos: 78 % software, 22 % productos. Añadimos Descartes (software logístico, comparable de DAT). Excluimos Danaher (salud) y Topicus/Lumine (filiales de Constellation). Las cifras de Tyler, Descartes, Constellation, Veeva e Intuit vienen de los informes del repo del 10 y 14-oct con MarketScreener; las de AMETEK y Fortive, de MarketScreener a 13-oct, con el EBITDA y el BPA del mismo proveedor. Todas se han llevado al cierre del 23-oct con el precio de Yahoo (el software ha subido un 9-13 % desde entonces; AMETEK ha bajado un 4 %), con la deuda neta y las estimaciones constantes. El PER de los comparables mezcla bases (GAAP y ajustado): solo entra en el alcista de la regla.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Tyler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AMETEK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Fortive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Descartes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 / 17,4x / 20,8x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649,14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 / 22,5x / 26,8x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 / 32,5x / 36,6x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 / 6,4x / 8,6x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(6 comparables): múltiplo = 18,7 + -0,08 × crecimiento; R² = 0,01. El crecimiento explica poco los múltiplos de estos comparables (R² &lt; 0,3): la regresión no se usa en la valoración.</w:t>
      </w:r>
    </w:p>
    <w:p>
      <w:pPr>
        <w:spacing w:after="100"/>
      </w:pPr>
      <w:r>
        <w:t xml:space="preserve">Roper sigue siendo de los más baratos del grupo: 14,9 veces el EBITDA de los próximos 12 meses frente a una mediana de 17,4x (solo Intuit, con 11,2x, está por debajo) y 22,0 veces el beneficio frente a 32,5x, con el margen EBITDA más alto (39 %), pero también con menor crecimiento esperado, ROIC publicado de 6,4 % y deuda de 2,9 veces el EBITDA. El descuento frente a Tyler y AMETEK se explica por la deuda y por la exposición de parte de su software a la IA; frente a Intuit, que cotiza con el mismo miedo, no hay descuento. El PER de los comparables mezcla bases de BPA y la muestra es frágil (la mediana va de 15,6x a 19,2x según el que se quite): damos un 20 % del peso a este método.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Weave Communications (software vertical para clínicas)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Francisco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del 34 %; EV/ventas de 12 meses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MeridianLink (software vertical de préstamos)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Centerbridge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ajustado de 12 meses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NCR Digital Banking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Veritas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ajustado de 12 meses calculado por Centerview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Computer Services, Inc. (software para bancos)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Centerbridge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Centerview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 Knight (software hipotecario)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inicial; Centerview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Bottomline Technologies (software de pagos)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Centerview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CoreLogic (datos y software inmobiliario)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Point e Insight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Centerview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Indicor Instrumentation (participada de Roper)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AMETEK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Instrumentación industrial, no software; sin múltiplo publicado. Roper cobró 1.239 M en el 3T26 [4, 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Cornell Pump y Roper Pump (Indicor)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Bombas industriales, no software: 11,6x el EBITDA 2026e después de sinergias y ventajas fiscales; ventas de más de 260 M. Roper espera ~600 M antes de impuestos [10, 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15,5x (14,3x – 20,0x)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420,52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381,64 – 571,10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software vertical por capital riesgo se han pagado a 13-27 veces el EBITDA ajustado (mediana de 15,5x) [34]; Roper vale hoy 16,0 veces el EBITDA publicado de los últimos 12 meses, por encima de esa mediana y sin prima de control. Con 43.595 M de capitalización y sin accionista de control, una opa es improbable. Las ventas de Indicor (instrumentación a AMETEK por 5.000 M y bombas a Xylem por 1.460 M, a 11,6x el EBITDA con sinergias) son industriales y no se usan como referencia del software [4, 12].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Proyectamos solo crecimiento orgánico más las compras ya cerradas, sin compras nuevas (ni su coste): 8,7 % en 2026 (9,1 % en nueve meses y guía de más del 8 % [9]), 6,5 % en 2027 (orgánico del ~6 % de la guía de 2026 y medio punto de las compras del 3T26 [9, 10]), 6 % en 2028 y bajada gradual hasta el 3 % en 2035. Es menos que el 11,5 % que prevé Mordor para el software vertical [13] y que el TCAC de ventas de 2021-2025 (13,1 %), que llevaba compras. El riesgo de la IA va en los escenarios.</w:t>
      </w:r>
    </w:p>
    <w:p>
      <w:pPr>
        <w:keepNext/>
        <w:spacing w:after="100"/>
      </w:pPr>
      <w:r>
        <w:rPr>
          <w:b/>
          <w:bCs/>
        </w:rPr>
        <w:t xml:space="preserve">Márgenes.</w:t>
      </w:r>
    </w:p>
    <w:p>
      <w:pPr>
        <w:spacing w:after="100"/>
      </w:pPr>
      <w:r>
        <w:t xml:space="preserve">Margen EBITDA contable del 39,0 % en 2026 (38,8 % en nueve meses, con el 4T más fuerte por estacionalidad [9]) y subida lenta al 39,5 %, por debajo del 39,7 % de 2025. Los agentes de IA tienen margen bruto «de software» según la dirección [10], pero la mezcla de pagos (Transact, Subsplash) y la de Neptune presionan; no damos expansión.</w:t>
      </w:r>
    </w:p>
    <w:p>
      <w:pPr>
        <w:keepNext/>
        <w:spacing w:after="100"/>
      </w:pPr>
      <w:r>
        <w:rPr>
          <w:b/>
          <w:bCs/>
        </w:rPr>
        <w:t xml:space="preserve">Inversión y circulante.</w:t>
      </w:r>
    </w:p>
    <w:p>
      <w:pPr>
        <w:spacing w:after="100"/>
      </w:pPr>
      <w:r>
        <w:t xml:space="preserve">Capex más software activado del 1,3-1,5 % de las ventas (82 M en nueve meses de 2026, un 1,3 % [9]). La amortización (10,8 % de las ventas en 2026; 212 M trimestrales de intangibles comprados según la guía [9]) se va agotando sin compras nuevas: la llevamos al 1,5 % en 2035, igual que el capex. El circulante es negativo (−11,5 % de las ventas, por los cobros anticipados) y libera caja al crecer [1].</w:t>
      </w:r>
    </w:p>
    <w:p>
      <w:pPr>
        <w:keepNext/>
        <w:spacing w:after="100"/>
      </w:pPr>
      <w:r>
        <w:rPr>
          <w:b/>
          <w:bCs/>
        </w:rPr>
        <w:t xml:space="preserve">Coste del capital.</w:t>
      </w:r>
    </w:p>
    <w:p>
      <w:pPr>
        <w:spacing w:after="100"/>
      </w:pPr>
      <w:r>
        <w:t xml:space="preserve">Tasa libre del 5,00 % (bono del Tesoro a 10 años, 23-oct-2026 [32]), beta de 0,85 (la ajustada mensual de cinco años es 0,80, la semanal ajustada 0,83 y la mensual 0,70 [29]; la subimos algo por el riesgo de la IA), prima de mercado del 5,5 %. Coste de la deuda del 4,6 % antes de impuestos (los últimos bonos y la línea de crédito) y peso de la deuda del 18 % a valor de mercado (9.720 M de deuda frente a 43.595 M de capitalización). WACC del 8,59 %, más que el 8,38 % del informe anterior porque baja el peso de la deuda.</w:t>
      </w:r>
    </w:p>
    <w:p>
      <w:pPr>
        <w:keepNext/>
        <w:spacing w:after="100"/>
      </w:pPr>
      <w:r>
        <w:rPr>
          <w:b/>
          <w:bCs/>
        </w:rPr>
        <w:t xml:space="preserve">Valor terminal.</w:t>
      </w:r>
    </w:p>
    <w:p>
      <w:pPr>
        <w:spacing w:after="100"/>
      </w:pPr>
      <w:r>
        <w:t xml:space="preserve">Crecimiento a perpetuidad del 3,0 %: inflación de ~2,5 % y algo de crecimiento real, por debajo de la tasa libre menos medio punto (4,5 %). El valor terminal pesa un 61 % del valor, normal para un negocio de este perfil.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437,02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590,21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-6.043 M (-21 %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 (reinvierte el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225,3 % (histórico: 9,5 %)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 frente al 5,0 %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-6.043 M, con un capex bruto medio del 1,4 % de las ventas). En un negocio de activos ligeros, el crecimiento medio del 5,0 %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a partes iguales en el orgánico de ~6 % de la guía; 2,7 puntos por las compras de 2025 (CentralReach, Subsplash) y las tres del 3T26 [9,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6 %: subidas de precio del 3 % y 3 % de módulos nuevos (agentes de IA), clientes y transacciones; medio punto de Origo, Playground y C Myers hasta que pasan a orgánicas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6 %; Deltek tiene el fin del soporte de Costpoint en local en el 1T28, que empuja la migración a la nube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Desaceleración gradual por madurez de los nichos y por la IA en los negocios documentales.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5 %, por debajo del promedio de 2023-2026.</w:t>
            </w:r>
          </w:p>
        </w:tc>
      </w:tr>
    </w:tbl>
    <w:p>
      <w:pPr>
        <w:spacing w:after="160" w:before="0"/>
      </w:pPr>
    </w:p>
    <w:p>
      <w:pPr>
        <w:spacing w:after="100"/>
      </w:pPr>
      <w:r>
        <w:t xml:space="preserve">Roper no necesita capital para crecer orgánicamente: capex del 1,3 % y circulante negativo, por lo que la reinversión es negativa y la prueba del motor no se puede hacer. La prueba es el poder de precios: el margen bruto sube al 70,1 % en el 3T26, el software recurrente crece un 8 % orgánico y la retención bruta está a mediados del 90 % [9, 10], así que un orgánico del 5-6 % es coherente con su historia (5,4 % en 2025, 7 % en el 3T26). El «en parte» viene de la IA, que puede reducir puestos y precios en los negocios documentales, y del capital: el ROIC publicado (6,4 %) no cubre el WACC por el fondo de comercio, de modo que el crecimiento comprado no crea valor contable. No rebajamos el base porque ninguna prueba falla (no hay reinversión que contrastar ni cuota que exceder).</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 (base: 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37,3 % (base: 39,5 %)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(WACC: 8,6 %)</w:t>
            </w:r>
          </w:p>
        </w:tc>
      </w:tr>
    </w:tbl>
    <w:p>
      <w:pPr>
        <w:spacing w:after="160" w:before="0"/>
      </w:pPr>
    </w:p>
    <w:p>
      <w:pPr>
        <w:spacing w:after="100"/>
      </w:pPr>
      <w:r>
        <w:t xml:space="preserve">El DCF da 469,81 USD por acción (+7,2 % sobre 438,14), con un 61 % del valor en el terminal. El DCF inverso dice que el precio descuenta un crecimiento del 3,8 % anual en 2027-2035 (nuestro base: 4,6 %) o, con nuestro crecimiento, un margen EBITDA del 37,3 % en vez del 39,5 %; la rentabilidad implícita es del 8,9 %, apenas por encima del WACC del 8,59 %. Es el gran cambio frente al 14-oct, cuando el precio descontaba un 1,6 %: la subida del 19 % ha cerrado casi toda la distancia con nuestro caso base. Hoy la expectativa ya no es conservadora, sino cercana a la historia de orgánico del 5-7 % menos el desgaste de la IA. Con la prima implícita del mercado (4,2 %) el DCF sube a 575,95: frente al mercado aún es barata, frente a su coste de capital, no.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erosiona los negocios documentales (despachos, propuestas de contratistas, guarderías): bajas de puestos y descuentos llevan el orgánico al 2-3 % y el margen cae dos puntos. Es lo que el mercado temía en febrero y lo que les ha pasado a las editoriales de información jurídica.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6 % en 2027-2028 y bajada gradual, margen estable cerca del 39 %, sin compras nuevas. La IA se vende como agentes y módulos y compensa la presión en precios.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agentes de IA sobre datos propios elevan el precio por cliente: orgánico del 7-7,5 % y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438,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426,54 USD (-2,6 %).</w:t>
      </w:r>
    </w:p>
    <w:p>
      <w:pPr>
        <w:spacing w:after="100"/>
      </w:pPr>
      <w:r>
        <w:t xml:space="preserve">Con el precio de hoy la asimetría del DCF es desfavorable: el alcista gana un 25,6 % y el bajista pierde un 37,9 % (0,68 veces), con un 30 % de probabilidad para el bajista por el riesgo de la IA. El bajista es verosímil y ya ha pasado en el sector (Thomson Reuters −16 % el 3-feb-2026 [16]). A 12 meses la regla da una asimetría de 4,69 veces porque parte de un PER de hoy aún bajo frente a su historia; las dos lecturas no se contradicen: el múltiplo puede seguir recuperándose aunque el valor intrínseco ya no deje margen.</w:t>
      </w:r>
    </w:p>
    <w:p>
      <w:pPr>
        <w:pStyle w:val="Heading1"/>
      </w:pPr>
      <w:r>
        <w:t xml:space="preserve">22. Suma de partes</w:t>
      </w:r>
    </w:p>
    <w:p>
      <w:pPr>
        <w:pStyle w:val="Confianza"/>
        <w:spacing w:after="100"/>
      </w:pPr>
      <w:r>
        <w:t xml:space="preserve">Confianza: Media</w:t>
      </w:r>
    </w:p>
    <w:p>
      <w:pPr>
        <w:spacing w:after="100"/>
      </w:pPr>
      <w:r>
        <w:t xml:space="preserve">No la usamos: los tres segmentos comparten la misma lógica de caja (márgenes altos, poca inversión) y solo publican el resultado antes de costes centrales; una suma de partes con múltiplos de software para el 78 % y de instrumentos para el 22 % daría un valor parecido al de los comparables, que ya mezclan los dos grupos.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438,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476,07 USD (+8,7 % sobre 438,14).</w:t>
      </w:r>
    </w:p>
    <w:p>
      <w:pPr>
        <w:spacing w:after="100"/>
      </w:pPr>
      <w:r>
        <w:t xml:space="preserve">Pesamos el DCF y los escenarios (40 % cada uno) porque Roper es un negocio estable de caja libre alta y la pregunta es cuánto dura su crecimiento; los comparables (20 %) mezclan software y conglomerados con bases de BPA distintas y los usamos como control. No usamos transacciones: son de capital riesgo con prima de control y EBITDA ajustado. La dispersión es amplia: el bajista vale 272,01 USD y el PER de los comparables da 646,34, porque el mercado aún paga a Roper un múltiplo de software «amenazado» (16,0x el EBITDA de los últimos 12 meses frente a 29,4x de Tyler y 24,2x de AMETEK). El DCF da 469,81 USD con un WACC del 8,59 %; con la prima del mercado, 575,95. El valor objetivo de la síntesis es 476,07 (+8,7 %).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(24.2x) × 1.1 (tope: la mediana de 5 años, 37.2x,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770,06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+76,6 %</w:t>
            </w:r>
          </w:p>
        </w:tc>
      </w:tr>
    </w:tbl>
    <w:p>
      <w:pPr>
        <w:spacing w:after="160" w:before="0"/>
      </w:pPr>
    </w:p>
    <w:p>
      <w:pPr>
        <w:spacing w:after="100"/>
      </w:pPr>
      <w:r>
        <w:rPr>
          <w:b/>
          <w:bCs/>
        </w:rPr>
        <w:t xml:space="preserve">Objetivo a 12 meses (ponderado):</w:t>
      </w:r>
      <w:r>
        <w:t xml:space="preserve"> 530,24 USD · rentabilidad +21,8 % (base +22,2 %) · señal Comprar.</w:t>
      </w:r>
    </w:p>
    <w:p>
      <w:pPr>
        <w:spacing w:after="100"/>
      </w:pPr>
      <w:r>
        <w:t xml:space="preserve">Para comparar, con la regla v2 (historia al cierre, mismo precio): 20,6x / 24,2x / 31,5x, 11,2 % Mantener; con el tope anterior del base (×1,3, 14-oct mediodía): 34,1 %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2027e (18,10 USD) queda un 3 % por debajo del consenso GAAP (18,72) y el de 2028e (20,00) un 1 % por debajo (20,16) [30]: la diferencia es que no proyectamos compras ni recompras no anunciadas. La distancia está en el múltiplo: nuestro precio base (532,00) queda un 15,6 % por encima del objetivo medio de los analistas (460,33), que equivale a ~23x nuestro BPA 2028e, y dentro de su rango (355-540) [31]. Hemos revisado los supuestos: ventas y margen están en línea con el consenso, así que no los tocamos; el múltiplo lo pone la regla común (PER de hoy × 1,1).</w:t>
      </w:r>
    </w:p>
    <w:p>
      <w:pPr>
        <w:keepNext/>
        <w:spacing w:after="100"/>
      </w:pPr>
      <w:r>
        <w:rPr>
          <w:b/>
          <w:bCs/>
        </w:rPr>
        <w:t xml:space="preserve">Del valor intrínseco al objetivo a 12 meses.</w:t>
      </w:r>
    </w:p>
    <w:p>
      <w:pPr>
        <w:spacing w:after="100"/>
      </w:pPr>
      <w:r>
        <w:t xml:space="preserve">El objetivo a 12 meses (530,24 USD) queda un 11 % por encima del valor intrínseco (476,07): la regla supone que el PER adelantado sube de 24,2x a 26,6x, aún muy lejos de su mediana de 37,2x, mientras que nuestro DCF con un WACC del 8,59 % ya no ve mucho margen (con la prima del mercado, 575,95). Para que el precio vaya al objetivo hace falta que el BPA crezca como guía la empresa (≈ +15 % en 2027 en base limpia) y que el mercado siga devolviendo la prima perdida con la IA, como en el último mes. Los catalizadores con fecha son el cobro de Xylem (4T26) y la guía 2027 (finales de enero).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de ~600 M antes de impuestos por la venta de las bombas de Indicor a Xylem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la deuda neta en ~0,15 veces el EBITDA o financia 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la ve «en general constructiva»; un orgánico guiado ≥ 6 % y BPA ajustado ≥ 24,5 USD sostendrían la recuperación del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Uso de la capacidad de más de 6.000 M (compras o recompra)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a buen precio suman BPA; una compra grande y cara restaría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soporte de Costpoint en local (Deltek)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Migración a la nube: más ingreso recurrente por cliente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Lanzamientos de agentes de IA de los grandes modelos en nichos de Roper (jurídico, contratación)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caída de múltiplo como la de febrero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sustituye funciones del software vertical (Aderant, Deltek, Procare) y reduce puestos y precios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 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−37,9 % (escenario bajista del DCF); −15,3 %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propios y regulados, integración en el flujo del cliente, efectos de red en DAT; 17-18 de 21 negocios ya venden agentes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Application Software &lt; 3 % o caída de la retención bruta por debajo del 90 %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múltiplo vuelve a caer tras la subida del 20 % del último mes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(base al PER de hoy, 24,2x, en vez de 26,6x)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del ~30 %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22x tras unos buenos resultados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con la capacidad de 6.000 M: ROIC publicado (6,4 %) por debajo del WACC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incremental del 9,5 %; compras recientes pequeñas (436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&gt; 3.000 M a más de 25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de 2,9 veces el EBITDA y refinanciación a tipos más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punto de coste de la deuda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Covenant holgado (32 % frente a 65 %), cobro de Xylem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neta/EBITDA &gt; 3,5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público y contratación federal (Deltek), y mezcla de contadores de agua (Neptune)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en unos 30 negocios; Deltek con buenas contrataciones en la nube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productos &lt; 3 %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 del fondo de comercio (21.555 M) si la IA rebaja el valor de lo comprado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en caja; golpe de confianza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Márgenes de segmento estables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Pruebas de deterioro con holgura menor en el 10-K</w:t>
            </w:r>
          </w:p>
        </w:tc>
      </w:tr>
    </w:tbl>
    <w:p>
      <w:pPr>
        <w:spacing w:after="160" w:before="0"/>
      </w:pPr>
    </w:p>
    <w:p>
      <w:pPr>
        <w:pStyle w:val="Heading2"/>
      </w:pPr>
      <w:r>
        <w:t xml:space="preserve">Pre-mortem</w:t>
      </w:r>
    </w:p>
    <w:p>
      <w:pPr>
        <w:spacing w:after="100"/>
      </w:pPr>
      <w:r>
        <w:t xml:space="preserve">Octubre de 2029: Roper vale un 40 % menos. Durante 2027 los grandes modelos de IA lanzaron agentes específicos para despachos de abogados y para propuestas de contratistas públicos que hacían en minutos lo que el software de Aderant y Deltek organizaba en semanas. Los clientes no cancelaron de golpe, pero renegociaron a la baja los puestos al renovar, y el orgánico de Application Software cayó del 6 % al 1 %. La dirección usó su capacidad de 6.000 M en compras de empresas «nativas en IA» a múltiplos altos, la deuda neta volvió a pasar de 3,5 veces el EBITDA y el mercado dejó de ver a Roper como compounder y la valoró a 18 veces beneficios. La señal temprana habría sido el software recurrente creciendo por debajo del 6 % orgánico (8 % en el 3T26), una retención bruta por debajo del 90 % y una guía orgánica de 2027 por debajo del 5 %.</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−15 % a 3-5 años si se cumple la erosión parcial (entre el base y el bajista del motor, 272,01 USD); +5 % si los agentes se cobran como módulos</w:t>
      </w:r>
    </w:p>
    <w:p>
      <w:pPr>
        <w:spacing w:after="100"/>
      </w:pPr>
      <w:r>
        <w:t xml:space="preserve">La IA toca el núcleo: el 57 % de las ventas son software recurrente y unos 20 % están en negocios documentales (Aderant en despachos, parte de Deltek en propuestas, Procare) donde un agente puede hacer el trabajo con menos puestos de usuario [1]. Roper responde vendiendo agentes propios: 17-18 de sus 21 negocios de software ya los tienen, Vertafore ha lanzado 12 este año y en CentralReach una parte alta de las contrataciones son de IA, con margen bruto de software [10]. Las redes (DAT), los datos regulados de sanidad y seguros y los productos (22 %) están menos expuestos. La señal que avisaría: retención bruta por debajo del 90 % o software recurrente creciendo menos del 6 % orgánico (8 % en el 3T26).</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Roper no es el carbono (negocio de software y productos ligeros) sino la ciberseguridad y la privacidad de los datos de clientes sanitarios, educativos y jurídicos, y el capital humano (más de la mitad de los costes son personal) [1]. Un incidente de ciberseguridad en un negocio de datos regulados (Clinisys, CentralReach) tendría coste legal y de reputación. Roper mantiene un plan centralizado de respuesta a incidentes y seguros cibernéticos [1].</w:t>
      </w:r>
    </w:p>
    <w:p>
      <w:pPr>
        <w:pStyle w:val="Heading2"/>
      </w:pPr>
      <w:r>
        <w:t xml:space="preserve">Controversias</w:t>
      </w:r>
    </w:p>
    <w:p>
      <w:pPr>
        <w:spacing w:after="100"/>
      </w:pPr>
      <w:r>
        <w:t xml:space="preserve">No hemos encontrado sanciones ni litigios materiales en tres años; en 2022 registró un cargo por un acuerdo legal (0,33 USD por acción) y en 2024 otro menor (0,08 USD)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Application Software se cobra por puesto de usuario y cómo ha evolucionado el número de puestos en Aderant y Deltek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canal por el que la IA destruiría ingresos; decide entre el base y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ingresos recurrentes generan ya los agentes de IA en el grupo y con qué precio sobre el producto base?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hay rangos de contratación de CentralReach; sin cifras del grupo la tesis de que la IA amplía el mercado es una afirmación.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parar la recompra a 24 veces el BPA y qué ROIC exigen a las compras de la capacidad de 6.000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publicado no cubre el WACC; la recompra rinde ~6 % de caja libre.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restó a la caja libre del 3T26 el retraso de cobros de Illumia y cuánto se recupera en el 4T26?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lo cuantificó y la caja libre bajó un 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Neptune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mezcla de Neptune es temporal (proyectos de contadores estáticos retrasados) y cuál es el orgánico esperado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único negocio de productos que resta y la dirección lo deja «por determinar».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incentivo a largo plazo usa el beneficio ajustado sin la amortización de lo comprado y no el ROIC?</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Premia crecer comprando aunque no cree valor.</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($ROP)</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22-oct los mensajes resumen el 3T26 y la guía elevada y algunos dicen que la acción ha cerrado parte de la distancia a su valor razonable; a principios de octubre dominaban los mensajes técnicos bajistas (media de 200 sesiones a la baja)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artículo del 22-oct defiende que «otro buen trimestre» debería traer más subidas; los titulares hablan de subida del 10 % por el BPA y la guía [38,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agosto)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artículos ven la recompra de 3.200 M como una buena apuesta y la acción como «compra prudente» pese a los riesgos [41,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TIKR (blog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pregunta si la caída del 38 % es oportunidad; destaca la capacidad de 6.000 M para compras o recompras frente al miedo a la IA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Batida y guía elevada del 3T26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orgánico del 7 % y BPA ajustado por encima de la guía; pero las ventas quedaron en línea y la caja libre del trimestre bajó un 4 % [38, 43].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se come el software vertical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aún no lo muestran (software recurrente +8 % orgánico, retención bruta a mediados del 90 %); el riesgo es de múltiplo y a 3-5 años, no de resultados hoy.</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y uso de la caja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se paró en el 3T26 para comprar empresas: el argumento de agosto pierde fuerza [41, 42].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Análisis técnico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entra en la valoración; la tendencia ha pasado de bajista a alcista en un mes.</w:t>
            </w:r>
          </w:p>
        </w:tc>
      </w:tr>
    </w:tbl>
    <w:p>
      <w:pPr>
        <w:spacing w:after="160" w:before="0"/>
      </w:pPr>
    </w:p>
    <w:p>
      <w:pPr>
        <w:spacing w:after="100"/>
      </w:pPr>
      <w:r>
        <w:t xml:space="preserve">El sentimiento de los particulares ha pasado de dividido a positivo en un mes, al ritmo del precio (+20 %): tras el 22-oct domina la lectura de «batida y subida de guía» y desaparecen los mensajes técnicos bajistas. No hay euforia: nadie aporta datos nuevos sobre la IA y los analistas siguen repartidos (7 comprar, 9 mantener, 3 vender). Lo único que aporta a la decisión es que parte de la mejora ya está en el precio.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20 controles correctos y 3 explicados. Fuentes: 44 (22 primarias); citas distintas en el texto: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-11,5 % frente a -11,6 % real: genera una variación de circulante de -73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Con siete comparables de dos negocios distintos (software y conglomerados de instrumentos) el crecimiento no explica el múltiplo; no usamos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15,6x a 19,2x según qué comparable se quite (464,83 a 593,04 por acción): la muestra es frágil; explícalo y no le des mucho peso. Explicación: La mediana del EV/EBITDA NTM va de 15,6x a 19,2x según el comparable que se quite porque el grupo mezcla software y conglomerados; por eso los comparables pesan solo un 20 % y son de control.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11,2 %: para comprar o ampliar hace falta motivo de negocio propio; para mantener basta la vigente. Explicación: La v2 de control da 11,2 %: por eso el informe recomienda Mantener y no Comprar (justificación de la recomendación).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(22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nota de segmentos (solo por segmento y tipo de ingreso); 2) 10-Q 2T26; 3) XBRL (sin desglose geográfico de ingresos útil)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presentación de resultados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del 22-oct en EDGAR (solo la nota de prensa, sin presentación); 2) web de inversores ropertech.gcs-web.com (la descarga se bloquea); 3) transcripción de la conferencia en MarketBeat (usada en su lugar)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 lo cita); 2) 10-Q 2T26; 3) 8-K de financiación de abril de 2026 (línea de crédito, sin rating)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 las cita); 2) proxy 2026 (sin calificaciones); 3) no se buscó en las agencias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Roper Technologies, Form 10-K 2025 (cuentas, segmentos, deuda, ingresos por tipo)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https://www.sec.gov/Archives/edgar/data/882835/000088283526000009/rop-20251231.htm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Roper Technologies announces 2025 financial results (nota de resultados del 4T25 y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https://www.sec.gov/Archives/edgar/data/882835/000088283526000003/a2025q4earningsrelease.htm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announces second quarter financial results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https://www.sec.gov/Archives/edgar/data/882835/000088283526000031/a2026q2earningsrelease.htm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Form 10-Q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https://www.sec.gov/Archives/edgar/data/882835/000088283526000036/rop-20260630.htm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announces 2023 financial results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https://www.sec.gov/Archives/edgar/data/882835/000088283524000002/a2023q4earningsrelease.htm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announces 2022 financial results (4T22; flujos de operaciones continuadas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https://www.sec.gov/Archives/edgar/data/882835/000088283523000010/a2022q4earningsrelease.htm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hechos XBRL (companyfacts), series anuales y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https://data.sec.gov/api/xbrl/companyfacts/CIK0000882835.json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announces 2024 financial results (4T24 y guía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https://www.sec.gov/Archives/edgar/data/882835/000088283525000003/a2024q4earningsrelease.htm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announces third quarter financial results (3T26: cuenta, balance a 30-sep-2026, flujos de nueve meses, segmentos y guía 2026 elevada)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 SEC EDGAR (8-K, Exhibit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https://www.sec.gov/Archives/edgar/data/882835/000088283526000042/a2026q3earningsrelease.htm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Q3 2026 earnings call transcript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https://www.marketbeat.com/earnings/reports/2026-10-22-roper-technologies-inc-stock/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 earnings: BPA del 3T26 frente al consenso (5,89 frente a 5,79 USD) y ventas frente a la estimación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https://www.earningswhispers.com/epsdetails/ROP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to Acquire Cornell Pump and Roper Pump (comprador de los negocios de bombas de Indicor, 1.460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(comunicado vía Placera)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https://www.placera.se/pressmeddelanden/xylem-xylem-to-acquire-cornell-pump-and-roper-pump-strengthening-industrial-presence-in-high-growth-sectors-20260811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Vertical Software Market Size and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Mordor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https://www.mordorintelligence.com/industry-reports/vertical-software-market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Vertical Software Market Size, Share &amp; Trends (Grand View Research, vía GII)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https://www.gii.tw/report/grvi1814014-vertical-software-market-size-share-trends.html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IGV Bounces 5% But the SaaS Selloff May Not Be Over Yet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https://finance.yahoo.com/news/igv-bounces-5-saas-selloff-184237901.html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stocks: Anthropic AI tool sparks software selloff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https://edition.cnn.com/2026/02/04/investing/us-stocks-anthropic-software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https://data.sec.gov/api/xbrl/companyfacts/CIK0000860731.json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Consolidated Financial Statements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https://www.csisoftware.com/wp-content/uploads/2026/04/CSI-Financial-Statement-Q425-Final.pdf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resultados del 4T del ejercicio 2026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https://www.sec.gov/Archives/edgar/data/1393052/000139305226000007/veev-20260131q426xex991.htm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Form 10-K ejercicio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https://www.sec.gov/Archives/edgar/data/896878/000089687826000037/intu-20260731.htm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Inc.: estimaciones anuales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https://www.marketscreener.com/quote/stock/AMETEK-INC-11635/finances/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Fortive Corporation: estimaciones anuales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https://www.marketscreener.com/quote/stock/FORTIVE-CORPORATION-28859043/finances/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del ETF de software IGV (rentabilidad de 1, 3 y 12 meses a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https://finance.yahoo.com/quote/IGV/history/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https://www.sec.gov/Archives/edgar/data/882835/000119312526145481/d204543ddef14a.htm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19-may-2026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https://www.sec.gov/Archives/edgar/data/882835/000119312526230480/d156759d8k.htm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Roper Technologies (CIK 882835), 26-oct-2025 a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https://www.sec.gov/cgi-bin/browse-edgar?action=getcompany&amp;CIK=0000882835&amp;type=4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Abhijit Dubey joins Roper Technologies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https://www.sec.gov/Archives/edgar/data/882835/000088283526000039/exhibit991pressreleaseoct1.htm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Jason Conley (aviso de venta de 12.000 acciones de opciones ejercidas, 5,23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https://www.sec.gov/Archives/edgar/data/882835/000195917326007473/primary_doc.xml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ROP, ^GSPC e IGV (precio, rango, volumen, betas, cierres de ejercicio y movimiento a 1-12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https://finance.yahoo.com/quote/ROP/history/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estimaciones anuales y consenso (19 analistas; datos a 16-oct-2026, antes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https://www.marketscreener.com/quote/stock/ROPER-TECHNOLOGIES-INC-14279/finances/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(ROP) price target and analyst ratings (19 analistas, objetivo medio 460,33 USD a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https://www.marketbeat.com/stocks/NASDAQ/ROP/forecast/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5,00 %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MeridianLink, DEFM14A: Selected Precedent Transactions Analysis (Centerview)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MeridianLink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https://www.sec.gov/Archives/edgar/data/1834494/000114036125035721/ny20054829x2_defm14a.htm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Weave Communications, DEFM14A, fusión con Francisco Partners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Weave Communications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https://www.sec.gov/Archives/edgar/data/1609151/000114036126037628/ny20081403x2_defm14a.htm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Constellation Software, Veeva e Intuit (informes del repo del 10 y 14-oct-2026, con MarketScreener y cuentas; llevados al cierre del 23-oct con el precio de Yahoo)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cuentas de las empresas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https://www.marketscreener.com/quote/stock/CONSTELLATION-SOFTWARE-IN-1409607/finances/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(ROP) forecast: BPA ajustado 2026 del consenso (S&amp;P Global), actualizado a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https://stockanalysis.com/stocks/rop/forecast/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ROP (22-23-oct-2026: «Roper surges 10% on earnings beat, raised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https://seekingalpha.com/api/sa/combined/ROP.xml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ROP de septiembre y octubre de 2026 (Reuters, GlobeNewswire)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 (agregador)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https://itiger.com/stock/ROP/news?page=3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$ROP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https://api.stocktwits.com/api/2/streams/symbol/ROP.json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A Cautious Buy Despite The Risks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externo)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https://seekingalpha.com/article/4939467-roper-technologies-cautious-buy-despite-the-risks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$3.2 Billion Bet On Itself Looks Smart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externo)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https://seekingalpha.com/article/4938770-roper-technologies-3-2-billion-bet-on-itself-look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Another Good Quarter Should Power More Gains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externo)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https://seekingalpha.com/article/4956657-roper-technologies-another-good-quarter-should-power-more-gains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Stock Has Lost 38% From Its Highs: Is the Selloff a Buying Opportunity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https://www.tikr.com/blog/roper-stock-has-lost-38-from-its-highs-is-the-selloff-a-buying-opportunity-in-2026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91,3 %</w:t>
      </w:r>
      <w:r>
        <w:t xml:space="preserve"> · Secciones con menos del 60 % de campos cubiertos: </w:t>
      </w:r>
      <w:r>
        <w:rPr>
          <w:b/>
          <w:bCs/>
        </w:rPr>
        <w:t xml:space="preserve">ninguna</w:t>
      </w:r>
      <w:r>
        <w:t xml:space="preserve"> · Generado el 26 oct 2026.</w:t>
      </w:r>
    </w:p>
    <w:p>
      <w:pPr>
        <w:pStyle w:val="Nota"/>
        <w:spacing w:after="100"/>
      </w:pPr>
      <w:r>
        <w:t xml:space="preserve">Cuenta de 2021-2025 de operaciones continuadas, reexpresada tras las ventas de 2022 (TransCore, industrial); el balance de 2021 aún incluye los negocios vendidos. Los segmentos solo están con la segmentación vigente en 2023-2025. El BPA de la historia del PER y del objetivo a 12 meses es GAAP «limpio»: con la amortización de intangibles comprados y sin las revalorizaciones de Indicor y Certinia ni partidas puntuales (conciliaciones de la empresa). El precio es el cierre del viernes 23-oct-2026 (la sesión del 26-oct no había abierto a la hora del corte). El 10-Q del 3T26 aún no está presentado: balance, flujos y acciones (99,0 M a 30-sep-2026 más 0,5 M de dilución) salen de la nota de resultados del 22-oct; la presentación de resultados no se pudo descargar y se usó la transcripción de la conferencia. Las estimaciones del consenso a tres años son de MarketScreener a 16-oct (antes del 3T26); los objetivos y recomendaciones, de MarketBeat a 23-oct. Comparables tomados de MarketScreener y de los informes del repo del 9-13-oct y llevados al cierre del 23-oct con el precio de Yahoo (deuda neta y estimaciones constantes). Arrendamientos operativos (US GAAP) fuera de la deuda.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Roper Technologies, Inc. (ROP)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438,14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(305,96 – 476,53)</c:v>
                </c:pt>
                <c:pt idx="1">
                  <c:v>Precio objetivo de los analistas (355,00 – 540,00)</c:v>
                </c:pt>
                <c:pt idx="2">
                  <c:v>Comparables: EV/EBITDA NTM (422,09 – 649,14)</c:v>
                </c:pt>
                <c:pt idx="3">
                  <c:v>Comparables: PER NTM (566,79 – 728,87)</c:v>
                </c:pt>
                <c:pt idx="4">
                  <c:v>Transacciones precedentes (EV/EBITDA) (381,64 – 571,10)</c:v>
                </c:pt>
                <c:pt idx="5">
                  <c:v>DCF (WACC y g ± 0,5) (400,81 – 568,14)</c:v>
                </c:pt>
                <c:pt idx="6">
                  <c:v>Escenarios (bajista – alcista) (272,01 – 550,16)</c:v>
                </c:pt>
                <c:pt idx="7">
                  <c:v>DCF con la prima implícita del mercado (4,2 %)</c:v>
                </c:pt>
                <c:pt idx="8">
                  <c:v>Precio actual (438,14)</c:v>
                </c:pt>
              </c:strCache>
            </c:strRef>
          </c:cat>
          <c:val>
            <c:numRef>
              <c:f>Hoja1!$B$2:$B$10</c:f>
              <c:numCache>
                <c:formatCode>#,##0</c:formatCode>
                <c:ptCount val="9"/>
                <c:pt idx="0">
                  <c:v>305.96</c:v>
                </c:pt>
                <c:pt idx="1">
                  <c:v>355</c:v>
                </c:pt>
                <c:pt idx="2">
                  <c:v>422.09</c:v>
                </c:pt>
                <c:pt idx="3">
                  <c:v>566.79</c:v>
                </c:pt>
                <c:pt idx="4">
                  <c:v>381.64</c:v>
                </c:pt>
                <c:pt idx="5">
                  <c:v>400.81</c:v>
                </c:pt>
                <c:pt idx="6">
                  <c:v>272.01</c:v>
                </c:pt>
                <c:pt idx="7">
                  <c:v>512.77</c:v>
                </c:pt>
                <c:pt idx="8">
                  <c:v>435.95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(305,96 – 476,53)</c:v>
                </c:pt>
                <c:pt idx="1">
                  <c:v>Precio objetivo de los analistas (355,00 – 540,00)</c:v>
                </c:pt>
                <c:pt idx="2">
                  <c:v>Comparables: EV/EBITDA NTM (422,09 – 649,14)</c:v>
                </c:pt>
                <c:pt idx="3">
                  <c:v>Comparables: PER NTM (566,79 – 728,87)</c:v>
                </c:pt>
                <c:pt idx="4">
                  <c:v>Transacciones precedentes (EV/EBITDA) (381,64 – 571,10)</c:v>
                </c:pt>
                <c:pt idx="5">
                  <c:v>DCF (WACC y g ± 0,5) (400,81 – 568,14)</c:v>
                </c:pt>
                <c:pt idx="6">
                  <c:v>Escenarios (bajista – alcista) (272,01 – 550,16)</c:v>
                </c:pt>
                <c:pt idx="7">
                  <c:v>DCF con la prima implícita del mercado (4,2 %)</c:v>
                </c:pt>
                <c:pt idx="8">
                  <c:v>Precio actual (438,14)</c:v>
                </c:pt>
              </c:strCache>
            </c:strRef>
          </c:cat>
          <c:val>
            <c:numRef>
              <c:f>Hoja1!$C$2:$C$10</c:f>
              <c:numCache>
                <c:formatCode>#,##0</c:formatCode>
                <c:ptCount val="9"/>
                <c:pt idx="0">
                  <c:v>170.57</c:v>
                </c:pt>
                <c:pt idx="1">
                  <c:v>185</c:v>
                </c:pt>
                <c:pt idx="2">
                  <c:v>227.05</c:v>
                </c:pt>
                <c:pt idx="3">
                  <c:v>162.08000000000004</c:v>
                </c:pt>
                <c:pt idx="4">
                  <c:v>189.46000000000004</c:v>
                </c:pt>
                <c:pt idx="5">
                  <c:v>167.32999999999998</c:v>
                </c:pt>
                <c:pt idx="6">
                  <c:v>278.15</c:v>
                </c:pt>
                <c:pt idx="7">
                  <c:v>141.51</c:v>
                </c:pt>
                <c:pt idx="8">
                  <c:v>4.3799999999999955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Application Software</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3186.9</c:v>
                </c:pt>
                <c:pt idx="1">
                  <c:v>3868.3</c:v>
                </c:pt>
                <c:pt idx="2">
                  <c:v>4483</c:v>
                </c:pt>
              </c:numCache>
            </c:numRef>
          </c:val>
        </c:ser>
        <c:ser>
          <c:idx val="1"/>
          <c:order val="1"/>
          <c:tx>
            <c:strRef>
              <c:f>Hoja1!$C$1</c:f>
              <c:strCache>
                <c:ptCount val="1"/>
                <c:pt idx="0">
                  <c:v>Network Software</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1439.4</c:v>
                </c:pt>
                <c:pt idx="1">
                  <c:v>1475.6</c:v>
                </c:pt>
                <c:pt idx="2">
                  <c:v>1600.8</c:v>
                </c:pt>
              </c:numCache>
            </c:numRef>
          </c:val>
        </c:ser>
        <c:ser>
          <c:idx val="2"/>
          <c:order val="2"/>
          <c:tx>
            <c:strRef>
              <c:f>Hoja1!$D$1</c:f>
              <c:strCache>
                <c:ptCount val="1"/>
                <c:pt idx="0">
                  <c:v>Technology Enabled Products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1551.5</c:v>
                </c:pt>
                <c:pt idx="1">
                  <c:v>1695.3</c:v>
                </c:pt>
                <c:pt idx="2">
                  <c:v>1818.7</c:v>
                </c:pt>
              </c:numCache>
            </c:numRef>
          </c:val>
        </c:ser>
        <c:ser>
          <c:idx val="3"/>
          <c:order val="3"/>
          <c:tx>
            <c:strRef>
              <c:f>Hoja1!$E$1</c:f>
              <c:strCache>
                <c:ptCount val="1"/>
                <c:pt idx="0">
                  <c:v>Corporativo</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Application Software</c:v>
                </c:pt>
                <c:pt idx="1">
                  <c:v>Network Software</c:v>
                </c:pt>
                <c:pt idx="2">
                  <c:v>Technology Enabled Products</c:v>
                </c:pt>
                <c:pt idx="3">
                  <c:v>Corporativo</c:v>
                </c:pt>
              </c:strCache>
            </c:strRef>
          </c:cat>
          <c:val>
            <c:numRef>
              <c:f>Hoja1!$B$2:$B$5</c:f>
              <c:numCache>
                <c:formatCode>General</c:formatCode>
                <c:ptCount val="4"/>
                <c:pt idx="0">
                  <c:v>56.7</c:v>
                </c:pt>
                <c:pt idx="1">
                  <c:v>20.3</c:v>
                </c:pt>
                <c:pt idx="2">
                  <c:v>23</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(Mordor Intelligence))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2031e</c:v>
                </c:pt>
              </c:strCache>
            </c:strRef>
          </c:cat>
          <c:val>
            <c:numRef>
              <c:f>Hoja1!$B$2:$B$4</c:f>
              <c:numCache>
                <c:formatCode>#,##0</c:formatCode>
                <c:ptCount val="3"/>
                <c:pt idx="0">
                  <c:v>147110</c:v>
                </c:pt>
                <c:pt idx="1">
                  <c:v>164060</c:v>
                </c:pt>
                <c:pt idx="2">
                  <c:v>282980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Roper</c:v>
                </c:pt>
                <c:pt idx="1">
                  <c:v>Constellation Software</c:v>
                </c:pt>
                <c:pt idx="2">
                  <c:v>Tyler Technologies</c:v>
                </c:pt>
                <c:pt idx="3">
                  <c:v>Veeva Systems</c:v>
                </c:pt>
                <c:pt idx="4">
                  <c:v>Intuit</c:v>
                </c:pt>
                <c:pt idx="5">
                  <c:v>AMETEK</c:v>
                </c:pt>
                <c:pt idx="6">
                  <c:v>Fortive</c:v>
                </c:pt>
              </c:strCache>
            </c:strRef>
          </c:cat>
          <c:val>
            <c:numRef>
              <c:f>Hoja1!$B$2:$B$8</c:f>
              <c:numCache>
                <c:formatCode>0.0"%"</c:formatCode>
                <c:ptCount val="7"/>
                <c:pt idx="0">
                  <c:v>28.3</c:v>
                </c:pt>
                <c:pt idx="1">
                  <c:v>16.3</c:v>
                </c:pt>
                <c:pt idx="2">
                  <c:v>15.3</c:v>
                </c:pt>
                <c:pt idx="3">
                  <c:v>28.7</c:v>
                </c:pt>
                <c:pt idx="4">
                  <c:v>27.4</c:v>
                </c:pt>
                <c:pt idx="5">
                  <c:v>26.2</c:v>
                </c:pt>
                <c:pt idx="6">
                  <c:v>17.3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2</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4833.8</c:v>
                </c:pt>
                <c:pt idx="1">
                  <c:v>5371.8</c:v>
                </c:pt>
                <c:pt idx="2">
                  <c:v>6177.8</c:v>
                </c:pt>
                <c:pt idx="3">
                  <c:v>7039.2</c:v>
                </c:pt>
                <c:pt idx="4">
                  <c:v>7902.5</c:v>
                </c:pt>
                <c:pt idx="5">
                  <c:v>8590</c:v>
                </c:pt>
                <c:pt idx="6">
                  <c:v>9148</c:v>
                </c:pt>
                <c:pt idx="7">
                  <c:v>9697</c:v>
                </c:pt>
                <c:pt idx="8">
                  <c:v>10231</c:v>
                </c:pt>
                <c:pt idx="9">
                  <c:v>10742</c:v>
                </c:pt>
                <c:pt idx="10">
                  <c:v>11226</c:v>
                </c:pt>
                <c:pt idx="11">
                  <c:v>11675</c:v>
                </c:pt>
                <c:pt idx="12">
                  <c:v>12083</c:v>
                </c:pt>
                <c:pt idx="13">
                  <c:v>12476</c:v>
                </c:pt>
                <c:pt idx="14">
                  <c:v>12850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1857.1</c:v>
                </c:pt>
                <c:pt idx="1">
                  <c:v>2174.6</c:v>
                </c:pt>
                <c:pt idx="2">
                  <c:v>2500.4</c:v>
                </c:pt>
                <c:pt idx="3">
                  <c:v>2809.6</c:v>
                </c:pt>
                <c:pt idx="4">
                  <c:v>3133.6</c:v>
                </c:pt>
                <c:pt idx="5">
                  <c:v>3350</c:v>
                </c:pt>
                <c:pt idx="6">
                  <c:v>3577</c:v>
                </c:pt>
                <c:pt idx="7">
                  <c:v>3801</c:v>
                </c:pt>
                <c:pt idx="8">
                  <c:v>4021</c:v>
                </c:pt>
                <c:pt idx="9">
                  <c:v>4232</c:v>
                </c:pt>
                <c:pt idx="10">
                  <c:v>4434</c:v>
                </c:pt>
                <c:pt idx="11">
                  <c:v>4611</c:v>
                </c:pt>
                <c:pt idx="12">
                  <c:v>4773</c:v>
                </c:pt>
                <c:pt idx="13">
                  <c:v>4928</c:v>
                </c:pt>
                <c:pt idx="14">
                  <c:v>5076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70.5</c:v>
                </c:pt>
                <c:pt idx="1">
                  <c:v>69.9</c:v>
                </c:pt>
                <c:pt idx="2">
                  <c:v>69.7</c:v>
                </c:pt>
                <c:pt idx="3">
                  <c:v>69.3</c:v>
                </c:pt>
                <c:pt idx="4">
                  <c:v>69.2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38.4</c:v>
                </c:pt>
                <c:pt idx="1">
                  <c:v>40.5</c:v>
                </c:pt>
                <c:pt idx="2">
                  <c:v>40.5</c:v>
                </c:pt>
                <c:pt idx="3">
                  <c:v>39.9</c:v>
                </c:pt>
                <c:pt idx="4">
                  <c:v>39.7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25.7</c:v>
                </c:pt>
                <c:pt idx="1">
                  <c:v>28.4</c:v>
                </c:pt>
                <c:pt idx="2">
                  <c:v>28.2</c:v>
                </c:pt>
                <c:pt idx="3">
                  <c:v>28.4</c:v>
                </c:pt>
                <c:pt idx="4">
                  <c:v>28.3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16.7</c:v>
                </c:pt>
                <c:pt idx="1">
                  <c:v>18.3</c:v>
                </c:pt>
                <c:pt idx="2">
                  <c:v>22.2</c:v>
                </c:pt>
                <c:pt idx="3">
                  <c:v>22</c:v>
                </c:pt>
                <c:pt idx="4">
                  <c:v>19.4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16.3</c:v>
                </c:pt>
                <c:pt idx="1">
                  <c:v>12</c:v>
                </c:pt>
                <c:pt idx="2">
                  <c:v>13.2</c:v>
                </c:pt>
                <c:pt idx="3">
                  <c:v>14.3</c:v>
                </c:pt>
                <c:pt idx="4">
                  <c:v>9.7</c:v>
                </c:pt>
                <c:pt idx="5">
                  <c:v>11.3</c:v>
                </c:pt>
                <c:pt idx="6">
                  <c:v>8.5</c:v>
                </c:pt>
                <c:pt idx="7">
                  <c:v>7.6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4">
                  <c:v>4</c:v>
                </c:pt>
                <c:pt idx="6">
                  <c:v>4.9</c:v>
                </c:pt>
                <c:pt idx="7">
                  <c:v>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52</c:v>
                </c:pt>
                <c:pt idx="1">
                  <c:v>49</c:v>
                </c:pt>
                <c:pt idx="2">
                  <c:v>49</c:v>
                </c:pt>
                <c:pt idx="3">
                  <c:v>46</c:v>
                </c:pt>
                <c:pt idx="4">
                  <c:v>46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18</c:v>
                </c:pt>
                <c:pt idx="1">
                  <c:v>25</c:v>
                </c:pt>
                <c:pt idx="2">
                  <c:v>23</c:v>
                </c:pt>
                <c:pt idx="3">
                  <c:v>20</c:v>
                </c:pt>
                <c:pt idx="4">
                  <c:v>21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25</c:v>
                </c:pt>
                <c:pt idx="1">
                  <c:v>28</c:v>
                </c:pt>
                <c:pt idx="2">
                  <c:v>28</c:v>
                </c:pt>
                <c:pt idx="3">
                  <c:v>25</c:v>
                </c:pt>
                <c:pt idx="4">
                  <c:v>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1597.6</c:v>
                </c:pt>
                <c:pt idx="1">
                  <c:v>1490.1000000000001</c:v>
                </c:pt>
                <c:pt idx="2">
                  <c:v>1927.1</c:v>
                </c:pt>
                <c:pt idx="3">
                  <c:v>2282.2</c:v>
                </c:pt>
                <c:pt idx="4">
                  <c:v>2435.6000000000004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805.3</c:v>
                </c:pt>
                <c:pt idx="1">
                  <c:v>985.6</c:v>
                </c:pt>
                <c:pt idx="2">
                  <c:v>1368.4</c:v>
                </c:pt>
                <c:pt idx="3">
                  <c:v>1549.3</c:v>
                </c:pt>
                <c:pt idx="4">
                  <c:v>1536.3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5.1</c:v>
                </c:pt>
                <c:pt idx="1">
                  <c:v>5.7</c:v>
                </c:pt>
                <c:pt idx="2">
                  <c:v>6</c:v>
                </c:pt>
                <c:pt idx="3">
                  <c:v>6.3</c:v>
                </c:pt>
                <c:pt idx="4">
                  <c:v>6.4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8.6</c:v>
                </c:pt>
                <c:pt idx="1">
                  <c:v>8.6</c:v>
                </c:pt>
                <c:pt idx="2">
                  <c:v>8.6</c:v>
                </c:pt>
                <c:pt idx="3">
                  <c:v>8.6</c:v>
                </c:pt>
                <c:pt idx="4">
                  <c:v>8.6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c:v>
                </c:pt>
                <c:pt idx="1">
                  <c:v>7.1</c:v>
                </c:pt>
                <c:pt idx="2">
                  <c:v>8.2</c:v>
                </c:pt>
                <c:pt idx="3">
                  <c:v>8.5</c:v>
                </c:pt>
                <c:pt idx="4">
                  <c:v>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4.08</c:v>
                </c:pt>
                <c:pt idx="1">
                  <c:v>2.7</c:v>
                </c:pt>
                <c:pt idx="2">
                  <c:v>2.45</c:v>
                </c:pt>
                <c:pt idx="3">
                  <c:v>2.65</c:v>
                </c:pt>
                <c:pt idx="4">
                  <c:v>2.87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705.8</c:v>
                </c:pt>
                <c:pt idx="1">
                  <c:v>1550.1</c:v>
                </c:pt>
                <c:pt idx="2">
                  <c:v>1300</c:v>
                </c:pt>
                <c:pt idx="3">
                  <c:v>1200</c:v>
                </c:pt>
                <c:pt idx="4">
                  <c:v>1100</c:v>
                </c:pt>
                <c:pt idx="5">
                  <c:v>3500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217</c:v>
                </c:pt>
                <c:pt idx="1">
                  <c:v>4280.1</c:v>
                </c:pt>
                <c:pt idx="2">
                  <c:v>2052.7</c:v>
                </c:pt>
                <c:pt idx="3">
                  <c:v>3612.9</c:v>
                </c:pt>
                <c:pt idx="4">
                  <c:v>3290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236.4</c:v>
                </c:pt>
                <c:pt idx="1">
                  <c:v>262.3</c:v>
                </c:pt>
                <c:pt idx="2">
                  <c:v>290.2</c:v>
                </c:pt>
                <c:pt idx="3">
                  <c:v>321.9</c:v>
                </c:pt>
                <c:pt idx="4">
                  <c:v>355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500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c:v>
                </c:pt>
                <c:pt idx="2">
                  <c:v>Windacre Partnership</c:v>
                </c:pt>
                <c:pt idx="3">
                  <c:v>Autocartera</c:v>
                </c:pt>
              </c:strCache>
            </c:strRef>
          </c:cat>
          <c:val>
            <c:numRef>
              <c:f>Hoja1!$B$2:$B$5</c:f>
              <c:numCache>
                <c:formatCode>0.0"%"</c:formatCode>
                <c:ptCount val="4"/>
                <c:pt idx="0">
                  <c:v>11.6</c:v>
                </c:pt>
                <c:pt idx="1">
                  <c:v>9</c:v>
                </c:pt>
                <c:pt idx="2">
                  <c:v>6.9</c:v>
                </c:pt>
                <c:pt idx="3">
                  <c:v>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-3.5</c:v>
                </c:pt>
                <c:pt idx="1">
                  <c:v>41.5</c:v>
                </c:pt>
                <c:pt idx="2">
                  <c:v>2.9</c:v>
                </c:pt>
                <c:pt idx="3">
                  <c:v>32.9</c:v>
                </c:pt>
                <c:pt idx="4">
                  <c:v>21.7</c:v>
                </c:pt>
                <c:pt idx="5">
                  <c:v>14.1</c:v>
                </c:pt>
                <c:pt idx="6">
                  <c:v>-12.2</c:v>
                </c:pt>
                <c:pt idx="7">
                  <c:v>26.2</c:v>
                </c:pt>
                <c:pt idx="8">
                  <c:v>-4.6</c:v>
                </c:pt>
                <c:pt idx="9">
                  <c:v>-14.4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32.3</c:v>
                </c:pt>
                <c:pt idx="1">
                  <c:v>23.9</c:v>
                </c:pt>
                <c:pt idx="2">
                  <c:v>25.9</c:v>
                </c:pt>
                <c:pt idx="3">
                  <c:v>22.6</c:v>
                </c:pt>
                <c:pt idx="4">
                  <c:v>18.2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23.3</c:v>
                </c:pt>
                <c:pt idx="1">
                  <c:v>23.3</c:v>
                </c:pt>
                <c:pt idx="2">
                  <c:v>23.3</c:v>
                </c:pt>
                <c:pt idx="3">
                  <c:v>23.3</c:v>
                </c:pt>
                <c:pt idx="4">
                  <c:v>23.3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Roper</c:v>
                </c:pt>
                <c:pt idx="1">
                  <c:v>Constellation Software</c:v>
                </c:pt>
                <c:pt idx="2">
                  <c:v>Tyler Technologies</c:v>
                </c:pt>
                <c:pt idx="3">
                  <c:v>Veeva Systems</c:v>
                </c:pt>
                <c:pt idx="4">
                  <c:v>Intuit</c:v>
                </c:pt>
                <c:pt idx="5">
                  <c:v>AMETEK</c:v>
                </c:pt>
                <c:pt idx="6">
                  <c:v>Fortive</c:v>
                </c:pt>
                <c:pt idx="7">
                  <c:v>Descartes Systems</c:v>
                </c:pt>
              </c:strCache>
            </c:strRef>
          </c:cat>
          <c:val>
            <c:numRef>
              <c:f>Hoja1!$B$2:$B$9</c:f>
              <c:numCache>
                <c:formatCode>0.0"x"</c:formatCode>
                <c:ptCount val="8"/>
                <c:pt idx="0">
                  <c:v>14.9</c:v>
                </c:pt>
                <c:pt idx="1">
                  <c:v>14</c:v>
                </c:pt>
                <c:pt idx="2">
                  <c:v>24.9</c:v>
                </c:pt>
                <c:pt idx="4">
                  <c:v>11.2</c:v>
                </c:pt>
                <c:pt idx="5">
                  <c:v>21.3</c:v>
                </c:pt>
                <c:pt idx="6">
                  <c:v>15.6</c:v>
                </c:pt>
                <c:pt idx="7">
                  <c:v>19.2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Roper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6.2</c:v>
                </c:pt>
              </c:numCache>
            </c:numRef>
          </c:xVal>
          <c:yVal>
            <c:numRef>
              <c:f>Hoja1!$C$2</c:f>
              <c:numCache>
                <c:formatCode>0.0"x"</c:formatCode>
                <c:ptCount val="1"/>
                <c:pt idx="0">
                  <c:v>14.9</c:v>
                </c:pt>
              </c:numCache>
            </c:numRef>
          </c:yVal>
          <c:smooth val="0"/>
        </c:ser>
        <c:ser>
          <c:idx val="1"/>
          <c:order val="1"/>
          <c:tx>
            <c:strRef>
              <c:f>Hoja1!$A$3</c:f>
              <c:strCache>
                <c:ptCount val="1"/>
                <c:pt idx="0">
                  <c:v>Constellation Software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23.5</c:v>
                </c:pt>
              </c:numCache>
            </c:numRef>
          </c:xVal>
          <c:yVal>
            <c:numRef>
              <c:f>Hoja1!$C$3</c:f>
              <c:numCache>
                <c:formatCode>0.0"x"</c:formatCode>
                <c:ptCount val="1"/>
                <c:pt idx="0">
                  <c:v>14</c:v>
                </c:pt>
              </c:numCache>
            </c:numRef>
          </c:yVal>
          <c:smooth val="0"/>
        </c:ser>
        <c:ser>
          <c:idx val="2"/>
          <c:order val="2"/>
          <c:tx>
            <c:strRef>
              <c:f>Hoja1!$A$4</c:f>
              <c:strCache>
                <c:ptCount val="1"/>
                <c:pt idx="0">
                  <c:v>Tyler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9.8</c:v>
                </c:pt>
              </c:numCache>
            </c:numRef>
          </c:xVal>
          <c:yVal>
            <c:numRef>
              <c:f>Hoja1!$C$4</c:f>
              <c:numCache>
                <c:formatCode>0.0"x"</c:formatCode>
                <c:ptCount val="1"/>
                <c:pt idx="0">
                  <c:v>24.9</c:v>
                </c:pt>
              </c:numCache>
            </c:numRef>
          </c:yVal>
          <c:smooth val="0"/>
        </c:ser>
        <c:ser>
          <c:idx val="3"/>
          <c:order val="3"/>
          <c:tx>
            <c:strRef>
              <c:f>Hoja1!$A$5</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9.2</c:v>
                </c:pt>
              </c:numCache>
            </c:numRef>
          </c:xVal>
          <c:yVal>
            <c:numRef>
              <c:f>Hoja1!$C$5</c:f>
              <c:numCache>
                <c:formatCode>0.0"x"</c:formatCode>
                <c:ptCount val="1"/>
                <c:pt idx="0">
                  <c:v>11.2</c:v>
                </c:pt>
              </c:numCache>
            </c:numRef>
          </c:yVal>
          <c:smooth val="0"/>
        </c:ser>
        <c:ser>
          <c:idx val="4"/>
          <c:order val="4"/>
          <c:tx>
            <c:strRef>
              <c:f>Hoja1!$A$6</c:f>
              <c:strCache>
                <c:ptCount val="1"/>
                <c:pt idx="0">
                  <c:v>AMETEK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14</c:v>
                </c:pt>
              </c:numCache>
            </c:numRef>
          </c:xVal>
          <c:yVal>
            <c:numRef>
              <c:f>Hoja1!$C$6</c:f>
              <c:numCache>
                <c:formatCode>0.0"x"</c:formatCode>
                <c:ptCount val="1"/>
                <c:pt idx="0">
                  <c:v>21.3</c:v>
                </c:pt>
              </c:numCache>
            </c:numRef>
          </c:yVal>
          <c:smooth val="0"/>
        </c:ser>
        <c:ser>
          <c:idx val="5"/>
          <c:order val="5"/>
          <c:tx>
            <c:strRef>
              <c:f>Hoja1!$A$7</c:f>
              <c:strCache>
                <c:ptCount val="1"/>
                <c:pt idx="0">
                  <c:v>Fortive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4.5</c:v>
                </c:pt>
              </c:numCache>
            </c:numRef>
          </c:xVal>
          <c:yVal>
            <c:numRef>
              <c:f>Hoja1!$C$7</c:f>
              <c:numCache>
                <c:formatCode>0.0"x"</c:formatCode>
                <c:ptCount val="1"/>
                <c:pt idx="0">
                  <c:v>15.6</c:v>
                </c:pt>
              </c:numCache>
            </c:numRef>
          </c:yVal>
          <c:smooth val="0"/>
        </c:ser>
        <c:ser>
          <c:idx val="6"/>
          <c:order val="6"/>
          <c:tx>
            <c:strRef>
              <c:f>Hoja1!$A$8</c:f>
              <c:strCache>
                <c:ptCount val="1"/>
                <c:pt idx="0">
                  <c:v>Descartes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12.3</c:v>
                </c:pt>
              </c:numCache>
            </c:numRef>
          </c:xVal>
          <c:yVal>
            <c:numRef>
              <c:f>Hoja1!$C$8</c:f>
              <c:numCache>
                <c:formatCode>0.0"x"</c:formatCode>
                <c:ptCount val="1"/>
                <c:pt idx="0">
                  <c:v>19.2</c:v>
                </c:pt>
              </c:numCache>
            </c:numRef>
          </c:yVal>
          <c:smooth val="0"/>
        </c:ser>
        <c:axId val="10"/>
        <c:axId val="20"/>
      </c:scatterChart>
      <c:valAx>
        <c:axId val="10"/>
        <c:scaling>
          <c:orientation val="minMax"/>
          <c:max val="2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8"/>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Weave Communications (software vertical para clínicas)</c:v>
                </c:pt>
                <c:pt idx="1">
                  <c:v>MeridianLink (software vertical de préstamos)</c:v>
                </c:pt>
                <c:pt idx="2">
                  <c:v>NCR Digital Banking</c:v>
                </c:pt>
                <c:pt idx="3">
                  <c:v>Computer Services, Inc. (software para bancos)</c:v>
                </c:pt>
                <c:pt idx="4">
                  <c:v>Black Knight (software hipotecario)</c:v>
                </c:pt>
                <c:pt idx="5">
                  <c:v>Bottomline Technologies (software de pagos)</c:v>
                </c:pt>
                <c:pt idx="6">
                  <c:v>CoreLogic (datos y software inmobiliario)</c:v>
                </c:pt>
                <c:pt idx="7">
                  <c:v>Indicor Instrumentation (participada de Roper)</c:v>
                </c:pt>
                <c:pt idx="8">
                  <c:v>Cornell Pump y Roper Pump (Indicor)</c:v>
                </c:pt>
              </c:strCache>
            </c:strRef>
          </c:cat>
          <c:val>
            <c:numRef>
              <c:f>Hoja1!$B$2:$B$10</c:f>
              <c:numCache>
                <c:formatCode>0.0"x"</c:formatCode>
                <c:ptCount val="9"/>
                <c:pt idx="1">
                  <c:v>14</c:v>
                </c:pt>
                <c:pt idx="2">
                  <c:v>15.8</c:v>
                </c:pt>
                <c:pt idx="3">
                  <c:v>15.1</c:v>
                </c:pt>
                <c:pt idx="4">
                  <c:v>21.4</c:v>
                </c:pt>
                <c:pt idx="5">
                  <c:v>26.6</c:v>
                </c:pt>
                <c:pt idx="6">
                  <c:v>13.1</c:v>
                </c:pt>
                <c:pt idx="8">
                  <c:v>11.6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2803</c:v>
                </c:pt>
                <c:pt idx="1">
                  <c:v>2957</c:v>
                </c:pt>
                <c:pt idx="2">
                  <c:v>3125</c:v>
                </c:pt>
                <c:pt idx="3">
                  <c:v>3287</c:v>
                </c:pt>
                <c:pt idx="4">
                  <c:v>3439</c:v>
                </c:pt>
                <c:pt idx="5">
                  <c:v>3575</c:v>
                </c:pt>
                <c:pt idx="6">
                  <c:v>3673</c:v>
                </c:pt>
                <c:pt idx="7">
                  <c:v>3763</c:v>
                </c:pt>
                <c:pt idx="8">
                  <c:v>3830</c:v>
                </c:pt>
                <c:pt idx="9">
                  <c:v>3901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22027</c:v>
                </c:pt>
                <c:pt idx="1">
                  <c:v>33751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438,14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272.01</c:v>
                </c:pt>
                <c:pt idx="1">
                  <c:v>469.81</c:v>
                </c:pt>
                <c:pt idx="2">
                  <c:v>550.16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438,14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(305,96 – 476,53)</c:v>
                </c:pt>
                <c:pt idx="1">
                  <c:v>Precio objetivo de los analistas (355,00 – 540,00)</c:v>
                </c:pt>
                <c:pt idx="2">
                  <c:v>Comparables: EV/EBITDA NTM (422,09 – 649,14)</c:v>
                </c:pt>
                <c:pt idx="3">
                  <c:v>Comparables: PER NTM (566,79 – 728,87)</c:v>
                </c:pt>
                <c:pt idx="4">
                  <c:v>Transacciones precedentes (EV/EBITDA) (381,64 – 571,10)</c:v>
                </c:pt>
                <c:pt idx="5">
                  <c:v>DCF (WACC y g ± 0,5) (400,81 – 568,14)</c:v>
                </c:pt>
                <c:pt idx="6">
                  <c:v>Escenarios (bajista – alcista) (272,01 – 550,16)</c:v>
                </c:pt>
                <c:pt idx="7">
                  <c:v>DCF con la prima implícita del mercado (4,2 %)</c:v>
                </c:pt>
                <c:pt idx="8">
                  <c:v>Precio actual (438,14)</c:v>
                </c:pt>
              </c:strCache>
            </c:strRef>
          </c:cat>
          <c:val>
            <c:numRef>
              <c:f>Hoja1!$B$2:$B$10</c:f>
              <c:numCache>
                <c:formatCode>#,##0</c:formatCode>
                <c:ptCount val="9"/>
                <c:pt idx="0">
                  <c:v>305.96</c:v>
                </c:pt>
                <c:pt idx="1">
                  <c:v>355</c:v>
                </c:pt>
                <c:pt idx="2">
                  <c:v>422.09</c:v>
                </c:pt>
                <c:pt idx="3">
                  <c:v>566.79</c:v>
                </c:pt>
                <c:pt idx="4">
                  <c:v>381.64</c:v>
                </c:pt>
                <c:pt idx="5">
                  <c:v>400.81</c:v>
                </c:pt>
                <c:pt idx="6">
                  <c:v>272.01</c:v>
                </c:pt>
                <c:pt idx="7">
                  <c:v>512.77</c:v>
                </c:pt>
                <c:pt idx="8">
                  <c:v>435.95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(305,96 – 476,53)</c:v>
                </c:pt>
                <c:pt idx="1">
                  <c:v>Precio objetivo de los analistas (355,00 – 540,00)</c:v>
                </c:pt>
                <c:pt idx="2">
                  <c:v>Comparables: EV/EBITDA NTM (422,09 – 649,14)</c:v>
                </c:pt>
                <c:pt idx="3">
                  <c:v>Comparables: PER NTM (566,79 – 728,87)</c:v>
                </c:pt>
                <c:pt idx="4">
                  <c:v>Transacciones precedentes (EV/EBITDA) (381,64 – 571,10)</c:v>
                </c:pt>
                <c:pt idx="5">
                  <c:v>DCF (WACC y g ± 0,5) (400,81 – 568,14)</c:v>
                </c:pt>
                <c:pt idx="6">
                  <c:v>Escenarios (bajista – alcista) (272,01 – 550,16)</c:v>
                </c:pt>
                <c:pt idx="7">
                  <c:v>DCF con la prima implícita del mercado (4,2 %)</c:v>
                </c:pt>
                <c:pt idx="8">
                  <c:v>Precio actual (438,14)</c:v>
                </c:pt>
              </c:strCache>
            </c:strRef>
          </c:cat>
          <c:val>
            <c:numRef>
              <c:f>Hoja1!$C$2:$C$10</c:f>
              <c:numCache>
                <c:formatCode>#,##0</c:formatCode>
                <c:ptCount val="9"/>
                <c:pt idx="0">
                  <c:v>170.57</c:v>
                </c:pt>
                <c:pt idx="1">
                  <c:v>185</c:v>
                </c:pt>
                <c:pt idx="2">
                  <c:v>227.05</c:v>
                </c:pt>
                <c:pt idx="3">
                  <c:v>162.08000000000004</c:v>
                </c:pt>
                <c:pt idx="4">
                  <c:v>189.46000000000004</c:v>
                </c:pt>
                <c:pt idx="5">
                  <c:v>167.32999999999998</c:v>
                </c:pt>
                <c:pt idx="6">
                  <c:v>278.15</c:v>
                </c:pt>
                <c:pt idx="7">
                  <c:v>141.51</c:v>
                </c:pt>
                <c:pt idx="8">
                  <c:v>4.3799999999999955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