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rhythm-irtc-análisis-growth-14-oct-2026"/>
    <w:p>
      <w:pPr>
        <w:pStyle w:val="Heading1"/>
      </w:pPr>
      <w:r>
        <w:t xml:space="preserve">iRhythm (IRTC): análisis growth, 14-oct-2026</w:t>
      </w:r>
    </w:p>
    <w:p>
      <w:pPr>
        <w:pStyle w:val="FirstParagraph"/>
      </w:pPr>
      <w:r>
        <w:rPr>
          <w:bCs/>
          <w:b/>
        </w:rPr>
        <w:t xml:space="preserve">Señal (método v11, vigente): Vender, es decir, no comprar</w:t>
      </w:r>
      <w:r>
        <w:t xml:space="preserve"> </w:t>
      </w:r>
      <w:r>
        <w:t xml:space="preserve">· Puntuación 59/100 · Señales de cambio de tendencia 4/8 · EV/beneficio bruto NTM 5,6x</w:t>
      </w:r>
      <w:r>
        <w:t xml:space="preserve"> </w:t>
      </w:r>
      <w:r>
        <w:t xml:space="preserve">Precio 107,71 USD (cierre del 13-oct) · Objetivo 12 m 85,1 USD · Ponderada −21,0 % · Base −15,6 % · Bajista −59,7 % · Alcista +51,5 % · Compra hasta 81,1 USD</w:t>
      </w:r>
      <w:r>
        <w:t xml:space="preserve"> </w:t>
      </w:r>
      <w:r>
        <w:t xml:space="preserve">Peso orientativo: no entra · Por qué: la rentabilidad ponderada queda por debajo del −10 %</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Método</w:t>
            </w:r>
          </w:p>
        </w:tc>
        <w:tc>
          <w:tcPr/>
          <w:p>
            <w:pPr>
              <w:pStyle w:val="Compact"/>
              <w:jc w:val="left"/>
            </w:pPr>
            <w:r>
              <w:t xml:space="preserve">Puntuación</w:t>
            </w:r>
          </w:p>
        </w:tc>
        <w:tc>
          <w:tcPr/>
          <w:p>
            <w:pPr>
              <w:pStyle w:val="Compact"/>
              <w:jc w:val="left"/>
            </w:pPr>
            <w:r>
              <w:t xml:space="preserve">Ponderada</w:t>
            </w:r>
          </w:p>
        </w:tc>
        <w:tc>
          <w:tcPr/>
          <w:p>
            <w:pPr>
              <w:pStyle w:val="Compact"/>
              <w:jc w:val="left"/>
            </w:pPr>
            <w:r>
              <w:t xml:space="preserve">Base</w:t>
            </w:r>
          </w:p>
        </w:tc>
        <w:tc>
          <w:tcPr/>
          <w:p>
            <w:pPr>
              <w:pStyle w:val="Compact"/>
              <w:jc w:val="left"/>
            </w:pPr>
            <w:r>
              <w:t xml:space="preserve">Bajista</w:t>
            </w:r>
          </w:p>
        </w:tc>
        <w:tc>
          <w:tcPr/>
          <w:p>
            <w:pPr>
              <w:pStyle w:val="Compact"/>
              <w:jc w:val="left"/>
            </w:pPr>
            <w:r>
              <w:t xml:space="preserve">Alcista</w:t>
            </w:r>
          </w:p>
        </w:tc>
        <w:tc>
          <w:tcPr/>
          <w:p>
            <w:pPr>
              <w:pStyle w:val="Compact"/>
              <w:jc w:val="left"/>
            </w:pPr>
            <w:r>
              <w:t xml:space="preserve">Señal</w:t>
            </w:r>
          </w:p>
        </w:tc>
        <w:tc>
          <w:tcPr/>
          <w:p>
            <w:pPr>
              <w:pStyle w:val="Compact"/>
              <w:jc w:val="left"/>
            </w:pPr>
            <w:r>
              <w:t xml:space="preserve">Compra hasta</w:t>
            </w:r>
          </w:p>
        </w:tc>
      </w:tr>
      <w:tr>
        <w:tc>
          <w:tcPr/>
          <w:p>
            <w:pPr>
              <w:pStyle w:val="Compact"/>
              <w:jc w:val="left"/>
            </w:pPr>
            <w:r>
              <w:rPr>
                <w:bCs/>
                <w:b/>
              </w:rPr>
              <w:t xml:space="preserve">v11 (vigente)</w:t>
            </w:r>
            <w:r>
              <w:t xml:space="preserve">: ventas = menor entre mecánica y analista</w:t>
            </w:r>
          </w:p>
        </w:tc>
        <w:tc>
          <w:tcPr/>
          <w:p>
            <w:pPr>
              <w:pStyle w:val="Compact"/>
              <w:jc w:val="left"/>
            </w:pPr>
            <w:r>
              <w:t xml:space="preserve">59</w:t>
            </w:r>
          </w:p>
        </w:tc>
        <w:tc>
          <w:tcPr/>
          <w:p>
            <w:pPr>
              <w:pStyle w:val="Compact"/>
              <w:jc w:val="left"/>
            </w:pPr>
            <w:r>
              <w:t xml:space="preserve">−21,0 %</w:t>
            </w:r>
          </w:p>
        </w:tc>
        <w:tc>
          <w:tcPr/>
          <w:p>
            <w:pPr>
              <w:pStyle w:val="Compact"/>
              <w:jc w:val="left"/>
            </w:pPr>
            <w:r>
              <w:t xml:space="preserve">−15,6 %</w:t>
            </w:r>
          </w:p>
        </w:tc>
        <w:tc>
          <w:tcPr/>
          <w:p>
            <w:pPr>
              <w:pStyle w:val="Compact"/>
              <w:jc w:val="left"/>
            </w:pPr>
            <w:r>
              <w:t xml:space="preserve">−59,7 %</w:t>
            </w:r>
          </w:p>
        </w:tc>
        <w:tc>
          <w:tcPr/>
          <w:p>
            <w:pPr>
              <w:pStyle w:val="Compact"/>
              <w:jc w:val="left"/>
            </w:pPr>
            <w:r>
              <w:t xml:space="preserve">+51,5 %</w:t>
            </w:r>
          </w:p>
        </w:tc>
        <w:tc>
          <w:tcPr/>
          <w:p>
            <w:pPr>
              <w:pStyle w:val="Compact"/>
              <w:jc w:val="left"/>
            </w:pPr>
            <w:r>
              <w:rPr>
                <w:bCs/>
                <w:b/>
              </w:rPr>
              <w:t xml:space="preserve">Vender</w:t>
            </w:r>
          </w:p>
        </w:tc>
        <w:tc>
          <w:tcPr/>
          <w:p>
            <w:pPr>
              <w:pStyle w:val="Compact"/>
              <w:jc w:val="left"/>
            </w:pPr>
            <w:r>
              <w:t xml:space="preserve">81,1 USD</w:t>
            </w:r>
          </w:p>
        </w:tc>
      </w:tr>
      <w:tr>
        <w:tc>
          <w:tcPr/>
          <w:p>
            <w:pPr>
              <w:pStyle w:val="Compact"/>
              <w:jc w:val="left"/>
            </w:pPr>
            <w:r>
              <w:t xml:space="preserve">v9 (referencia): ventas mecánicas, 1.221 M en el base</w:t>
            </w:r>
          </w:p>
        </w:tc>
        <w:tc>
          <w:tcPr/>
          <w:p>
            <w:pPr>
              <w:pStyle w:val="Compact"/>
              <w:jc w:val="left"/>
            </w:pPr>
            <w:r>
              <w:t xml:space="preserve">59</w:t>
            </w:r>
          </w:p>
        </w:tc>
        <w:tc>
          <w:tcPr/>
          <w:p>
            <w:pPr>
              <w:pStyle w:val="Compact"/>
              <w:jc w:val="left"/>
            </w:pPr>
            <w:r>
              <w:t xml:space="preserve">−14,9 %</w:t>
            </w:r>
          </w:p>
        </w:tc>
        <w:tc>
          <w:tcPr/>
          <w:p>
            <w:pPr>
              <w:pStyle w:val="Compact"/>
              <w:jc w:val="left"/>
            </w:pPr>
            <w:r>
              <w:t xml:space="preserve">−8,0 %</w:t>
            </w:r>
          </w:p>
        </w:tc>
        <w:tc>
          <w:tcPr/>
          <w:p>
            <w:pPr>
              <w:pStyle w:val="Compact"/>
              <w:jc w:val="left"/>
            </w:pPr>
            <w:r>
              <w:t xml:space="preserve">−59,0 %</w:t>
            </w:r>
          </w:p>
        </w:tc>
        <w:tc>
          <w:tcPr/>
          <w:p>
            <w:pPr>
              <w:pStyle w:val="Compact"/>
              <w:jc w:val="left"/>
            </w:pPr>
            <w:r>
              <w:t xml:space="preserve">+64,9 %</w:t>
            </w:r>
          </w:p>
        </w:tc>
        <w:tc>
          <w:tcPr/>
          <w:p>
            <w:pPr>
              <w:pStyle w:val="Compact"/>
              <w:jc w:val="left"/>
            </w:pPr>
            <w:r>
              <w:t xml:space="preserve">Vender</w:t>
            </w:r>
          </w:p>
        </w:tc>
        <w:tc>
          <w:tcPr/>
          <w:p>
            <w:pPr>
              <w:pStyle w:val="Compact"/>
              <w:jc w:val="left"/>
            </w:pPr>
            <w:r>
              <w:t xml:space="preserve">87,3 USD</w:t>
            </w:r>
          </w:p>
        </w:tc>
      </w:tr>
      <w:tr>
        <w:tc>
          <w:tcPr/>
          <w:p>
            <w:pPr>
              <w:pStyle w:val="Compact"/>
              <w:jc w:val="left"/>
            </w:pPr>
            <w:r>
              <w:t xml:space="preserve">v12 (candidata, no vigente): mide la desaceleración con el crecimiento orgánico</w:t>
            </w:r>
          </w:p>
        </w:tc>
        <w:tc>
          <w:tcPr/>
          <w:p>
            <w:pPr>
              <w:pStyle w:val="Compact"/>
              <w:jc w:val="left"/>
            </w:pPr>
            <w:r>
              <w:t xml:space="preserve">59</w:t>
            </w:r>
          </w:p>
        </w:tc>
        <w:tc>
          <w:tcPr/>
          <w:p>
            <w:pPr>
              <w:pStyle w:val="Compact"/>
              <w:jc w:val="left"/>
            </w:pPr>
            <w:r>
              <w:t xml:space="preserve">−8,4 %</w:t>
            </w:r>
          </w:p>
        </w:tc>
        <w:tc>
          <w:tcPr/>
          <w:p>
            <w:pPr>
              <w:pStyle w:val="Compact"/>
              <w:jc w:val="left"/>
            </w:pPr>
            <w:r>
              <w:t xml:space="preserve">+1,8 %</w:t>
            </w:r>
          </w:p>
        </w:tc>
        <w:tc>
          <w:tcPr/>
          <w:p>
            <w:pPr>
              <w:pStyle w:val="Compact"/>
              <w:jc w:val="left"/>
            </w:pPr>
            <w:r>
              <w:t xml:space="preserve">−50,5 %</w:t>
            </w:r>
          </w:p>
        </w:tc>
        <w:tc>
          <w:tcPr/>
          <w:p>
            <w:pPr>
              <w:pStyle w:val="Compact"/>
              <w:jc w:val="left"/>
            </w:pPr>
            <w:r>
              <w:t xml:space="preserve">+56,3 %</w:t>
            </w:r>
          </w:p>
        </w:tc>
        <w:tc>
          <w:tcPr/>
          <w:p>
            <w:pPr>
              <w:pStyle w:val="Compact"/>
              <w:jc w:val="left"/>
            </w:pPr>
            <w:r>
              <w:t xml:space="preserve">Mantener</w:t>
            </w:r>
          </w:p>
        </w:tc>
        <w:tc>
          <w:tcPr/>
          <w:p>
            <w:pPr>
              <w:pStyle w:val="Compact"/>
              <w:jc w:val="left"/>
            </w:pPr>
            <w:r>
              <w:t xml:space="preserve">94,0 USD</w:t>
            </w:r>
          </w:p>
        </w:tc>
      </w:tr>
    </w:tbl>
    <w:p>
      <w:pPr>
        <w:pStyle w:val="BlockText"/>
      </w:pPr>
      <w:r>
        <w:rPr>
          <w:bCs/>
          <w:b/>
        </w:rPr>
        <w:t xml:space="preserve">Al precio actual</w:t>
      </w:r>
      <w:r>
        <w:t xml:space="preserve"> </w:t>
      </w:r>
      <w:r>
        <w:t xml:space="preserve">(105,78 USD, 14-oct a las 19:58 UTC, Yahoo) y con el objetivo del informe</w:t>
      </w:r>
      <w:r>
        <w:t xml:space="preserve"> </w:t>
      </w:r>
      <w:r>
        <w:rPr>
          <w:bCs/>
          <w:b/>
        </w:rPr>
        <w:t xml:space="preserve">fijo</w:t>
      </w:r>
      <w:r>
        <w:t xml:space="preserve"> </w:t>
      </w:r>
      <w:r>
        <w:t xml:space="preserve">(85,1 USD): ponderada</w:t>
      </w:r>
      <w:r>
        <w:t xml:space="preserve"> </w:t>
      </w:r>
      <w:r>
        <w:rPr>
          <w:bCs/>
          <w:b/>
        </w:rPr>
        <w:t xml:space="preserve">−19,5 %</w:t>
      </w:r>
      <w:r>
        <w:t xml:space="preserve">. Sigue sin comprarse: el precio está muy por encima del «compra hasta».</w:t>
      </w:r>
      <w:r>
        <w:t xml:space="preserve"> </w:t>
      </w:r>
      <w:r>
        <w:rPr>
          <w:bCs/>
          <w:b/>
        </w:rPr>
        <w:t xml:space="preserve">Valoración por EV/ventas</w:t>
      </w:r>
      <w:r>
        <w:t xml:space="preserve"> </w:t>
      </w:r>
      <w:r>
        <w:t xml:space="preserve">y no por EV/EBITDA: el EBITDA ajustado ya es positivo, pero el resultado operativo contable sigue en pérdidas en los últimos 12 meses y la caja libre acaba de girar. No es rentable de forma estable.</w:t>
      </w:r>
      <w:r>
        <w:t xml:space="preserve"> </w:t>
      </w:r>
      <w:r>
        <w:rPr>
          <w:bCs/>
          <w:b/>
        </w:rPr>
        <w:t xml:space="preserve">Prueba de robustez: FRÁGIL.</w:t>
      </w:r>
      <w:r>
        <w:t xml:space="preserve"> </w:t>
      </w:r>
      <w:r>
        <w:t xml:space="preserve">Lo firme es «no comprar»: sale en todas las variantes. Lo frágil es «Vender» frente a «Mantener»: con probabilidades 25/50/25 o con la candidata v12 sale Mantener. Detalle en el apartado 11.</w:t>
      </w:r>
    </w:p>
    <w:bookmarkStart w:id="20" w:name="la-tesis-en-cinco-líneas"/>
    <w:p>
      <w:pPr>
        <w:pStyle w:val="Heading2"/>
      </w:pPr>
      <w:r>
        <w:t xml:space="preserve">1. La tesis en cinco líneas</w:t>
      </w:r>
    </w:p>
    <w:p>
      <w:pPr>
        <w:numPr>
          <w:ilvl w:val="0"/>
          <w:numId w:val="1001"/>
        </w:numPr>
        <w:pStyle w:val="Compact"/>
      </w:pPr>
      <w:r>
        <w:t xml:space="preserve">iRhythm fabrica el</w:t>
      </w:r>
      <w:r>
        <w:t xml:space="preserve"> </w:t>
      </w:r>
      <w:r>
        <w:rPr>
          <w:bCs/>
          <w:b/>
        </w:rPr>
        <w:t xml:space="preserve">Zio</w:t>
      </w:r>
      <w:r>
        <w:t xml:space="preserve">, un parche que se pega en el pecho y graba el corazón hasta 14 días; luego su algoritmo y sus técnicos leen el registro y mandan el informe al médico. Cobra por prueba a aseguradoras y a Medicare. Vende 825 M USD en 12 meses (+25,6 %), con un margen bruto del 71,5 %.</w:t>
      </w:r>
    </w:p>
    <w:p>
      <w:pPr>
        <w:numPr>
          <w:ilvl w:val="0"/>
          <w:numId w:val="1001"/>
        </w:numPr>
        <w:pStyle w:val="Compact"/>
      </w:pPr>
      <w:r>
        <w:t xml:space="preserve">El negocio va bien: siete trimestres seguidos creciendo más del 20 %, guía subida dos veces en 2026, primer beneficio contable trimestral a finales de 2025 y caja libre récord en el 2T26. Acaba de comprar VitalConnect (unos 65 M de ventas) para entrar en telemetría móvil y monitorización hospitalaria.</w:t>
      </w:r>
    </w:p>
    <w:p>
      <w:pPr>
        <w:numPr>
          <w:ilvl w:val="0"/>
          <w:numId w:val="1001"/>
        </w:numPr>
        <w:pStyle w:val="Compact"/>
      </w:pPr>
      <w:r>
        <w:t xml:space="preserve">Pero el crecimiento frena: la guía del segundo semestre implica un +15 % sin la compra, frente al +26 % de 2025. La acción ha caído un 39 % en 12 meses y cotiza a 4,0 veces las ventas, por debajo de su historia.</w:t>
      </w:r>
    </w:p>
    <w:p>
      <w:pPr>
        <w:numPr>
          <w:ilvl w:val="0"/>
          <w:numId w:val="1001"/>
        </w:numPr>
        <w:pStyle w:val="Compact"/>
      </w:pPr>
      <w:r>
        <w:t xml:space="preserve">Con el método, a ese precio no hay recorrido. Las ventas del consenso ya están pagadas: si el múltiplo baja con el crecimiento, el escenario base pierde un 15,6 %. Además, la carta de advertencia de la FDA sigue abierta, Medicare paga una de cada cuatro pruebas y hay una demanda civil del Departamento de Justicia.</w:t>
      </w:r>
    </w:p>
    <w:p>
      <w:pPr>
        <w:numPr>
          <w:ilvl w:val="0"/>
          <w:numId w:val="1001"/>
        </w:numPr>
        <w:pStyle w:val="Compact"/>
      </w:pPr>
      <w:r>
        <w:t xml:space="preserve">Conclusión:</w:t>
      </w:r>
      <w:r>
        <w:t xml:space="preserve"> </w:t>
      </w:r>
      <w:r>
        <w:rPr>
          <w:bCs/>
          <w:b/>
        </w:rPr>
        <w:t xml:space="preserve">no comprar</w:t>
      </w:r>
      <w:r>
        <w:t xml:space="preserve">. Es un buen negocio en un mal momento de precio y de percepción, y la señal es frágil entre Vender y Mantener. Se revisa con los resultados del 3T (5-nov), cuando dé la guía con VitalConnect.</w:t>
      </w:r>
    </w:p>
    <w:bookmarkEnd w:id="20"/>
    <w:bookmarkStart w:id="21" w:name="negocio-y-tecnología"/>
    <w:p>
      <w:pPr>
        <w:pStyle w:val="Heading2"/>
      </w:pPr>
      <w:r>
        <w:t xml:space="preserve">2. Negocio y tecnología</w:t>
      </w:r>
    </w:p>
    <w:p>
      <w:pPr>
        <w:pStyle w:val="FirstParagraph"/>
      </w:pPr>
      <w:r>
        <w:rPr>
          <w:bCs/>
          <w:b/>
        </w:rPr>
        <w:t xml:space="preserve">Zio</w:t>
      </w:r>
      <w:r>
        <w:t xml:space="preserve"> </w:t>
      </w:r>
      <w:r>
        <w:t xml:space="preserve">es un servicio, no solo un aparato [2]:</w:t>
      </w:r>
    </w:p>
    <w:p>
      <w:pPr>
        <w:numPr>
          <w:ilvl w:val="0"/>
          <w:numId w:val="1002"/>
        </w:numPr>
        <w:pStyle w:val="Compact"/>
      </w:pPr>
      <w:r>
        <w:rPr>
          <w:bCs/>
          <w:b/>
        </w:rPr>
        <w:t xml:space="preserve">Zio XT y Zio monitor</w:t>
      </w:r>
      <w:r>
        <w:t xml:space="preserve">: parche de un solo uso que graba de forma continua hasta 14 días. El paciente lo devuelve por correo y el informe llega al médico. Es la mayor parte de las ventas.</w:t>
      </w:r>
    </w:p>
    <w:p>
      <w:pPr>
        <w:numPr>
          <w:ilvl w:val="0"/>
          <w:numId w:val="1002"/>
        </w:numPr>
        <w:pStyle w:val="Compact"/>
      </w:pPr>
      <w:r>
        <w:rPr>
          <w:bCs/>
          <w:b/>
        </w:rPr>
        <w:t xml:space="preserve">Zio AT</w:t>
      </w:r>
      <w:r>
        <w:t xml:space="preserve">: el mismo parche con transmisión casi en tiempo real. Es el producto afectado por la carta de advertencia de la FDA de 2023.</w:t>
      </w:r>
    </w:p>
    <w:p>
      <w:pPr>
        <w:numPr>
          <w:ilvl w:val="0"/>
          <w:numId w:val="1002"/>
        </w:numPr>
        <w:pStyle w:val="Compact"/>
      </w:pPr>
      <w:r>
        <w:rPr>
          <w:bCs/>
          <w:b/>
        </w:rPr>
        <w:t xml:space="preserve">Zio MCT</w:t>
      </w:r>
      <w:r>
        <w:t xml:space="preserve">: telemetría móvil de nueva generación. Se presentó a la FDA en 2025 y la aprobación se espera en el 1S27 [11][13].</w:t>
      </w:r>
    </w:p>
    <w:p>
      <w:pPr>
        <w:pStyle w:val="FirstParagraph"/>
      </w:pPr>
      <w:r>
        <w:t xml:space="preserve">iRhythm tiene sus propios centros de diagnóstico (IDTF) inscritos en Medicare: cobra a los pagadores por cada prueba (códigos CPT 93247, 93243 y 93229).</w:t>
      </w:r>
    </w:p>
    <w:p>
      <w:pPr>
        <w:pStyle w:val="BodyText"/>
      </w:pPr>
      <w:r>
        <w:rPr>
          <w:bCs/>
          <w:b/>
        </w:rPr>
        <w:t xml:space="preserve">Lo nuevo</w:t>
      </w:r>
      <w:r>
        <w:t xml:space="preserve">:</w:t>
      </w:r>
    </w:p>
    <w:p>
      <w:pPr>
        <w:numPr>
          <w:ilvl w:val="0"/>
          <w:numId w:val="1003"/>
        </w:numPr>
        <w:pStyle w:val="Compact"/>
      </w:pPr>
      <w:r>
        <w:rPr>
          <w:bCs/>
          <w:b/>
        </w:rPr>
        <w:t xml:space="preserve">VitalConnect</w:t>
      </w:r>
      <w:r>
        <w:t xml:space="preserve">, cerrada el 5-oct-2026. Aporta el parche VitalPatch, que mide hasta 11 constantes, telemetría móvil hasta 30 días y monitorización en el hospital y en casa. Cuesta 237,5 M en efectivo más ~50 M en acciones [4].</w:t>
      </w:r>
    </w:p>
    <w:p>
      <w:pPr>
        <w:numPr>
          <w:ilvl w:val="0"/>
          <w:numId w:val="1003"/>
        </w:numPr>
        <w:pStyle w:val="Compact"/>
      </w:pPr>
      <w:r>
        <w:rPr>
          <w:bCs/>
          <w:b/>
        </w:rPr>
        <w:t xml:space="preserve">Algoritmo de tercera generación</w:t>
      </w:r>
      <w:r>
        <w:t xml:space="preserve">, aprobado por la FDA en 2026. La empresa dice que reducirá a la mitad el tiempo de revisión de los técnicos y ahorrará ~100 M en cinco años [1][11].</w:t>
      </w:r>
    </w:p>
    <w:p>
      <w:pPr>
        <w:numPr>
          <w:ilvl w:val="0"/>
          <w:numId w:val="1003"/>
        </w:numPr>
        <w:pStyle w:val="Compact"/>
      </w:pPr>
      <w:r>
        <w:rPr>
          <w:bCs/>
          <w:b/>
        </w:rPr>
        <w:t xml:space="preserve">Cribado en atención primaria</w:t>
      </w:r>
      <w:r>
        <w:t xml:space="preserve"> </w:t>
      </w:r>
      <w:r>
        <w:t xml:space="preserve">de pacientes de riesgo (diabetes, EPOC), con analítica predictiva por IA.</w:t>
      </w:r>
    </w:p>
    <w:p>
      <w:pPr>
        <w:numPr>
          <w:ilvl w:val="0"/>
          <w:numId w:val="1003"/>
        </w:numPr>
        <w:pStyle w:val="Compact"/>
      </w:pPr>
      <w:r>
        <w:rPr>
          <w:bCs/>
          <w:b/>
        </w:rPr>
        <w:t xml:space="preserve">Expansión internacional</w:t>
      </w:r>
      <w:r>
        <w:t xml:space="preserve">: Reino Unido, Japón y Europa.</w:t>
      </w:r>
    </w:p>
    <w:p>
      <w:pPr>
        <w:pStyle w:val="FirstParagraph"/>
      </w:pPr>
      <w:r>
        <w:rPr>
          <w:bCs/>
          <w:b/>
        </w:rPr>
        <w:t xml:space="preserve">Tecnología 4/5</w:t>
      </w:r>
      <w:r>
        <w:t xml:space="preserve">:</w:t>
      </w:r>
    </w:p>
    <w:p>
      <w:pPr>
        <w:numPr>
          <w:ilvl w:val="0"/>
          <w:numId w:val="1004"/>
        </w:numPr>
        <w:pStyle w:val="Compact"/>
      </w:pPr>
      <w:r>
        <w:t xml:space="preserve">A favor: el parche de 14 días y el algoritmo de aprendizaje profundo, entrenado con un archivo de registros que ningún rival tiene (cifra exacta, de memoria [21]). Los estudios clínicos le dan ventaja frente al Holter clásico (CAMELOT, AVALON, AMALFI) [7].</w:t>
      </w:r>
    </w:p>
    <w:p>
      <w:pPr>
        <w:numPr>
          <w:ilvl w:val="0"/>
          <w:numId w:val="1004"/>
        </w:numPr>
        <w:pStyle w:val="Compact"/>
      </w:pPr>
      <w:r>
        <w:t xml:space="preserve">Por qué no es un 5: otros también tienen parches y algoritmos (Boston Scientific con Preventice, Philips con BioTel; Baxter con Bardy, que ahora tiene licencia cruzada de patentes tras el acuerdo de 50 M) [2].</w:t>
      </w:r>
    </w:p>
    <w:p>
      <w:pPr>
        <w:pStyle w:val="FirstParagraph"/>
      </w:pPr>
      <w:r>
        <w:rPr>
          <w:bCs/>
          <w:b/>
        </w:rPr>
        <w:t xml:space="preserve">Posición 4/5</w:t>
      </w:r>
      <w:r>
        <w:t xml:space="preserve">:</w:t>
      </w:r>
    </w:p>
    <w:p>
      <w:pPr>
        <w:numPr>
          <w:ilvl w:val="0"/>
          <w:numId w:val="1005"/>
        </w:numPr>
        <w:pStyle w:val="Compact"/>
      </w:pPr>
      <w:r>
        <w:t xml:space="preserve">A favor: líder en el parche de larga duración (de memoria, la mayor cuota en EE. UU. [21]).</w:t>
      </w:r>
    </w:p>
    <w:p>
      <w:pPr>
        <w:numPr>
          <w:ilvl w:val="0"/>
          <w:numId w:val="1005"/>
        </w:numPr>
        <w:pStyle w:val="Compact"/>
      </w:pPr>
      <w:r>
        <w:t xml:space="preserve">En contra: llega tarde a la telemetría móvil y el producto que da en tiempo real (Zio AT) arrastra el problema con la FDA.</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 interanual</w:t>
            </w:r>
          </w:p>
        </w:tc>
        <w:tc>
          <w:tcPr/>
          <w:p>
            <w:pPr>
              <w:pStyle w:val="Compact"/>
              <w:jc w:val="left"/>
            </w:pPr>
            <w:r>
              <w:t xml:space="preserve">Margen bruto</w:t>
            </w:r>
          </w:p>
        </w:tc>
        <w:tc>
          <w:tcPr/>
          <w:p>
            <w:pPr>
              <w:pStyle w:val="Compact"/>
              <w:jc w:val="left"/>
            </w:pPr>
            <w:r>
              <w:t xml:space="preserve">EBITDA ajustado</w:t>
            </w:r>
          </w:p>
        </w:tc>
      </w:tr>
      <w:tr>
        <w:tc>
          <w:tcPr/>
          <w:p>
            <w:pPr>
              <w:pStyle w:val="Compact"/>
              <w:jc w:val="left"/>
            </w:pPr>
            <w:r>
              <w:t xml:space="preserve">2T25</w:t>
            </w:r>
          </w:p>
        </w:tc>
        <w:tc>
          <w:tcPr/>
          <w:p>
            <w:pPr>
              <w:pStyle w:val="Compact"/>
              <w:jc w:val="left"/>
            </w:pPr>
            <w:r>
              <w:t xml:space="preserve">186,7</w:t>
            </w:r>
          </w:p>
        </w:tc>
        <w:tc>
          <w:tcPr/>
          <w:p>
            <w:pPr>
              <w:pStyle w:val="Compact"/>
              <w:jc w:val="left"/>
            </w:pPr>
            <w:r>
              <w:t xml:space="preserve">+26,1 %</w:t>
            </w:r>
          </w:p>
        </w:tc>
        <w:tc>
          <w:tcPr/>
          <w:p>
            <w:pPr>
              <w:pStyle w:val="Compact"/>
              <w:jc w:val="left"/>
            </w:pPr>
            <w:r>
              <w:t xml:space="preserve">71,2 %</w:t>
            </w:r>
          </w:p>
        </w:tc>
        <w:tc>
          <w:tcPr/>
          <w:p>
            <w:pPr>
              <w:pStyle w:val="Compact"/>
              <w:jc w:val="left"/>
            </w:pPr>
            <w:r>
              <w:t xml:space="preserve">8,4 %</w:t>
            </w:r>
          </w:p>
        </w:tc>
      </w:tr>
      <w:tr>
        <w:tc>
          <w:tcPr/>
          <w:p>
            <w:pPr>
              <w:pStyle w:val="Compact"/>
              <w:jc w:val="left"/>
            </w:pPr>
            <w:r>
              <w:t xml:space="preserve">3T25</w:t>
            </w:r>
          </w:p>
        </w:tc>
        <w:tc>
          <w:tcPr/>
          <w:p>
            <w:pPr>
              <w:pStyle w:val="Compact"/>
              <w:jc w:val="left"/>
            </w:pPr>
            <w:r>
              <w:t xml:space="preserve">192,9</w:t>
            </w:r>
          </w:p>
        </w:tc>
        <w:tc>
          <w:tcPr/>
          <w:p>
            <w:pPr>
              <w:pStyle w:val="Compact"/>
              <w:jc w:val="left"/>
            </w:pPr>
            <w:r>
              <w:t xml:space="preserve">+30,7 %</w:t>
            </w:r>
          </w:p>
        </w:tc>
        <w:tc>
          <w:tcPr/>
          <w:p>
            <w:pPr>
              <w:pStyle w:val="Compact"/>
              <w:jc w:val="left"/>
            </w:pPr>
            <w:r>
              <w:t xml:space="preserve">71,1 %</w:t>
            </w:r>
          </w:p>
        </w:tc>
        <w:tc>
          <w:tcPr/>
          <w:p>
            <w:pPr>
              <w:pStyle w:val="Compact"/>
              <w:jc w:val="left"/>
            </w:pPr>
            <w:r>
              <w:t xml:space="preserve">11,2 %</w:t>
            </w:r>
          </w:p>
        </w:tc>
      </w:tr>
      <w:tr>
        <w:tc>
          <w:tcPr/>
          <w:p>
            <w:pPr>
              <w:pStyle w:val="Compact"/>
              <w:jc w:val="left"/>
            </w:pPr>
            <w:r>
              <w:t xml:space="preserve">4T25</w:t>
            </w:r>
          </w:p>
        </w:tc>
        <w:tc>
          <w:tcPr/>
          <w:p>
            <w:pPr>
              <w:pStyle w:val="Compact"/>
              <w:jc w:val="left"/>
            </w:pPr>
            <w:r>
              <w:t xml:space="preserve">208,9</w:t>
            </w:r>
          </w:p>
        </w:tc>
        <w:tc>
          <w:tcPr/>
          <w:p>
            <w:pPr>
              <w:pStyle w:val="Compact"/>
              <w:jc w:val="left"/>
            </w:pPr>
            <w:r>
              <w:t xml:space="preserve">+27,1 %</w:t>
            </w:r>
          </w:p>
        </w:tc>
        <w:tc>
          <w:tcPr/>
          <w:p>
            <w:pPr>
              <w:pStyle w:val="Compact"/>
              <w:jc w:val="left"/>
            </w:pPr>
            <w:r>
              <w:t xml:space="preserve">70,9 %</w:t>
            </w:r>
          </w:p>
        </w:tc>
        <w:tc>
          <w:tcPr/>
          <w:p>
            <w:pPr>
              <w:pStyle w:val="Compact"/>
              <w:jc w:val="left"/>
            </w:pPr>
            <w:r>
              <w:t xml:space="preserve">16,4 %</w:t>
            </w:r>
          </w:p>
        </w:tc>
      </w:tr>
      <w:tr>
        <w:tc>
          <w:tcPr/>
          <w:p>
            <w:pPr>
              <w:pStyle w:val="Compact"/>
              <w:jc w:val="left"/>
            </w:pPr>
            <w:r>
              <w:t xml:space="preserve">1T26</w:t>
            </w:r>
          </w:p>
        </w:tc>
        <w:tc>
          <w:tcPr/>
          <w:p>
            <w:pPr>
              <w:pStyle w:val="Compact"/>
              <w:jc w:val="left"/>
            </w:pPr>
            <w:r>
              <w:t xml:space="preserve">199,4</w:t>
            </w:r>
          </w:p>
        </w:tc>
        <w:tc>
          <w:tcPr/>
          <w:p>
            <w:pPr>
              <w:pStyle w:val="Compact"/>
              <w:jc w:val="left"/>
            </w:pPr>
            <w:r>
              <w:t xml:space="preserve">+25,7 %</w:t>
            </w:r>
          </w:p>
        </w:tc>
        <w:tc>
          <w:tcPr/>
          <w:p>
            <w:pPr>
              <w:pStyle w:val="Compact"/>
              <w:jc w:val="left"/>
            </w:pPr>
            <w:r>
              <w:t xml:space="preserve">70,9 %</w:t>
            </w:r>
          </w:p>
        </w:tc>
        <w:tc>
          <w:tcPr/>
          <w:p>
            <w:pPr>
              <w:pStyle w:val="Compact"/>
              <w:jc w:val="left"/>
            </w:pPr>
            <w:r>
              <w:t xml:space="preserve">7,1 %</w:t>
            </w:r>
          </w:p>
        </w:tc>
      </w:tr>
      <w:tr>
        <w:tc>
          <w:tcPr/>
          <w:p>
            <w:pPr>
              <w:pStyle w:val="Compact"/>
              <w:jc w:val="left"/>
            </w:pPr>
            <w:r>
              <w:t xml:space="preserve">2T26</w:t>
            </w:r>
          </w:p>
        </w:tc>
        <w:tc>
          <w:tcPr/>
          <w:p>
            <w:pPr>
              <w:pStyle w:val="Compact"/>
              <w:jc w:val="left"/>
            </w:pPr>
            <w:r>
              <w:t xml:space="preserve">224,2</w:t>
            </w:r>
          </w:p>
        </w:tc>
        <w:tc>
          <w:tcPr/>
          <w:p>
            <w:pPr>
              <w:pStyle w:val="Compact"/>
              <w:jc w:val="left"/>
            </w:pPr>
            <w:r>
              <w:t xml:space="preserve">+20,1 %</w:t>
            </w:r>
          </w:p>
        </w:tc>
        <w:tc>
          <w:tcPr/>
          <w:p>
            <w:pPr>
              <w:pStyle w:val="Compact"/>
              <w:jc w:val="left"/>
            </w:pPr>
            <w:r>
              <w:t xml:space="preserve">72,8 %</w:t>
            </w:r>
          </w:p>
        </w:tc>
        <w:tc>
          <w:tcPr/>
          <w:p>
            <w:pPr>
              <w:pStyle w:val="Compact"/>
              <w:jc w:val="left"/>
            </w:pPr>
            <w:r>
              <w:t xml:space="preserve">19,3 %</w:t>
            </w:r>
          </w:p>
        </w:tc>
      </w:tr>
      <w:tr>
        <w:tc>
          <w:tcPr/>
          <w:p>
            <w:pPr>
              <w:pStyle w:val="Compact"/>
              <w:jc w:val="left"/>
            </w:pPr>
            <w:r>
              <w:t xml:space="preserve">3T26 (guía)</w:t>
            </w:r>
          </w:p>
        </w:tc>
        <w:tc>
          <w:tcPr/>
          <w:p>
            <w:pPr>
              <w:pStyle w:val="Compact"/>
              <w:jc w:val="left"/>
            </w:pPr>
            <w:r>
              <w:t xml:space="preserve">221-223</w:t>
            </w:r>
          </w:p>
        </w:tc>
        <w:tc>
          <w:tcPr/>
          <w:p>
            <w:pPr>
              <w:pStyle w:val="Compact"/>
              <w:jc w:val="left"/>
            </w:pPr>
            <w:r>
              <w:t xml:space="preserve">+15 %</w:t>
            </w:r>
          </w:p>
        </w:tc>
        <w:tc>
          <w:tcPr/>
          <w:p>
            <w:pPr>
              <w:pStyle w:val="Compact"/>
              <w:jc w:val="left"/>
            </w:pPr>
            <w:r>
              <w:t xml:space="preserve">—</w:t>
            </w:r>
          </w:p>
        </w:tc>
        <w:tc>
          <w:tcPr/>
          <w:p>
            <w:pPr>
              <w:pStyle w:val="Compact"/>
              <w:jc w:val="left"/>
            </w:pPr>
            <w:r>
              <w:t xml:space="preserve">12-13 %</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Año</w:t>
            </w:r>
          </w:p>
        </w:tc>
        <w:tc>
          <w:tcPr/>
          <w:p>
            <w:pPr>
              <w:pStyle w:val="Compact"/>
              <w:jc w:val="left"/>
            </w:pPr>
            <w:r>
              <w:t xml:space="preserve">Ventas</w:t>
            </w:r>
          </w:p>
        </w:tc>
        <w:tc>
          <w:tcPr/>
          <w:p>
            <w:pPr>
              <w:pStyle w:val="Compact"/>
              <w:jc w:val="left"/>
            </w:pPr>
            <w:r>
              <w:t xml:space="preserve">Crecimiento</w:t>
            </w:r>
          </w:p>
        </w:tc>
        <w:tc>
          <w:tcPr/>
          <w:p>
            <w:pPr>
              <w:pStyle w:val="Compact"/>
              <w:jc w:val="left"/>
            </w:pPr>
            <w:r>
              <w:t xml:space="preserve">Primera guía</w:t>
            </w:r>
          </w:p>
        </w:tc>
        <w:tc>
          <w:tcPr/>
          <w:p>
            <w:pPr>
              <w:pStyle w:val="Compact"/>
              <w:jc w:val="left"/>
            </w:pPr>
            <w:r>
              <w:t xml:space="preserve">Exceso sobre la primera guía</w:t>
            </w:r>
          </w:p>
        </w:tc>
      </w:tr>
      <w:tr>
        <w:tc>
          <w:tcPr/>
          <w:p>
            <w:pPr>
              <w:pStyle w:val="Compact"/>
              <w:jc w:val="left"/>
            </w:pPr>
            <w:r>
              <w:t xml:space="preserve">2024</w:t>
            </w:r>
          </w:p>
        </w:tc>
        <w:tc>
          <w:tcPr/>
          <w:p>
            <w:pPr>
              <w:pStyle w:val="Compact"/>
              <w:jc w:val="left"/>
            </w:pPr>
            <w:r>
              <w:t xml:space="preserve">591,8</w:t>
            </w:r>
          </w:p>
        </w:tc>
        <w:tc>
          <w:tcPr/>
          <w:p>
            <w:pPr>
              <w:pStyle w:val="Compact"/>
              <w:jc w:val="left"/>
            </w:pPr>
            <w:r>
              <w:t xml:space="preserve">+20,1 %</w:t>
            </w:r>
          </w:p>
        </w:tc>
        <w:tc>
          <w:tcPr/>
          <w:p>
            <w:pPr>
              <w:pStyle w:val="Compact"/>
              <w:jc w:val="left"/>
            </w:pPr>
            <w:r>
              <w:t xml:space="preserve">n.d.</w:t>
            </w:r>
          </w:p>
        </w:tc>
        <w:tc>
          <w:tcPr/>
          <w:p>
            <w:pPr>
              <w:pStyle w:val="Compact"/>
              <w:jc w:val="left"/>
            </w:pPr>
            <w:r>
              <w:t xml:space="preserve">—</w:t>
            </w:r>
          </w:p>
        </w:tc>
      </w:tr>
      <w:tr>
        <w:tc>
          <w:tcPr/>
          <w:p>
            <w:pPr>
              <w:pStyle w:val="Compact"/>
              <w:jc w:val="left"/>
            </w:pPr>
            <w:r>
              <w:t xml:space="preserve">2025</w:t>
            </w:r>
          </w:p>
        </w:tc>
        <w:tc>
          <w:tcPr/>
          <w:p>
            <w:pPr>
              <w:pStyle w:val="Compact"/>
              <w:jc w:val="left"/>
            </w:pPr>
            <w:r>
              <w:t xml:space="preserve">747,1</w:t>
            </w:r>
          </w:p>
        </w:tc>
        <w:tc>
          <w:tcPr/>
          <w:p>
            <w:pPr>
              <w:pStyle w:val="Compact"/>
              <w:jc w:val="left"/>
            </w:pPr>
            <w:r>
              <w:t xml:space="preserve">+26,2 %</w:t>
            </w:r>
          </w:p>
        </w:tc>
        <w:tc>
          <w:tcPr/>
          <w:p>
            <w:pPr>
              <w:pStyle w:val="Compact"/>
              <w:jc w:val="left"/>
            </w:pPr>
            <w:r>
              <w:t xml:space="preserve">675-685 (+14,9 %)</w:t>
            </w:r>
          </w:p>
        </w:tc>
        <w:tc>
          <w:tcPr/>
          <w:p>
            <w:pPr>
              <w:pStyle w:val="Compact"/>
              <w:jc w:val="left"/>
            </w:pPr>
            <w:r>
              <w:t xml:space="preserve">+11,3 pp</w:t>
            </w:r>
          </w:p>
        </w:tc>
      </w:tr>
      <w:tr>
        <w:tc>
          <w:tcPr/>
          <w:p>
            <w:pPr>
              <w:pStyle w:val="Compact"/>
              <w:jc w:val="left"/>
            </w:pPr>
            <w:r>
              <w:t xml:space="preserve">2026 (guía, sin VitalConnect)</w:t>
            </w:r>
          </w:p>
        </w:tc>
        <w:tc>
          <w:tcPr/>
          <w:p>
            <w:pPr>
              <w:pStyle w:val="Compact"/>
              <w:jc w:val="left"/>
            </w:pPr>
            <w:r>
              <w:t xml:space="preserve">880-890</w:t>
            </w:r>
          </w:p>
        </w:tc>
        <w:tc>
          <w:tcPr/>
          <w:p>
            <w:pPr>
              <w:pStyle w:val="Compact"/>
              <w:jc w:val="left"/>
            </w:pPr>
            <w:r>
              <w:t xml:space="preserve">+18,5 %</w:t>
            </w:r>
          </w:p>
        </w:tc>
        <w:tc>
          <w:tcPr/>
          <w:p>
            <w:pPr>
              <w:pStyle w:val="Compact"/>
              <w:jc w:val="left"/>
            </w:pPr>
            <w:r>
              <w:t xml:space="preserve">870-880 (+17,1 %)</w:t>
            </w:r>
          </w:p>
        </w:tc>
        <w:tc>
          <w:tcPr/>
          <w:p>
            <w:pPr>
              <w:pStyle w:val="Compact"/>
              <w:jc w:val="left"/>
            </w:pPr>
            <w:r>
              <w:t xml:space="preserve">1S26 real +22,6 %</w:t>
            </w:r>
          </w:p>
        </w:tc>
      </w:tr>
    </w:tbl>
    <w:p>
      <w:pPr>
        <w:pStyle w:val="BodyText"/>
      </w:pPr>
      <w:r>
        <w:t xml:space="preserve">Fuentes: SEC XBRL y notas de resultados [1][3][6][7][8].</w:t>
      </w:r>
    </w:p>
    <w:p>
      <w:pPr>
        <w:numPr>
          <w:ilvl w:val="0"/>
          <w:numId w:val="1006"/>
        </w:numPr>
        <w:pStyle w:val="Compact"/>
      </w:pPr>
      <w:r>
        <w:rPr>
          <w:bCs/>
          <w:b/>
        </w:rPr>
        <w:t xml:space="preserve">12 meses</w:t>
      </w:r>
      <w:r>
        <w:t xml:space="preserve">: +25,6 %.</w:t>
      </w:r>
      <w:r>
        <w:t xml:space="preserve"> </w:t>
      </w:r>
      <w:r>
        <w:rPr>
          <w:bCs/>
          <w:b/>
        </w:rPr>
        <w:t xml:space="preserve">CAGR propio a 2 años</w:t>
      </w:r>
      <w:r>
        <w:t xml:space="preserve">: 24,0 %.</w:t>
      </w:r>
    </w:p>
    <w:p>
      <w:pPr>
        <w:numPr>
          <w:ilvl w:val="0"/>
          <w:numId w:val="1006"/>
        </w:numPr>
        <w:pStyle w:val="Compact"/>
      </w:pPr>
      <w:r>
        <w:rPr>
          <w:bCs/>
          <w:b/>
        </w:rPr>
        <w:t xml:space="preserve">Aceleración</w:t>
      </w:r>
      <w:r>
        <w:t xml:space="preserve">: −7,3 pp (2T26 +20,1 % frente a +27,4 % de media de los cuatro anteriores).</w:t>
      </w:r>
    </w:p>
    <w:p>
      <w:pPr>
        <w:numPr>
          <w:ilvl w:val="0"/>
          <w:numId w:val="1006"/>
        </w:numPr>
        <w:pStyle w:val="Compact"/>
      </w:pPr>
      <w:r>
        <w:rPr>
          <w:bCs/>
          <w:b/>
        </w:rPr>
        <w:t xml:space="preserve">Guía</w:t>
      </w:r>
      <w:r>
        <w:t xml:space="preserve">: el segundo semestre implícito crece un</w:t>
      </w:r>
      <w:r>
        <w:t xml:space="preserve"> </w:t>
      </w:r>
      <w:r>
        <w:rPr>
          <w:bCs/>
          <w:b/>
        </w:rPr>
        <w:t xml:space="preserve">+14,9 %</w:t>
      </w:r>
      <w:r>
        <w:t xml:space="preserve"> </w:t>
      </w:r>
      <w:r>
        <w:t xml:space="preserve">sin VitalConnect (885 − 423,6 = 461,4 M frente a 401,8 M). La guía del 3T (+15 %) lo confirma. La empresa explica el frenazo por la comparación con un 2S25 muy fuerte y por el gasto en primaria que llega en la segunda mitad [11].</w:t>
      </w:r>
    </w:p>
    <w:p>
      <w:pPr>
        <w:numPr>
          <w:ilvl w:val="0"/>
          <w:numId w:val="1006"/>
        </w:numPr>
        <w:pStyle w:val="Compact"/>
      </w:pPr>
      <w:r>
        <w:rPr>
          <w:bCs/>
          <w:b/>
        </w:rPr>
        <w:t xml:space="preserve">Crecimiento orgánico frente al total</w:t>
      </w:r>
      <w:r>
        <w:t xml:space="preserve">: VitalConnect (~65 M al año) suma unos 6 puntos. Los 12 meses siguientes crecen ≈ +21 % en total y ≈ +15 % sin la compra.</w:t>
      </w:r>
    </w:p>
    <w:p>
      <w:pPr>
        <w:numPr>
          <w:ilvl w:val="0"/>
          <w:numId w:val="1006"/>
        </w:numPr>
        <w:pStyle w:val="Compact"/>
      </w:pPr>
      <w:r>
        <w:t xml:space="preserve">No publica retención: cobra por prueba.</w:t>
      </w:r>
    </w:p>
    <w:bookmarkEnd w:id="22"/>
    <w:bookmarkStart w:id="23" w:name="mercado-y-competencia"/>
    <w:p>
      <w:pPr>
        <w:pStyle w:val="Heading2"/>
      </w:pPr>
      <w:r>
        <w:t xml:space="preserve">4. Mercado y competencia</w:t>
      </w:r>
    </w:p>
    <w:p>
      <w:pPr>
        <w:pStyle w:val="FirstParagraph"/>
      </w:pPr>
      <w:r>
        <w:rPr>
          <w:bCs/>
          <w:b/>
        </w:rPr>
        <w:t xml:space="preserve">Mercado alcanzable en 2028: ~4.500 M USD</w:t>
      </w:r>
      <w:r>
        <w:t xml:space="preserve"> </w:t>
      </w:r>
      <w:r>
        <w:t xml:space="preserve">(estimación propia,</w:t>
      </w:r>
      <w:r>
        <w:t xml:space="preserve"> </w:t>
      </w:r>
      <w:r>
        <w:rPr>
          <w:rStyle w:val="VerbatimChar"/>
        </w:rPr>
        <w:t xml:space="preserve">mercado.nota_tam</w:t>
      </w:r>
      <w:r>
        <w:t xml:space="preserve">):</w:t>
      </w:r>
    </w:p>
    <w:p>
      <w:pPr>
        <w:numPr>
          <w:ilvl w:val="0"/>
          <w:numId w:val="1007"/>
        </w:numPr>
        <w:pStyle w:val="Compact"/>
      </w:pPr>
      <w:r>
        <w:t xml:space="preserve">Monitorización cardiaca ambulatoria en EE. UU.: ~3.000 M (de memoria [21]). La dirección cifra solo la telemetría móvil en ~1.000 M [11].</w:t>
      </w:r>
    </w:p>
    <w:p>
      <w:pPr>
        <w:numPr>
          <w:ilvl w:val="0"/>
          <w:numId w:val="1007"/>
        </w:numPr>
        <w:pStyle w:val="Compact"/>
      </w:pPr>
      <w:r>
        <w:t xml:space="preserve">Cribado de pacientes de riesgo y exterior: ~1.500 M.</w:t>
      </w:r>
    </w:p>
    <w:p>
      <w:pPr>
        <w:numPr>
          <w:ilvl w:val="0"/>
          <w:numId w:val="1007"/>
        </w:numPr>
        <w:pStyle w:val="Compact"/>
      </w:pPr>
      <w:r>
        <w:t xml:space="preserve">Penetración: 18,3 %.</w:t>
      </w:r>
    </w:p>
    <w:p>
      <w:pPr>
        <w:pStyle w:val="FirstParagraph"/>
      </w:pPr>
      <w:r>
        <w:rPr>
          <w:bCs/>
          <w:b/>
        </w:rPr>
        <w:t xml:space="preserve">Rivales</w:t>
      </w:r>
      <w:r>
        <w:t xml:space="preserve">:</w:t>
      </w:r>
    </w:p>
    <w:p>
      <w:pPr>
        <w:numPr>
          <w:ilvl w:val="0"/>
          <w:numId w:val="1008"/>
        </w:numPr>
        <w:pStyle w:val="Compact"/>
      </w:pPr>
      <w:r>
        <w:rPr>
          <w:bCs/>
          <w:b/>
        </w:rPr>
        <w:t xml:space="preserve">Boston Scientific</w:t>
      </w:r>
      <w:r>
        <w:t xml:space="preserve"> </w:t>
      </w:r>
      <w:r>
        <w:t xml:space="preserve">(Preventice) y</w:t>
      </w:r>
      <w:r>
        <w:t xml:space="preserve"> </w:t>
      </w:r>
      <w:r>
        <w:rPr>
          <w:bCs/>
          <w:b/>
        </w:rPr>
        <w:t xml:space="preserve">Philips</w:t>
      </w:r>
      <w:r>
        <w:t xml:space="preserve"> </w:t>
      </w:r>
      <w:r>
        <w:t xml:space="preserve">(BioTel), fuertes en telemetría móvil.</w:t>
      </w:r>
    </w:p>
    <w:p>
      <w:pPr>
        <w:numPr>
          <w:ilvl w:val="0"/>
          <w:numId w:val="1008"/>
        </w:numPr>
        <w:pStyle w:val="Compact"/>
      </w:pPr>
      <w:r>
        <w:rPr>
          <w:bCs/>
          <w:b/>
        </w:rPr>
        <w:t xml:space="preserve">Baxter</w:t>
      </w:r>
      <w:r>
        <w:t xml:space="preserve"> </w:t>
      </w:r>
      <w:r>
        <w:t xml:space="preserve">(Bardy).</w:t>
      </w:r>
    </w:p>
    <w:p>
      <w:pPr>
        <w:numPr>
          <w:ilvl w:val="0"/>
          <w:numId w:val="1008"/>
        </w:numPr>
        <w:pStyle w:val="Compact"/>
      </w:pPr>
      <w:r>
        <w:t xml:space="preserve">Los Holter de</w:t>
      </w:r>
      <w:r>
        <w:t xml:space="preserve"> </w:t>
      </w:r>
      <w:r>
        <w:rPr>
          <w:bCs/>
          <w:b/>
        </w:rPr>
        <w:t xml:space="preserve">GE y Welch Allyn</w:t>
      </w:r>
      <w:r>
        <w:t xml:space="preserve">.</w:t>
      </w:r>
    </w:p>
    <w:p>
      <w:pPr>
        <w:numPr>
          <w:ilvl w:val="0"/>
          <w:numId w:val="1008"/>
        </w:numPr>
        <w:pStyle w:val="Compact"/>
      </w:pPr>
      <w:r>
        <w:t xml:space="preserve">Nuevos que entran por el lado de la IA y el consumo: HeartBeam, y relojes como el Apple Watch y el Galaxy Watch, que detectan fibrilación auricular (de memoria [21]).</w:t>
      </w:r>
    </w:p>
    <w:p>
      <w:pPr>
        <w:pStyle w:val="FirstParagraph"/>
      </w:pPr>
      <w:r>
        <w:rPr>
          <w:bCs/>
          <w:b/>
        </w:rPr>
        <w:t xml:space="preserve">Por qué gana hoy</w:t>
      </w:r>
      <w:r>
        <w:t xml:space="preserve">: el paciente lleva el parche 14 días sin cables, encuentra más arritmias que un Holter de 24-48 horas, el informe va integrado en la historia clínica (el 60 % del volumen sale de cuentas integradas) y tiene la marca entre los cardiólogos [11].</w:t>
      </w:r>
    </w:p>
    <w:p>
      <w:pPr>
        <w:pStyle w:val="BodyText"/>
      </w:pPr>
      <w:r>
        <w:rPr>
          <w:bCs/>
          <w:b/>
        </w:rPr>
        <w:t xml:space="preserve">Por qué puede perder</w:t>
      </w:r>
      <w:r>
        <w:t xml:space="preserve">:</w:t>
      </w:r>
    </w:p>
    <w:p>
      <w:pPr>
        <w:numPr>
          <w:ilvl w:val="0"/>
          <w:numId w:val="1009"/>
        </w:numPr>
        <w:pStyle w:val="Compact"/>
      </w:pPr>
      <w:r>
        <w:t xml:space="preserve">Llega tarde a la telemetría móvil (Zio MCT en 2027; de momento, con VitalPatch).</w:t>
      </w:r>
    </w:p>
    <w:p>
      <w:pPr>
        <w:numPr>
          <w:ilvl w:val="0"/>
          <w:numId w:val="1009"/>
        </w:numPr>
        <w:pStyle w:val="Compact"/>
      </w:pPr>
      <w:r>
        <w:t xml:space="preserve">Si la tarifa se recorta, compite en precio con rivales más grandes.</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r>
      <w:tr>
        <w:tc>
          <w:tcPr/>
          <w:p>
            <w:pPr>
              <w:pStyle w:val="Compact"/>
              <w:jc w:val="left"/>
            </w:pPr>
            <w:r>
              <w:t xml:space="preserve">1. Revisiones al alza</w:t>
            </w:r>
          </w:p>
        </w:tc>
        <w:tc>
          <w:tcPr/>
          <w:p>
            <w:pPr>
              <w:pStyle w:val="Compact"/>
              <w:jc w:val="left"/>
            </w:pPr>
            <w:r>
              <w:rPr>
                <w:bCs/>
                <w:b/>
              </w:rPr>
              <w:t xml:space="preserve">Sí</w:t>
            </w:r>
            <w:r>
              <w:t xml:space="preserve"> </w:t>
            </w:r>
            <w:r>
              <w:t xml:space="preserve">(débil)</w:t>
            </w:r>
          </w:p>
        </w:tc>
        <w:tc>
          <w:tcPr/>
          <w:p>
            <w:pPr>
              <w:pStyle w:val="Compact"/>
              <w:jc w:val="left"/>
            </w:pPr>
            <w:r>
              <w:t xml:space="preserve">Guía de ventas subida dos veces y de margen tres; consenso 2026 de 891 M, por encima de la guía. Pero bajan los precios objetivo (Wells Fargo 168 → 150) [1][6][12]</w:t>
            </w:r>
          </w:p>
        </w:tc>
      </w:tr>
      <w:tr>
        <w:tc>
          <w:tcPr/>
          <w:p>
            <w:pPr>
              <w:pStyle w:val="Compact"/>
              <w:jc w:val="left"/>
            </w:pPr>
            <w:r>
              <w:t xml:space="preserve">2. Precio sobre la media de 200</w:t>
            </w:r>
          </w:p>
        </w:tc>
        <w:tc>
          <w:tcPr/>
          <w:p>
            <w:pPr>
              <w:pStyle w:val="Compact"/>
              <w:jc w:val="left"/>
            </w:pPr>
            <w:r>
              <w:t xml:space="preserve">No</w:t>
            </w:r>
          </w:p>
        </w:tc>
        <w:tc>
          <w:tcPr/>
          <w:p>
            <w:pPr>
              <w:pStyle w:val="Compact"/>
              <w:jc w:val="left"/>
            </w:pPr>
            <w:r>
              <w:t xml:space="preserve">107,71 frente a 126,3, que baja (144,5 hace 60 sesiones) [9]</w:t>
            </w:r>
          </w:p>
        </w:tc>
      </w:tr>
      <w:tr>
        <w:tc>
          <w:tcPr/>
          <w:p>
            <w:pPr>
              <w:pStyle w:val="Compact"/>
              <w:jc w:val="left"/>
            </w:pPr>
            <w:r>
              <w:t xml:space="preserve">3. Fuerza relativa 6 m</w:t>
            </w:r>
          </w:p>
        </w:tc>
        <w:tc>
          <w:tcPr/>
          <w:p>
            <w:pPr>
              <w:pStyle w:val="Compact"/>
              <w:jc w:val="left"/>
            </w:pPr>
            <w:r>
              <w:t xml:space="preserve">No</w:t>
            </w:r>
          </w:p>
        </w:tc>
        <w:tc>
          <w:tcPr/>
          <w:p>
            <w:pPr>
              <w:pStyle w:val="Compact"/>
              <w:jc w:val="left"/>
            </w:pPr>
            <w:r>
              <w:t xml:space="preserve">−10,6 % frente a +20,4 % del Nasdaq-100 [9]</w:t>
            </w:r>
          </w:p>
        </w:tc>
      </w:tr>
      <w:tr>
        <w:tc>
          <w:tcPr/>
          <w:p>
            <w:pPr>
              <w:pStyle w:val="Compact"/>
              <w:jc w:val="left"/>
            </w:pPr>
            <w:r>
              <w:t xml:space="preserve">4. Mejora de múltiplo ≥ 20 %</w:t>
            </w:r>
          </w:p>
        </w:tc>
        <w:tc>
          <w:tcPr/>
          <w:p>
            <w:pPr>
              <w:pStyle w:val="Compact"/>
              <w:jc w:val="left"/>
            </w:pPr>
            <w:r>
              <w:t xml:space="preserve">No</w:t>
            </w:r>
          </w:p>
        </w:tc>
        <w:tc>
          <w:tcPr/>
          <w:p>
            <w:pPr>
              <w:pStyle w:val="Compact"/>
              <w:jc w:val="left"/>
            </w:pPr>
            <w:r>
              <w:t xml:space="preserve">EV/ventas NTM de 3,6x (mínimo del 17-jun) a 4,0x: +11 % [19]</w:t>
            </w:r>
          </w:p>
        </w:tc>
      </w:tr>
      <w:tr>
        <w:tc>
          <w:tcPr/>
          <w:p>
            <w:pPr>
              <w:pStyle w:val="Compact"/>
              <w:jc w:val="left"/>
            </w:pPr>
            <w:r>
              <w:t xml:space="preserve">5. Inflexión operativa</w:t>
            </w:r>
          </w:p>
        </w:tc>
        <w:tc>
          <w:tcPr/>
          <w:p>
            <w:pPr>
              <w:pStyle w:val="Compact"/>
              <w:jc w:val="left"/>
            </w:pPr>
            <w:r>
              <w:rPr>
                <w:bCs/>
                <w:b/>
              </w:rPr>
              <w:t xml:space="preserve">Sí</w:t>
            </w:r>
          </w:p>
        </w:tc>
        <w:tc>
          <w:tcPr/>
          <w:p>
            <w:pPr>
              <w:pStyle w:val="Compact"/>
              <w:jc w:val="left"/>
            </w:pPr>
            <w:r>
              <w:t xml:space="preserve">EBITDA ajustado del 8,4 % al 19,3 % y FCF récord de 37,5 M en el 2T26; primer beneficio contable en el 4T25 [1][3]</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−40 % en el año pese a subir la guía; −20 % tras la conferencia de J.P. Morgan en enero [13][14]</w:t>
            </w:r>
          </w:p>
        </w:tc>
      </w:tr>
      <w:tr>
        <w:tc>
          <w:tcPr/>
          <w:p>
            <w:pPr>
              <w:pStyle w:val="Compact"/>
              <w:jc w:val="left"/>
            </w:pPr>
            <w:r>
              <w:t xml:space="preserve">7. Compras de directivos o institucionales</w:t>
            </w:r>
          </w:p>
        </w:tc>
        <w:tc>
          <w:tcPr/>
          <w:p>
            <w:pPr>
              <w:pStyle w:val="Compact"/>
              <w:jc w:val="left"/>
            </w:pPr>
            <w:r>
              <w:rPr>
                <w:bCs/>
                <w:b/>
              </w:rPr>
              <w:t xml:space="preserve">Sí</w:t>
            </w:r>
          </w:p>
        </w:tc>
        <w:tc>
          <w:tcPr/>
          <w:p>
            <w:pPr>
              <w:pStyle w:val="Compact"/>
              <w:jc w:val="left"/>
            </w:pPr>
            <w:r>
              <w:t xml:space="preserve">Entran inversores de referencia en salud: Artisan con el 5,1 % y RTW sube al 6,6 % (ago-2026). Los directivos solo venden, y para pagar impuestos [16]</w:t>
            </w:r>
          </w:p>
        </w:tc>
      </w:tr>
      <w:tr>
        <w:tc>
          <w:tcPr/>
          <w:p>
            <w:pPr>
              <w:pStyle w:val="Compact"/>
              <w:jc w:val="left"/>
            </w:pPr>
            <w:r>
              <w:t xml:space="preserve">8. Catalizador nuevo en 6 meses</w:t>
            </w:r>
          </w:p>
        </w:tc>
        <w:tc>
          <w:tcPr/>
          <w:p>
            <w:pPr>
              <w:pStyle w:val="Compact"/>
              <w:jc w:val="left"/>
            </w:pPr>
            <w:r>
              <w:rPr>
                <w:bCs/>
                <w:b/>
              </w:rPr>
              <w:t xml:space="preserve">Sí</w:t>
            </w:r>
          </w:p>
        </w:tc>
        <w:tc>
          <w:tcPr/>
          <w:p>
            <w:pPr>
              <w:pStyle w:val="Compact"/>
              <w:jc w:val="left"/>
            </w:pPr>
            <w:r>
              <w:t xml:space="preserve">Resultados y guía con VitalConnect (5-nov), tarifa final de Medicare 2027 (noviembre), Zio MCT y nuevo algoritmo en el 1S27 [4][11][17]</w:t>
            </w:r>
          </w:p>
        </w:tc>
      </w:tr>
    </w:tbl>
    <w:p>
      <w:pPr>
        <w:pStyle w:val="BodyText"/>
      </w:pPr>
      <w:r>
        <w:rPr>
          <w:bCs/>
          <w:b/>
        </w:rPr>
        <w:t xml:space="preserve">Euforia: no</w:t>
      </w:r>
      <w:r>
        <w:t xml:space="preserve"> </w:t>
      </w:r>
      <w:r>
        <w:t xml:space="preserve">(−39 % en 12 meses).</w:t>
      </w:r>
    </w:p>
    <w:bookmarkEnd w:id="24"/>
    <w:bookmarkStart w:id="25" w:name="X6a3ced9ea5ed5bb9ac58f5e7c1bb09ad4718b77"/>
    <w:p>
      <w:pPr>
        <w:pStyle w:val="Heading2"/>
      </w:pPr>
      <w:r>
        <w:t xml:space="preserve">6. Economía unitaria y camino a la rentabilidad</w:t>
      </w:r>
    </w:p>
    <w:p>
      <w:pPr>
        <w:numPr>
          <w:ilvl w:val="0"/>
          <w:numId w:val="1010"/>
        </w:numPr>
        <w:pStyle w:val="Compact"/>
      </w:pPr>
      <w:r>
        <w:rPr>
          <w:bCs/>
          <w:b/>
        </w:rPr>
        <w:t xml:space="preserve">Margen bruto de 12 meses: 71,5 %</w:t>
      </w:r>
      <w:r>
        <w:t xml:space="preserve">, al alza por escala y eficiencia (72,8 % en el 2T26). La dirección espera seguir por encima del 70 % con VitalConnect [1][11].</w:t>
      </w:r>
    </w:p>
    <w:p>
      <w:pPr>
        <w:numPr>
          <w:ilvl w:val="0"/>
          <w:numId w:val="1010"/>
        </w:numPr>
        <w:pStyle w:val="Compact"/>
      </w:pPr>
      <w:r>
        <w:rPr>
          <w:bCs/>
          <w:b/>
        </w:rPr>
        <w:t xml:space="preserve">Regla del 40: 30,3</w:t>
      </w:r>
      <w:r>
        <w:t xml:space="preserve"> </w:t>
      </w:r>
      <w:r>
        <w:t xml:space="preserve">(crecimiento del 25,6 % más un margen de caja libre del 4,7 %): por debajo de 40.</w:t>
      </w:r>
    </w:p>
    <w:p>
      <w:pPr>
        <w:numPr>
          <w:ilvl w:val="0"/>
          <w:numId w:val="1010"/>
        </w:numPr>
        <w:pStyle w:val="Compact"/>
      </w:pPr>
      <w:r>
        <w:rPr>
          <w:bCs/>
          <w:b/>
        </w:rPr>
        <w:t xml:space="preserve">Caja libre</w:t>
      </w:r>
      <w:r>
        <w:t xml:space="preserve">:</w:t>
      </w:r>
    </w:p>
    <w:p>
      <w:pPr>
        <w:numPr>
          <w:ilvl w:val="1"/>
          <w:numId w:val="1011"/>
        </w:numPr>
        <w:pStyle w:val="Compact"/>
      </w:pPr>
      <w:r>
        <w:t xml:space="preserve">2024: −30,6 M.</w:t>
      </w:r>
    </w:p>
    <w:p>
      <w:pPr>
        <w:numPr>
          <w:ilvl w:val="1"/>
          <w:numId w:val="1011"/>
        </w:numPr>
        <w:pStyle w:val="Compact"/>
      </w:pPr>
      <w:r>
        <w:t xml:space="preserve">2025: +34,5 M, el primer año positivo de su historia.</w:t>
      </w:r>
    </w:p>
    <w:p>
      <w:pPr>
        <w:numPr>
          <w:ilvl w:val="1"/>
          <w:numId w:val="1011"/>
        </w:numPr>
        <w:pStyle w:val="Compact"/>
      </w:pPr>
      <w:r>
        <w:t xml:space="preserve">Últimos 12 meses: +39,0 M.</w:t>
      </w:r>
    </w:p>
    <w:p>
      <w:pPr>
        <w:numPr>
          <w:ilvl w:val="1"/>
          <w:numId w:val="1011"/>
        </w:numPr>
        <w:pStyle w:val="Compact"/>
      </w:pPr>
      <w:r>
        <w:t xml:space="preserve">Es muy estacional: el 1T26 quemó 33 M por los pagos anuales.</w:t>
      </w:r>
    </w:p>
    <w:p>
      <w:pPr>
        <w:numPr>
          <w:ilvl w:val="0"/>
          <w:numId w:val="1010"/>
        </w:numPr>
        <w:pStyle w:val="Compact"/>
      </w:pPr>
      <w:r>
        <w:rPr>
          <w:bCs/>
          <w:b/>
        </w:rPr>
        <w:t xml:space="preserve">EBITDA ajustado de 12 meses</w:t>
      </w:r>
      <w:r>
        <w:t xml:space="preserve">: 113,3 M (13,7 %). La guía 2026 es del 13-14 % y el objetivo 2027, del 15 % [4].</w:t>
      </w:r>
    </w:p>
    <w:p>
      <w:pPr>
        <w:numPr>
          <w:ilvl w:val="0"/>
          <w:numId w:val="1010"/>
        </w:numPr>
        <w:pStyle w:val="Compact"/>
      </w:pPr>
      <w:r>
        <w:rPr>
          <w:bCs/>
          <w:b/>
        </w:rPr>
        <w:t xml:space="preserve">Resultado operativo contable de 12 meses</w:t>
      </w:r>
      <w:r>
        <w:t xml:space="preserve">: −24,8 M. Lo lastran los pagos en acciones (10 % de las ventas), los pleitos y los costes de la ciberincidencia.</w:t>
      </w:r>
    </w:p>
    <w:p>
      <w:pPr>
        <w:numPr>
          <w:ilvl w:val="0"/>
          <w:numId w:val="1010"/>
        </w:numPr>
        <w:pStyle w:val="Compact"/>
      </w:pPr>
      <w:r>
        <w:rPr>
          <w:bCs/>
          <w:b/>
        </w:rPr>
        <w:t xml:space="preserve">Camino a la rentabilidad</w:t>
      </w:r>
      <w:r>
        <w:t xml:space="preserve">: «FCF creciente». Hay apalancamiento operativo real: en el 2T26 los gastos ajustados quedaron planos mientras las ventas subían un 20 %.</w:t>
      </w:r>
    </w:p>
    <w:bookmarkEnd w:id="25"/>
    <w:bookmarkStart w:id="26" w:name="caja-deuda-y-dilución"/>
    <w:p>
      <w:pPr>
        <w:pStyle w:val="Heading2"/>
      </w:pPr>
      <w:r>
        <w:t xml:space="preserve">7. Caja, deuda y dilución</w:t>
      </w:r>
    </w:p>
    <w:p>
      <w:pPr>
        <w:numPr>
          <w:ilvl w:val="0"/>
          <w:numId w:val="1012"/>
        </w:numPr>
        <w:pStyle w:val="Compact"/>
      </w:pPr>
      <w:r>
        <w:rPr>
          <w:bCs/>
          <w:b/>
        </w:rPr>
        <w:t xml:space="preserve">Caja pro forma: 293,8 M</w:t>
      </w:r>
      <w:r>
        <w:t xml:space="preserve">. Son 591,3 M a 30-jun, menos 237,5 M de VitalConnect, 10 M de financiación puente y 50 M a Baxter, pagados en el 3T. No incluye el FCF del 3T [1][2][4].</w:t>
      </w:r>
    </w:p>
    <w:p>
      <w:pPr>
        <w:numPr>
          <w:ilvl w:val="0"/>
          <w:numId w:val="1012"/>
        </w:numPr>
        <w:pStyle w:val="Compact"/>
      </w:pPr>
      <w:r>
        <w:rPr>
          <w:bCs/>
          <w:b/>
        </w:rPr>
        <w:t xml:space="preserve">Deuda: 661,3 M</w:t>
      </w:r>
      <w:r>
        <w:t xml:space="preserve">, un convertible al 1,5 % que vence el 1-sep-2029:</w:t>
      </w:r>
    </w:p>
    <w:p>
      <w:pPr>
        <w:numPr>
          <w:ilvl w:val="1"/>
          <w:numId w:val="1013"/>
        </w:numPr>
        <w:pStyle w:val="Compact"/>
      </w:pPr>
      <w:r>
        <w:t xml:space="preserve">Convierte a 147,22 USD y tiene una cobertura (capped call) hasta 218,10.</w:t>
      </w:r>
    </w:p>
    <w:p>
      <w:pPr>
        <w:numPr>
          <w:ilvl w:val="1"/>
          <w:numId w:val="1013"/>
        </w:numPr>
        <w:pStyle w:val="Compact"/>
      </w:pPr>
      <w:r>
        <w:t xml:space="preserve">Al precio de hoy no convertiría: en 2029 habrá que pagarlo o refinanciarlo.</w:t>
      </w:r>
    </w:p>
    <w:p>
      <w:pPr>
        <w:numPr>
          <w:ilvl w:val="1"/>
          <w:numId w:val="1013"/>
        </w:numPr>
        <w:pStyle w:val="Compact"/>
      </w:pPr>
      <w:r>
        <w:t xml:space="preserve">Deuda neta: ~368 M.</w:t>
      </w:r>
    </w:p>
    <w:p>
      <w:pPr>
        <w:numPr>
          <w:ilvl w:val="0"/>
          <w:numId w:val="1012"/>
        </w:numPr>
        <w:pStyle w:val="Compact"/>
      </w:pPr>
      <w:r>
        <w:rPr>
          <w:bCs/>
          <w:b/>
        </w:rPr>
        <w:t xml:space="preserve">Pista de caja</w:t>
      </w:r>
      <w:r>
        <w:t xml:space="preserve">: FCF positivo, sin urgencia.</w:t>
      </w:r>
    </w:p>
    <w:p>
      <w:pPr>
        <w:numPr>
          <w:ilvl w:val="0"/>
          <w:numId w:val="1012"/>
        </w:numPr>
        <w:pStyle w:val="Compact"/>
      </w:pPr>
      <w:r>
        <w:rPr>
          <w:bCs/>
          <w:b/>
        </w:rPr>
        <w:t xml:space="preserve">Dilución</w:t>
      </w:r>
      <w:r>
        <w:t xml:space="preserve">: +4,1 % en un año (2,8 % de acciones nuevas más 1,3 % de la compra).</w:t>
      </w:r>
    </w:p>
    <w:p>
      <w:pPr>
        <w:numPr>
          <w:ilvl w:val="0"/>
          <w:numId w:val="1012"/>
        </w:numPr>
        <w:pStyle w:val="Compact"/>
      </w:pPr>
      <w:r>
        <w:rPr>
          <w:bCs/>
          <w:b/>
        </w:rPr>
        <w:t xml:space="preserve">Pagos en acciones</w:t>
      </w:r>
      <w:r>
        <w:t xml:space="preserve">: 10,1 % de las ventas. Por debajo del 15 % que se marca en rojo, pero alto para una empresa que ya genera caja.</w:t>
      </w:r>
    </w:p>
    <w:bookmarkEnd w:id="26"/>
    <w:bookmarkStart w:id="27" w:name="dirección-y-ejecución"/>
    <w:p>
      <w:pPr>
        <w:pStyle w:val="Heading2"/>
      </w:pPr>
      <w:r>
        <w:t xml:space="preserve">8. Dirección y ejecución</w:t>
      </w:r>
    </w:p>
    <w:p>
      <w:pPr>
        <w:pStyle w:val="FirstParagraph"/>
      </w:pPr>
      <w:r>
        <w:rPr>
          <w:bCs/>
          <w:b/>
        </w:rPr>
        <w:t xml:space="preserve">Historial 4/5</w:t>
      </w:r>
      <w:r>
        <w:t xml:space="preserve">:</w:t>
      </w:r>
    </w:p>
    <w:p>
      <w:pPr>
        <w:numPr>
          <w:ilvl w:val="0"/>
          <w:numId w:val="1014"/>
        </w:numPr>
        <w:pStyle w:val="Compact"/>
      </w:pPr>
      <w:r>
        <w:t xml:space="preserve">En 2025 subió la guía de ventas en cada trimestre y la batió por 11 puntos.</w:t>
      </w:r>
    </w:p>
    <w:p>
      <w:pPr>
        <w:numPr>
          <w:ilvl w:val="0"/>
          <w:numId w:val="1014"/>
        </w:numPr>
        <w:pStyle w:val="Compact"/>
      </w:pPr>
      <w:r>
        <w:t xml:space="preserve">En 2026 ya la ha subido dos veces.</w:t>
      </w:r>
    </w:p>
    <w:p>
      <w:pPr>
        <w:numPr>
          <w:ilvl w:val="0"/>
          <w:numId w:val="1014"/>
        </w:numPr>
        <w:pStyle w:val="Compact"/>
      </w:pPr>
      <w:r>
        <w:t xml:space="preserve">Fallos: guía 2026 inicial por debajo del mercado y Zio MCT retrasado a 2027.</w:t>
      </w:r>
    </w:p>
    <w:p>
      <w:pPr>
        <w:pStyle w:val="FirstParagraph"/>
      </w:pPr>
      <w:r>
        <w:rPr>
          <w:bCs/>
          <w:b/>
        </w:rPr>
        <w:t xml:space="preserve">Dirección 3/5</w:t>
      </w:r>
      <w:r>
        <w:t xml:space="preserve">:</w:t>
      </w:r>
    </w:p>
    <w:p>
      <w:pPr>
        <w:numPr>
          <w:ilvl w:val="0"/>
          <w:numId w:val="1015"/>
        </w:numPr>
        <w:pStyle w:val="Compact"/>
      </w:pPr>
      <w:r>
        <w:t xml:space="preserve">Consejero delegado: Quentin Blackford (desde 2021). Ha llevado a la empresa de perder dinero a generar caja.</w:t>
      </w:r>
    </w:p>
    <w:p>
      <w:pPr>
        <w:numPr>
          <w:ilvl w:val="0"/>
          <w:numId w:val="1015"/>
        </w:numPr>
        <w:pStyle w:val="Compact"/>
      </w:pPr>
      <w:r>
        <w:t xml:space="preserve">El historial regulatorio y legal pesa [2][5][18]:</w:t>
      </w:r>
    </w:p>
    <w:p>
      <w:pPr>
        <w:numPr>
          <w:ilvl w:val="1"/>
          <w:numId w:val="1016"/>
        </w:numPr>
        <w:pStyle w:val="Compact"/>
      </w:pPr>
      <w:r>
        <w:t xml:space="preserve">Carta de advertencia de la FDA (mayo de 2023) aún abierta, y observaciones de inspección de 2024 sobre quejas y sobre el papel de los técnicos en el informe.</w:t>
      </w:r>
    </w:p>
    <w:p>
      <w:pPr>
        <w:numPr>
          <w:ilvl w:val="1"/>
          <w:numId w:val="1016"/>
        </w:numPr>
        <w:pStyle w:val="Compact"/>
      </w:pPr>
      <w:r>
        <w:t xml:space="preserve">Demanda civil del Departamento de Justicia (diciembre de 2025) sobre Zio AT y su facturación.</w:t>
      </w:r>
    </w:p>
    <w:p>
      <w:pPr>
        <w:numPr>
          <w:ilvl w:val="1"/>
          <w:numId w:val="1016"/>
        </w:numPr>
        <w:pStyle w:val="Compact"/>
      </w:pPr>
      <w:r>
        <w:t xml:space="preserve">Acuerdo de 45 M con los accionistas por la información sobre Zio AT.</w:t>
      </w:r>
    </w:p>
    <w:p>
      <w:pPr>
        <w:numPr>
          <w:ilvl w:val="1"/>
          <w:numId w:val="1016"/>
        </w:numPr>
        <w:pStyle w:val="Compact"/>
      </w:pPr>
      <w:r>
        <w:t xml:space="preserve">50 M a Baxter por patentes.</w:t>
      </w:r>
    </w:p>
    <w:p>
      <w:pPr>
        <w:numPr>
          <w:ilvl w:val="1"/>
          <w:numId w:val="1016"/>
        </w:numPr>
        <w:pStyle w:val="Compact"/>
      </w:pPr>
      <w:r>
        <w:t xml:space="preserve">Ciberataque en junio de 2026, con robo de datos de pacientes y extorsión.</w:t>
      </w:r>
    </w:p>
    <w:p>
      <w:pPr>
        <w:numPr>
          <w:ilvl w:val="1"/>
          <w:numId w:val="1016"/>
        </w:numPr>
        <w:pStyle w:val="Compact"/>
      </w:pPr>
      <w:r>
        <w:t xml:space="preserve">Cambio de auditor en abril de 2026.</w:t>
      </w:r>
    </w:p>
    <w:bookmarkEnd w:id="27"/>
    <w:bookmarkStart w:id="28" w:name="valoración"/>
    <w:p>
      <w:pPr>
        <w:pStyle w:val="Heading2"/>
      </w:pPr>
      <w:r>
        <w:t xml:space="preserve">9. Valoración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a jun-2028 (M USD)</w:t>
            </w:r>
          </w:p>
        </w:tc>
        <w:tc>
          <w:tcPr/>
          <w:p>
            <w:pPr>
              <w:pStyle w:val="Compact"/>
              <w:jc w:val="left"/>
            </w:pPr>
            <w:r>
              <w:t xml:space="preserve">EV/ventas</w:t>
            </w:r>
          </w:p>
        </w:tc>
        <w:tc>
          <w:tcPr/>
          <w:p>
            <w:pPr>
              <w:pStyle w:val="Compact"/>
              <w:jc w:val="left"/>
            </w:pPr>
            <w:r>
              <w:t xml:space="preserve">Precio</w:t>
            </w:r>
          </w:p>
        </w:tc>
        <w:tc>
          <w:tcPr/>
          <w:p>
            <w:pPr>
              <w:pStyle w:val="Compact"/>
              <w:jc w:val="left"/>
            </w:pPr>
            <w:r>
              <w:t xml:space="preserve">Rentabilidad</w:t>
            </w:r>
          </w:p>
        </w:tc>
        <w:tc>
          <w:tcPr/>
          <w:p>
            <w:pPr>
              <w:pStyle w:val="Compact"/>
              <w:jc w:val="left"/>
            </w:pPr>
            <w:r>
              <w:t xml:space="preserve">Prob.</w:t>
            </w:r>
          </w:p>
        </w:tc>
      </w:tr>
      <w:tr>
        <w:tc>
          <w:tcPr/>
          <w:p>
            <w:pPr>
              <w:pStyle w:val="Compact"/>
              <w:jc w:val="left"/>
            </w:pPr>
            <w:r>
              <w:t xml:space="preserve">Bajista</w:t>
            </w:r>
          </w:p>
        </w:tc>
        <w:tc>
          <w:tcPr/>
          <w:p>
            <w:pPr>
              <w:pStyle w:val="Compact"/>
              <w:jc w:val="left"/>
            </w:pPr>
            <w:r>
              <w:t xml:space="preserve">1.000</w:t>
            </w:r>
          </w:p>
        </w:tc>
        <w:tc>
          <w:tcPr/>
          <w:p>
            <w:pPr>
              <w:pStyle w:val="Compact"/>
              <w:jc w:val="left"/>
            </w:pPr>
            <w:r>
              <w:t xml:space="preserve">1,9x</w:t>
            </w:r>
          </w:p>
        </w:tc>
        <w:tc>
          <w:tcPr/>
          <w:p>
            <w:pPr>
              <w:pStyle w:val="Compact"/>
              <w:jc w:val="left"/>
            </w:pPr>
            <w:r>
              <w:t xml:space="preserve">43,4</w:t>
            </w:r>
          </w:p>
        </w:tc>
        <w:tc>
          <w:tcPr/>
          <w:p>
            <w:pPr>
              <w:pStyle w:val="Compact"/>
              <w:jc w:val="left"/>
            </w:pPr>
            <w:r>
              <w:t xml:space="preserve">−59,7 %</w:t>
            </w:r>
          </w:p>
        </w:tc>
        <w:tc>
          <w:tcPr/>
          <w:p>
            <w:pPr>
              <w:pStyle w:val="Compact"/>
              <w:jc w:val="left"/>
            </w:pPr>
            <w:r>
              <w:t xml:space="preserve">35 %</w:t>
            </w:r>
          </w:p>
        </w:tc>
      </w:tr>
      <w:tr>
        <w:tc>
          <w:tcPr/>
          <w:p>
            <w:pPr>
              <w:pStyle w:val="Compact"/>
              <w:jc w:val="left"/>
            </w:pPr>
            <w:r>
              <w:t xml:space="preserve">Base</w:t>
            </w:r>
          </w:p>
        </w:tc>
        <w:tc>
          <w:tcPr/>
          <w:p>
            <w:pPr>
              <w:pStyle w:val="Compact"/>
              <w:jc w:val="left"/>
            </w:pPr>
            <w:r>
              <w:t xml:space="preserve">1.130</w:t>
            </w:r>
          </w:p>
        </w:tc>
        <w:tc>
          <w:tcPr/>
          <w:p>
            <w:pPr>
              <w:pStyle w:val="Compact"/>
              <w:jc w:val="left"/>
            </w:pPr>
            <w:r>
              <w:t xml:space="preserve">3,2x</w:t>
            </w:r>
          </w:p>
        </w:tc>
        <w:tc>
          <w:tcPr/>
          <w:p>
            <w:pPr>
              <w:pStyle w:val="Compact"/>
              <w:jc w:val="left"/>
            </w:pPr>
            <w:r>
              <w:t xml:space="preserve">90,9</w:t>
            </w:r>
          </w:p>
        </w:tc>
        <w:tc>
          <w:tcPr/>
          <w:p>
            <w:pPr>
              <w:pStyle w:val="Compact"/>
              <w:jc w:val="left"/>
            </w:pPr>
            <w:r>
              <w:t xml:space="preserve">−15,6 %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1.210</w:t>
            </w:r>
          </w:p>
        </w:tc>
        <w:tc>
          <w:tcPr/>
          <w:p>
            <w:pPr>
              <w:pStyle w:val="Compact"/>
              <w:jc w:val="left"/>
            </w:pPr>
            <w:r>
              <w:t xml:space="preserve">5,0x</w:t>
            </w:r>
          </w:p>
        </w:tc>
        <w:tc>
          <w:tcPr/>
          <w:p>
            <w:pPr>
              <w:pStyle w:val="Compact"/>
              <w:jc w:val="left"/>
            </w:pPr>
            <w:r>
              <w:t xml:space="preserve">163,2</w:t>
            </w:r>
          </w:p>
        </w:tc>
        <w:tc>
          <w:tcPr/>
          <w:p>
            <w:pPr>
              <w:pStyle w:val="Compact"/>
              <w:jc w:val="left"/>
            </w:pPr>
            <w:r>
              <w:t xml:space="preserve">+51,5 %</w:t>
            </w:r>
          </w:p>
        </w:tc>
        <w:tc>
          <w:tcPr/>
          <w:p>
            <w:pPr>
              <w:pStyle w:val="Compact"/>
              <w:jc w:val="left"/>
            </w:pPr>
            <w:r>
              <w:t xml:space="preserve">15 %</w:t>
            </w:r>
          </w:p>
        </w:tc>
      </w:tr>
      <w:tr>
        <w:tc>
          <w:tcPr/>
          <w:p>
            <w:pPr>
              <w:pStyle w:val="Compact"/>
              <w:jc w:val="left"/>
            </w:pPr>
            <w:r>
              <w:rPr>
                <w:bCs/>
                <w:b/>
              </w:rPr>
              <w:t xml:space="preserve">Ponderada</w:t>
            </w:r>
          </w:p>
        </w:tc>
        <w:tc>
          <w:tcPr/>
          <w:p>
            <w:pPr>
              <w:pStyle w:val="Compact"/>
            </w:pPr>
          </w:p>
        </w:tc>
        <w:tc>
          <w:tcPr/>
          <w:p>
            <w:pPr>
              <w:pStyle w:val="Compact"/>
            </w:pPr>
          </w:p>
        </w:tc>
        <w:tc>
          <w:tcPr/>
          <w:p>
            <w:pPr>
              <w:pStyle w:val="Compact"/>
              <w:jc w:val="left"/>
            </w:pPr>
            <w:r>
              <w:rPr>
                <w:bCs/>
                <w:b/>
              </w:rPr>
              <w:t xml:space="preserve">85,1</w:t>
            </w:r>
          </w:p>
        </w:tc>
        <w:tc>
          <w:tcPr/>
          <w:p>
            <w:pPr>
              <w:pStyle w:val="Compact"/>
              <w:jc w:val="left"/>
            </w:pPr>
            <w:r>
              <w:rPr>
                <w:bCs/>
                <w:b/>
              </w:rPr>
              <w:t xml:space="preserve">−21,0 %</w:t>
            </w:r>
          </w:p>
        </w:tc>
        <w:tc>
          <w:tcPr/>
          <w:p>
            <w:pPr>
              <w:pStyle w:val="Compact"/>
            </w:pPr>
          </w:p>
        </w:tc>
      </w:tr>
    </w:tbl>
    <w:p>
      <w:pPr>
        <w:pStyle w:val="BodyText"/>
      </w:pPr>
      <w:r>
        <w:rPr>
          <w:bCs/>
          <w:b/>
        </w:rPr>
        <w:t xml:space="preserve">Ventas</w:t>
      </w:r>
      <w:r>
        <w:t xml:space="preserve">:</w:t>
      </w:r>
    </w:p>
    <w:p>
      <w:pPr>
        <w:numPr>
          <w:ilvl w:val="0"/>
          <w:numId w:val="1017"/>
        </w:numPr>
        <w:pStyle w:val="Compact"/>
      </w:pPr>
      <w:r>
        <w:t xml:space="preserve">v11 toma la menor entre la proyección mecánica (1.014 / 1.221 / 1.310 M) y la del informe (1.000 / 1.130 / 1.210 M).</w:t>
      </w:r>
    </w:p>
    <w:p>
      <w:pPr>
        <w:numPr>
          <w:ilvl w:val="0"/>
          <w:numId w:val="1017"/>
        </w:numPr>
        <w:pStyle w:val="Compact"/>
      </w:pPr>
      <w:r>
        <w:t xml:space="preserve">La del informe parte del segundo semestre guiado, un +15 % orgánico en el 1S27 y VitalConnect desde octubre (≈ 998 M en los 12 meses siguientes), y suma un +13 % el segundo año.</w:t>
      </w:r>
    </w:p>
    <w:p>
      <w:pPr>
        <w:numPr>
          <w:ilvl w:val="0"/>
          <w:numId w:val="1017"/>
        </w:numPr>
        <w:pStyle w:val="Compact"/>
      </w:pPr>
      <w:r>
        <w:rPr>
          <w:bCs/>
          <w:b/>
        </w:rPr>
        <w:t xml:space="preserve">Consenso</w:t>
      </w:r>
      <w:r>
        <w:t xml:space="preserve"> </w:t>
      </w:r>
      <w:r>
        <w:t xml:space="preserve">para la misma ventana: ~1.090 M (2027 ~1.020-1.030 M; 2028 ~1.160 M). Parte de los analistas aún no incluye VitalConnect [12][20]. La base del informe queda un 4 % por encima, por la compra.</w:t>
      </w:r>
    </w:p>
    <w:p>
      <w:pPr>
        <w:numPr>
          <w:ilvl w:val="0"/>
          <w:numId w:val="1017"/>
        </w:numPr>
        <w:pStyle w:val="Compact"/>
      </w:pPr>
      <w:r>
        <w:t xml:space="preserve">La mecánica parte de un +23,4 %: mucho más que la guía. El recorte por la guía no actúa porque la empresa batió la de 2025 por 11 puntos.</w:t>
      </w:r>
    </w:p>
    <w:p>
      <w:pPr>
        <w:pStyle w:val="FirstParagraph"/>
      </w:pPr>
      <w:r>
        <w:rPr>
          <w:bCs/>
          <w:b/>
        </w:rPr>
        <w:t xml:space="preserve">Múltiplo</w:t>
      </w:r>
      <w:r>
        <w:t xml:space="preserve">:</w:t>
      </w:r>
    </w:p>
    <w:p>
      <w:pPr>
        <w:numPr>
          <w:ilvl w:val="0"/>
          <w:numId w:val="1018"/>
        </w:numPr>
        <w:pStyle w:val="Compact"/>
      </w:pPr>
      <w:r>
        <w:t xml:space="preserve">Base: 4,0x de hoy × 0,79 por la desaceleración (del +20,9 % al +13 %) = 3,2x.</w:t>
      </w:r>
    </w:p>
    <w:p>
      <w:pPr>
        <w:numPr>
          <w:ilvl w:val="0"/>
          <w:numId w:val="1018"/>
        </w:numPr>
        <w:pStyle w:val="Compact"/>
      </w:pPr>
      <w:r>
        <w:t xml:space="preserve">Bajista: base × 0,6.</w:t>
      </w:r>
    </w:p>
    <w:p>
      <w:pPr>
        <w:numPr>
          <w:ilvl w:val="0"/>
          <w:numId w:val="1018"/>
        </w:numPr>
        <w:pStyle w:val="Compact"/>
      </w:pPr>
      <w:r>
        <w:t xml:space="preserve">Alcista: su mediana de 3 años (5,2x), dentro del techo.</w:t>
      </w:r>
    </w:p>
    <w:p>
      <w:pPr>
        <w:numPr>
          <w:ilvl w:val="0"/>
          <w:numId w:val="1018"/>
        </w:numPr>
        <w:pStyle w:val="Compact"/>
      </w:pPr>
      <w:r>
        <w:rPr>
          <w:bCs/>
          <w:b/>
        </w:rPr>
        <w:t xml:space="preserve">Ojo</w:t>
      </w:r>
      <w:r>
        <w:t xml:space="preserve">: v11 mide la desaceleración desde el +20,9 %, que incluye la compra. La candidata v12 la mide desde el orgánico (+15 %) y el recorte es menor (0,93): por eso v12 da Mantener (ver apartado 11).</w:t>
      </w:r>
    </w:p>
    <w:p>
      <w:pPr>
        <w:pStyle w:val="FirstParagraph"/>
      </w:pPr>
      <w:r>
        <w:rPr>
          <w:bCs/>
          <w:b/>
        </w:rPr>
        <w:t xml:space="preserve">Probabilidades 35/50/15</w:t>
      </w:r>
      <w:r>
        <w:t xml:space="preserve">: depende de un solo producto (Zio) y de la tarifa de Medicare, con la carta de la FDA abierta.</w:t>
      </w:r>
    </w:p>
    <w:p>
      <w:pPr>
        <w:pStyle w:val="BodyText"/>
      </w:pPr>
      <w:r>
        <w:rPr>
          <w:bCs/>
          <w:b/>
        </w:rPr>
        <w:t xml:space="preserve">DCF inverso</w:t>
      </w:r>
      <w:r>
        <w:t xml:space="preserve">: el precio descuenta un ~11,6 % anual a 10 años, con el margen de caja libre subiendo al 20 % [19]. No es exigente: es el argumento alcista. El método no compra porque, con la desaceleración actual, el múltiplo de hoy ya baja, y el bajista (tarifa o FDA) es muy profundo.</w:t>
      </w:r>
    </w:p>
    <w:p>
      <w:pPr>
        <w:pStyle w:val="BodyText"/>
      </w:pPr>
      <w:r>
        <w:rPr>
          <w:bCs/>
          <w:b/>
        </w:rPr>
        <w:t xml:space="preserve">Contraste</w:t>
      </w:r>
      <w:r>
        <w:t xml:space="preserve">: el objetivo medio de los analistas es de 173,93 USD (15 analistas, todos en Compra) [12]. El mercado de analistas ve mucho más valor que el método; el precio, no.</w:t>
      </w:r>
    </w:p>
    <w:bookmarkEnd w:id="28"/>
    <w:bookmarkStart w:id="29" w:name="foros-y-sentimiento"/>
    <w:p>
      <w:pPr>
        <w:pStyle w:val="Heading2"/>
      </w:pPr>
      <w:r>
        <w:t xml:space="preserve">10. Foros y sentimiento</w:t>
      </w:r>
    </w:p>
    <w:p>
      <w:pPr>
        <w:numPr>
          <w:ilvl w:val="0"/>
          <w:numId w:val="1019"/>
        </w:numPr>
        <w:pStyle w:val="Compact"/>
      </w:pPr>
      <w:r>
        <w:rPr>
          <w:bCs/>
          <w:b/>
        </w:rPr>
        <w:t xml:space="preserve">StockTwits</w:t>
      </w:r>
      <w:r>
        <w:t xml:space="preserve"> </w:t>
      </w:r>
      <w:r>
        <w:t xml:space="preserve">(30 mensajes, 14-oct): 5 alcistas, 0 bajistas y 25 sin etiqueta, casi todos anuncios para reclamar en el acuerdo de 45 M con los accionistas (vista final el 5-nov). Alguno sueña con una opa de Abbott. Hay poca actividad: ~1.500 seguidores [15].</w:t>
      </w:r>
    </w:p>
    <w:p>
      <w:pPr>
        <w:numPr>
          <w:ilvl w:val="0"/>
          <w:numId w:val="1019"/>
        </w:numPr>
        <w:pStyle w:val="Compact"/>
      </w:pPr>
      <w:r>
        <w:rPr>
          <w:bCs/>
          <w:b/>
        </w:rPr>
        <w:t xml:space="preserve">Prensa</w:t>
      </w:r>
      <w:r>
        <w:t xml:space="preserve">: el tono es «buen negocio, acción castigada». William Blair llamó exagerada la caída de enero; Simply Wall St destaca un −40 % en el año [13][14]. Reddit y foros en castellano (Rankia, Investing ES): sin hilos activos encontrados.</w:t>
      </w:r>
    </w:p>
    <w:p>
      <w:pPr>
        <w:numPr>
          <w:ilvl w:val="0"/>
          <w:numId w:val="1019"/>
        </w:numPr>
        <w:pStyle w:val="Compact"/>
      </w:pPr>
      <w:r>
        <w:rPr>
          <w:bCs/>
          <w:b/>
        </w:rPr>
        <w:t xml:space="preserve">Contraste con los datos</w:t>
      </w:r>
      <w:r>
        <w:t xml:space="preserve">: la percepción va peor que el negocio. Es típico de un suelo, pero el método no se anticipa a un giro sin señales de precio.</w:t>
      </w:r>
    </w:p>
    <w:p>
      <w:pPr>
        <w:pStyle w:val="FirstParagraph"/>
      </w:pPr>
      <w:r>
        <w:rPr>
          <w:bCs/>
          <w:b/>
        </w:rPr>
        <w:t xml:space="preserve">Riesgo de IA: medio. Hoy ayuda más que sustituye</w:t>
      </w:r>
      <w:r>
        <w:t xml:space="preserve">, por tres razones:</w:t>
      </w:r>
    </w:p>
    <w:p>
      <w:pPr>
        <w:numPr>
          <w:ilvl w:val="0"/>
          <w:numId w:val="1020"/>
        </w:numPr>
        <w:pStyle w:val="Compact"/>
      </w:pPr>
      <w:r>
        <w:rPr>
          <w:bCs/>
          <w:b/>
        </w:rPr>
        <w:t xml:space="preserve">Ayuda</w:t>
      </w:r>
      <w:r>
        <w:t xml:space="preserve">: iRhythm ya es una empresa de IA aplicada. Su algoritmo de aprendizaje profundo, entrenado con un archivo de registros enorme, lee el ECG y el técnico lo revisa. El de tercera generación reduce el tiempo de revisión a la mitad y ahorra ~100 M: más margen [1][11]. La IA abarata su coste más que el de un rival sin datos.</w:t>
      </w:r>
    </w:p>
    <w:p>
      <w:pPr>
        <w:numPr>
          <w:ilvl w:val="0"/>
          <w:numId w:val="1020"/>
        </w:numPr>
        <w:pStyle w:val="Compact"/>
      </w:pPr>
      <w:r>
        <w:rPr>
          <w:bCs/>
          <w:b/>
        </w:rPr>
        <w:t xml:space="preserve">No sustituye lo que cobra</w:t>
      </w:r>
      <w:r>
        <w:t xml:space="preserve">: el valor está en el parche de 14 días con calidad de diagnóstico, en los centros inscritos en Medicare y en el informe firmado que el médico usa para decidir. Un reloj que detecta fibrilación auricular genera más sospechas y, de hecho, más pruebas Zio. Un algoritmo de otro no factura sin centro, sin aprobación y sin tarifa.</w:t>
      </w:r>
    </w:p>
    <w:p>
      <w:pPr>
        <w:numPr>
          <w:ilvl w:val="0"/>
          <w:numId w:val="1020"/>
        </w:numPr>
        <w:pStyle w:val="Compact"/>
      </w:pPr>
      <w:r>
        <w:rPr>
          <w:bCs/>
          <w:b/>
        </w:rPr>
        <w:t xml:space="preserve">Riesgo real, pero indirecto</w:t>
      </w:r>
      <w:r>
        <w:t xml:space="preserve">:</w:t>
      </w:r>
    </w:p>
    <w:p>
      <w:pPr>
        <w:numPr>
          <w:ilvl w:val="1"/>
          <w:numId w:val="1021"/>
        </w:numPr>
        <w:pStyle w:val="Compact"/>
      </w:pPr>
      <w:r>
        <w:t xml:space="preserve">Medicare fija la tarifa con los costes, incluido el tiempo del técnico. Si la IA hace la lectura casi gratis, CMS puede bajar la tarifa con el tiempo, y Medicare es el 26 % de las ventas.</w:t>
      </w:r>
    </w:p>
    <w:p>
      <w:pPr>
        <w:numPr>
          <w:ilvl w:val="1"/>
          <w:numId w:val="1021"/>
        </w:numPr>
        <w:pStyle w:val="Compact"/>
      </w:pPr>
      <w:r>
        <w:t xml:space="preserve">La IA de lectura de ECG se vuelve un bien común (Philips, Boston Scientific y empresas emergentes): se estrecha la ventaja del algoritmo.</w:t>
      </w:r>
    </w:p>
    <w:p>
      <w:pPr>
        <w:numPr>
          <w:ilvl w:val="1"/>
          <w:numId w:val="1021"/>
        </w:numPr>
        <w:pStyle w:val="Compact"/>
      </w:pPr>
      <w:r>
        <w:t xml:space="preserve">Un reloj o un parche barato con IA aprobada para diagnóstico podría competir en los casos sencillos.</w:t>
      </w:r>
    </w:p>
    <w:p>
      <w:pPr>
        <w:numPr>
          <w:ilvl w:val="1"/>
          <w:numId w:val="1021"/>
        </w:numPr>
        <w:pStyle w:val="Compact"/>
      </w:pPr>
      <w:r>
        <w:t xml:space="preserve">Todo eso juega a 3-5 años, no a 12 meses.</w:t>
      </w:r>
    </w:p>
    <w:bookmarkEnd w:id="29"/>
    <w:bookmarkStart w:id="30" w:name="riesgos-y-qué-rompería-la-tesis"/>
    <w:p>
      <w:pPr>
        <w:pStyle w:val="Heading2"/>
      </w:pPr>
      <w:r>
        <w:t xml:space="preserve">11. Riesgos y qué rompería la tesis</w:t>
      </w:r>
    </w:p>
    <w:p>
      <w:pPr>
        <w:pStyle w:val="FirstParagraph"/>
      </w:pPr>
      <w:r>
        <w:rPr>
          <w:bCs/>
          <w:b/>
        </w:rPr>
        <w:t xml:space="preserve">Robustez (alertas de</w:t>
      </w:r>
      <w:r>
        <w:rPr>
          <w:bCs/>
          <w:b/>
        </w:rPr>
        <w:t xml:space="preserve"> </w:t>
      </w:r>
      <w:r>
        <w:rPr>
          <w:rStyle w:val="VerbatimChar"/>
          <w:bCs/>
          <w:b/>
        </w:rPr>
        <w:t xml:space="preserve">calc.alertas</w:t>
      </w:r>
      <w:r>
        <w:rPr>
          <w:bCs/>
          <w:b/>
        </w:rPr>
        <w:t xml:space="preserve">)</w:t>
      </w:r>
      <w:r>
        <w:t xml:space="preserve">. Solo hay una:</w:t>
      </w:r>
      <w:r>
        <w:t xml:space="preserve"> </w:t>
      </w:r>
      <w:r>
        <w:rPr>
          <w:bCs/>
          <w:b/>
        </w:rPr>
        <w:t xml:space="preserve">«Exceso sobre la guía de 11,3 pp (&gt; 10): el recorte por la guía casi no actúa.»</w:t>
      </w:r>
      <w:r>
        <w:t xml:space="preserve"> </w:t>
      </w:r>
      <w:r>
        <w:t xml:space="preserve">Es cierta, pero</w:t>
      </w:r>
      <w:r>
        <w:t xml:space="preserve"> </w:t>
      </w:r>
      <w:r>
        <w:rPr>
          <w:bCs/>
          <w:b/>
        </w:rPr>
        <w:t xml:space="preserve">no debilita la señal de v11</w:t>
      </w:r>
      <w:r>
        <w:t xml:space="preserve">:</w:t>
      </w:r>
    </w:p>
    <w:p>
      <w:pPr>
        <w:numPr>
          <w:ilvl w:val="0"/>
          <w:numId w:val="1022"/>
        </w:numPr>
        <w:pStyle w:val="Compact"/>
      </w:pPr>
      <w:r>
        <w:t xml:space="preserve">El exceso viene de 2025 (+26,2 % real frente a +14,9 % guiado). En 2026 lo bate por menos (1S26 +22,6 % frente a +17,1 %), y el segundo semestre ya está guiado a un +15 %.</w:t>
      </w:r>
    </w:p>
    <w:p>
      <w:pPr>
        <w:numPr>
          <w:ilvl w:val="0"/>
          <w:numId w:val="1022"/>
        </w:numPr>
        <w:pStyle w:val="Compact"/>
      </w:pPr>
      <w:r>
        <w:t xml:space="preserve">Por eso la mecánica (1.221 M) va un 12 % por encima del consenso.</w:t>
      </w:r>
    </w:p>
    <w:p>
      <w:pPr>
        <w:numPr>
          <w:ilvl w:val="0"/>
          <w:numId w:val="1022"/>
        </w:numPr>
        <w:pStyle w:val="Compact"/>
      </w:pPr>
      <w:r>
        <w:t xml:space="preserve">v11 no la usa: toma las ventas del informe, cercanas al consenso. La alerta afecta a v9, no a la señal vigente.</w:t>
      </w:r>
    </w:p>
    <w:p>
      <w:pPr>
        <w:pStyle w:val="FirstParagraph"/>
      </w:pPr>
      <w:r>
        <w:rPr>
          <w:bCs/>
          <w:b/>
        </w:rPr>
        <w:t xml:space="preserve">Prueba de robustez</w:t>
      </w:r>
      <w:r>
        <w:t xml:space="preserve"> </w:t>
      </w:r>
      <w:r>
        <w:t xml:space="preserve">(</w:t>
      </w:r>
      <w:r>
        <w:rPr>
          <w:rStyle w:val="VerbatimChar"/>
        </w:rPr>
        <w:t xml:space="preserve">herramientas/robustez-growth.mjs --precios</w:t>
      </w:r>
      <w:r>
        <w:t xml:space="preserve">):</w:t>
      </w:r>
      <w:r>
        <w:t xml:space="preserve"> </w:t>
      </w:r>
      <w:r>
        <w:rPr>
          <w:bCs/>
          <w:b/>
        </w:rPr>
        <w:t xml:space="preserve">FRÁGIL</w:t>
      </w:r>
      <w:r>
        <w:t xml:space="preserve">.</w:t>
      </w:r>
    </w:p>
    <w:p>
      <w:pPr>
        <w:numPr>
          <w:ilvl w:val="0"/>
          <w:numId w:val="1023"/>
        </w:numPr>
        <w:pStyle w:val="Compact"/>
      </w:pPr>
      <w:r>
        <w:t xml:space="preserve">La señal robusta es Vender: v7, v9, v11, ventas del analista y precio de hoy con el objetivo fijo dan todas Vender.</w:t>
      </w:r>
    </w:p>
    <w:p>
      <w:pPr>
        <w:numPr>
          <w:ilvl w:val="0"/>
          <w:numId w:val="1023"/>
        </w:numPr>
        <w:pStyle w:val="Compact"/>
      </w:pPr>
      <w:r>
        <w:t xml:space="preserve">Con probabilidades 25/50/25 sale</w:t>
      </w:r>
      <w:r>
        <w:t xml:space="preserve"> </w:t>
      </w:r>
      <w:r>
        <w:rPr>
          <w:bCs/>
          <w:b/>
        </w:rPr>
        <w:t xml:space="preserve">Mantener</w:t>
      </w:r>
      <w:r>
        <w:t xml:space="preserve"> </w:t>
      </w:r>
      <w:r>
        <w:t xml:space="preserve">(ponderada −9,9 %, a una décima del listón).</w:t>
      </w:r>
    </w:p>
    <w:p>
      <w:pPr>
        <w:numPr>
          <w:ilvl w:val="0"/>
          <w:numId w:val="1023"/>
        </w:numPr>
        <w:pStyle w:val="Compact"/>
      </w:pPr>
      <w:r>
        <w:t xml:space="preserve">La candidata v12 también da Mantener (−8,4 %): mide la desaceleración sin la compra, y aquí la compra infla el crecimiento de los próximos 12 meses.</w:t>
      </w:r>
    </w:p>
    <w:p>
      <w:pPr>
        <w:numPr>
          <w:ilvl w:val="0"/>
          <w:numId w:val="1023"/>
        </w:numPr>
        <w:pStyle w:val="Compact"/>
      </w:pPr>
      <w:r>
        <w:t xml:space="preserve">Lectura:</w:t>
      </w:r>
      <w:r>
        <w:t xml:space="preserve"> </w:t>
      </w:r>
      <w:r>
        <w:rPr>
          <w:bCs/>
          <w:b/>
        </w:rPr>
        <w:t xml:space="preserve">«no comprar» es firme; «vender» frente a «mantener» no lo es</w:t>
      </w:r>
      <w:r>
        <w:t xml:space="preserve">. Como no está en cartera, la diferencia no cambia nada práctico.</w:t>
      </w:r>
    </w:p>
    <w:p>
      <w:pPr>
        <w:numPr>
          <w:ilvl w:val="0"/>
          <w:numId w:val="1023"/>
        </w:numPr>
        <w:pStyle w:val="Compact"/>
      </w:pPr>
      <w:r>
        <w:t xml:space="preserve">Avisos de la prueba:</w:t>
      </w:r>
    </w:p>
    <w:p>
      <w:pPr>
        <w:numPr>
          <w:ilvl w:val="1"/>
          <w:numId w:val="1024"/>
        </w:numPr>
        <w:pStyle w:val="Compact"/>
      </w:pPr>
      <w:r>
        <w:t xml:space="preserve">El objetivo se mueve con el precio (elasticidad 0,92): por eso se deja fijo.</w:t>
      </w:r>
    </w:p>
    <w:p>
      <w:pPr>
        <w:numPr>
          <w:ilvl w:val="1"/>
          <w:numId w:val="1024"/>
        </w:numPr>
        <w:pStyle w:val="Compact"/>
      </w:pPr>
      <w:r>
        <w:t xml:space="preserve">El bajista es del −60 %: si algún día entra, posición pequeña y en tramos.</w:t>
      </w:r>
    </w:p>
    <w:p>
      <w:pPr>
        <w:numPr>
          <w:ilvl w:val="0"/>
          <w:numId w:val="1023"/>
        </w:numPr>
        <w:pStyle w:val="Compact"/>
      </w:pPr>
      <w:r>
        <w:t xml:space="preserve">La puntuación (59) se queda a un punto de 60: una señal de precio más (por ejemplo, superar la media de 200) la pasaría.</w:t>
      </w:r>
    </w:p>
    <w:p>
      <w:pPr>
        <w:pStyle w:val="FirstParagraph"/>
      </w:pPr>
      <w:r>
        <w:rPr>
          <w:bCs/>
          <w:b/>
        </w:rPr>
        <w:t xml:space="preserve">Qué rompería la tesis (señales de venta concretas)</w:t>
      </w:r>
      <w:r>
        <w:t xml:space="preserve">:</w:t>
      </w:r>
    </w:p>
    <w:p>
      <w:pPr>
        <w:numPr>
          <w:ilvl w:val="0"/>
          <w:numId w:val="1025"/>
        </w:numPr>
        <w:pStyle w:val="Compact"/>
      </w:pPr>
      <w:r>
        <w:rPr>
          <w:bCs/>
          <w:b/>
        </w:rPr>
        <w:t xml:space="preserve">Reembolso (CMS)</w:t>
      </w:r>
      <w:r>
        <w:t xml:space="preserve">: un recorte en la tarifa final de 2027 o en las siguientes. El 93247 es el código del parche de larga duración y la propuesta de julio era +3 %, según una sola fuente. Medicare es el 26 % de las ventas y muchas aseguradoras siguen su tarifa [2][17]. Tesis rota si el recorte supera el 10 %.</w:t>
      </w:r>
    </w:p>
    <w:p>
      <w:pPr>
        <w:numPr>
          <w:ilvl w:val="0"/>
          <w:numId w:val="1025"/>
        </w:numPr>
        <w:pStyle w:val="Compact"/>
      </w:pPr>
      <w:r>
        <w:rPr>
          <w:bCs/>
          <w:b/>
        </w:rPr>
        <w:t xml:space="preserve">FDA</w:t>
      </w:r>
      <w:r>
        <w:t xml:space="preserve">: la carta de advertencia de 2023 sigue sin cerrarse y la FDA puede emitir otra, pedir un decreto de consentimiento o parar Zio AT [2]. Tesis rota con cualquier sanción nueva o retirada de producto.</w:t>
      </w:r>
    </w:p>
    <w:p>
      <w:pPr>
        <w:numPr>
          <w:ilvl w:val="0"/>
          <w:numId w:val="1025"/>
        </w:numPr>
        <w:pStyle w:val="Compact"/>
      </w:pPr>
      <w:r>
        <w:rPr>
          <w:bCs/>
          <w:b/>
        </w:rPr>
        <w:t xml:space="preserve">Justicia</w:t>
      </w:r>
      <w:r>
        <w:t xml:space="preserve">: la demanda civil del Departamento de Justicia sobre Zio AT y su facturación (diciembre de 2025) puede acabar en multa o en un acuerdo de integridad.</w:t>
      </w:r>
    </w:p>
    <w:p>
      <w:pPr>
        <w:numPr>
          <w:ilvl w:val="0"/>
          <w:numId w:val="1025"/>
        </w:numPr>
        <w:pStyle w:val="Compact"/>
      </w:pPr>
      <w:r>
        <w:rPr>
          <w:bCs/>
          <w:b/>
        </w:rPr>
        <w:t xml:space="preserve">Competencia</w:t>
      </w:r>
      <w:r>
        <w:t xml:space="preserve">: rivales grandes en telemetría móvil y la IA abaratando la lectura. Tesis rota si el crecimiento orgánico baja del +10 % dos trimestres seguidos.</w:t>
      </w:r>
    </w:p>
    <w:p>
      <w:pPr>
        <w:numPr>
          <w:ilvl w:val="0"/>
          <w:numId w:val="1025"/>
        </w:numPr>
        <w:pStyle w:val="Compact"/>
      </w:pPr>
      <w:r>
        <w:rPr>
          <w:bCs/>
          <w:b/>
        </w:rPr>
        <w:t xml:space="preserve">Ejecución de VitalConnect</w:t>
      </w:r>
      <w:r>
        <w:t xml:space="preserve">: integración, retención de clientes y que el margen EBITDA del 15 % en 2027 se mantenga.</w:t>
      </w:r>
    </w:p>
    <w:p>
      <w:pPr>
        <w:numPr>
          <w:ilvl w:val="0"/>
          <w:numId w:val="1025"/>
        </w:numPr>
        <w:pStyle w:val="Compact"/>
      </w:pPr>
      <w:r>
        <w:rPr>
          <w:bCs/>
          <w:b/>
        </w:rPr>
        <w:t xml:space="preserve">Otros</w:t>
      </w:r>
      <w:r>
        <w:t xml:space="preserve">: datos de pacientes robados en el ciberataque (posibles demandas) y el convertible de 2029.</w:t>
      </w:r>
    </w:p>
    <w:bookmarkEnd w:id="30"/>
    <w:bookmarkStart w:id="31" w:name="catalizadores-con-fecha"/>
    <w:p>
      <w:pPr>
        <w:pStyle w:val="Heading2"/>
      </w:pPr>
      <w:r>
        <w:t xml:space="preserve">12. Catalizadores con fecha</w:t>
      </w:r>
    </w:p>
    <w:p>
      <w:pPr>
        <w:numPr>
          <w:ilvl w:val="0"/>
          <w:numId w:val="1026"/>
        </w:numPr>
        <w:pStyle w:val="Compact"/>
      </w:pPr>
      <w:r>
        <w:rPr>
          <w:bCs/>
          <w:b/>
        </w:rPr>
        <w:t xml:space="preserve">5-nov-2026</w:t>
      </w:r>
      <w:r>
        <w:t xml:space="preserve">: resultados del 3T, nueva guía 2026 con VitalConnect y vista final del acuerdo de 45 M con los accionistas [4][15].</w:t>
      </w:r>
    </w:p>
    <w:p>
      <w:pPr>
        <w:numPr>
          <w:ilvl w:val="0"/>
          <w:numId w:val="1026"/>
        </w:numPr>
        <w:pStyle w:val="Compact"/>
      </w:pPr>
      <w:r>
        <w:rPr>
          <w:bCs/>
          <w:b/>
        </w:rPr>
        <w:t xml:space="preserve">Noviembre de 2026</w:t>
      </w:r>
      <w:r>
        <w:t xml:space="preserve">: tarifa final de Medicare para 2027 [17].</w:t>
      </w:r>
    </w:p>
    <w:p>
      <w:pPr>
        <w:numPr>
          <w:ilvl w:val="0"/>
          <w:numId w:val="1026"/>
        </w:numPr>
        <w:pStyle w:val="Compact"/>
      </w:pPr>
      <w:r>
        <w:rPr>
          <w:bCs/>
          <w:b/>
        </w:rPr>
        <w:t xml:space="preserve">Febrero de 2027</w:t>
      </w:r>
      <w:r>
        <w:t xml:space="preserve">: resultados del año y guía 2027, con el objetivo de margen EBITDA del 15 %.</w:t>
      </w:r>
    </w:p>
    <w:p>
      <w:pPr>
        <w:numPr>
          <w:ilvl w:val="0"/>
          <w:numId w:val="1026"/>
        </w:numPr>
        <w:pStyle w:val="Compact"/>
      </w:pPr>
      <w:r>
        <w:rPr>
          <w:bCs/>
          <w:b/>
        </w:rPr>
        <w:t xml:space="preserve">1S27</w:t>
      </w:r>
      <w:r>
        <w:t xml:space="preserve">: aprobación de Zio MCT por la FDA y lanzamiento del algoritmo de tercera generación [11].</w:t>
      </w:r>
    </w:p>
    <w:p>
      <w:pPr>
        <w:numPr>
          <w:ilvl w:val="0"/>
          <w:numId w:val="1026"/>
        </w:numPr>
        <w:pStyle w:val="Compact"/>
      </w:pPr>
      <w:r>
        <w:rPr>
          <w:bCs/>
          <w:b/>
        </w:rPr>
        <w:t xml:space="preserve">Sin fecha</w:t>
      </w:r>
      <w:r>
        <w:t xml:space="preserve">: cierre de la carta de advertencia de la FDA y de la demanda del Departamento de Justicia.</w:t>
      </w:r>
    </w:p>
    <w:bookmarkEnd w:id="31"/>
    <w:bookmarkStart w:id="32" w:name="encaje-en-cartera"/>
    <w:p>
      <w:pPr>
        <w:pStyle w:val="Heading2"/>
      </w:pPr>
      <w:r>
        <w:t xml:space="preserve">13. Encaje en cartera</w:t>
      </w:r>
    </w:p>
    <w:p>
      <w:pPr>
        <w:numPr>
          <w:ilvl w:val="0"/>
          <w:numId w:val="1027"/>
        </w:numPr>
        <w:pStyle w:val="Compact"/>
      </w:pPr>
      <w:r>
        <w:rPr>
          <w:bCs/>
          <w:b/>
        </w:rPr>
        <w:t xml:space="preserve">No entra.</w:t>
      </w:r>
      <w:r>
        <w:t xml:space="preserve"> </w:t>
      </w:r>
      <w:r>
        <w:t xml:space="preserve">El bolsillo growth está lleno (~20 % de la cartera) con cinco posiciones a precio actual y v11: Nu +19 %, Axon +36 %, Shopify +18 %, Snowflake +13 % y Samsara +15 % (</w:t>
      </w:r>
      <w:r>
        <w:rPr>
          <w:rStyle w:val="VerbatimChar"/>
        </w:rPr>
        <w:t xml:space="preserve">informes-growth/cartera-growth.md</w:t>
      </w:r>
      <w:r>
        <w:t xml:space="preserve">). La liquidez es de ≈27 EUR, así que solo cabría sustituyendo a alguna. iRhythm no da Comprar: ponderada −19,5 % al precio de hoy con el objetivo fijo. No sustituye a ninguna.</w:t>
      </w:r>
    </w:p>
    <w:p>
      <w:pPr>
        <w:numPr>
          <w:ilvl w:val="0"/>
          <w:numId w:val="1027"/>
        </w:numPr>
        <w:pStyle w:val="Compact"/>
      </w:pPr>
      <w:r>
        <w:rPr>
          <w:bCs/>
          <w:b/>
        </w:rPr>
        <w:t xml:space="preserve">Lista de suplentes</w:t>
      </w:r>
      <w:r>
        <w:t xml:space="preserve">: no entra. El orden nuevo es MongoDB, Toast, Zscaler, dLocal, Dexcom, argenx, Datadog, Saab y Natera, todas en Comprar.</w:t>
      </w:r>
    </w:p>
    <w:p>
      <w:pPr>
        <w:numPr>
          <w:ilvl w:val="0"/>
          <w:numId w:val="1027"/>
        </w:numPr>
        <w:pStyle w:val="Compact"/>
      </w:pPr>
      <w:r>
        <w:rPr>
          <w:bCs/>
          <w:b/>
        </w:rPr>
        <w:t xml:space="preserve">Dónde queda</w:t>
      </w:r>
      <w:r>
        <w:t xml:space="preserve">: en el grupo de no comprar. Si la señal pasa a Mantener (v12 o probabilidades 25/50/25), iría con TransMedics, Insulet y el resto de tecnología médica en Mantener. En tecnología médica, Dexcom (5.º suplente) va por delante.</w:t>
      </w:r>
    </w:p>
    <w:p>
      <w:pPr>
        <w:numPr>
          <w:ilvl w:val="0"/>
          <w:numId w:val="1027"/>
        </w:numPr>
        <w:pStyle w:val="Compact"/>
      </w:pPr>
      <w:r>
        <w:rPr>
          <w:bCs/>
          <w:b/>
        </w:rPr>
        <w:t xml:space="preserve">IA</w:t>
      </w:r>
      <w:r>
        <w:t xml:space="preserve">: Alphabet se vende mañana y no cuenta como exposición a IA. iRhythm tampoco la aportaría: es tecnología médica que usa IA, no una apuesta por la IA.</w:t>
      </w:r>
    </w:p>
    <w:p>
      <w:pPr>
        <w:numPr>
          <w:ilvl w:val="0"/>
          <w:numId w:val="1027"/>
        </w:numPr>
        <w:pStyle w:val="Compact"/>
      </w:pPr>
      <w:r>
        <w:rPr>
          <w:bCs/>
          <w:b/>
        </w:rPr>
        <w:t xml:space="preserve">Qué la llevaría a Comprar</w:t>
      </w:r>
      <w:r>
        <w:t xml:space="preserve">: puntuación ≥ 60 y precio por debajo del «compra hasta» (81,1 USD). O bien que los resultados del 5-nov y la guía 2027 suban las ventas o el margen lo bastante para mover el objetivo, por ejemplo un orgánico ≥ +18 % con la tarifa de Medicare confirmada y la FDA cerrando la carta.</w:t>
      </w:r>
    </w:p>
    <w:p>
      <w:pPr>
        <w:numPr>
          <w:ilvl w:val="0"/>
          <w:numId w:val="1027"/>
        </w:numPr>
        <w:pStyle w:val="Compact"/>
      </w:pPr>
      <w:r>
        <w:rPr>
          <w:bCs/>
          <w:b/>
        </w:rPr>
        <w:t xml:space="preserve">Preferencias de</w:t>
      </w:r>
      <w:r>
        <w:rPr>
          <w:bCs/>
          <w:b/>
        </w:rPr>
        <w:t xml:space="preserve"> </w:t>
      </w:r>
      <w:r>
        <w:rPr>
          <w:rStyle w:val="VerbatimChar"/>
          <w:bCs/>
          <w:b/>
        </w:rPr>
        <w:t xml:space="preserve">MEMORIA.md</w:t>
      </w:r>
      <w:r>
        <w:t xml:space="preserve">: no es juego, ni minorista, ni una empresa vetada.</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Comentario</w:t>
            </w:r>
          </w:p>
        </w:tc>
      </w:tr>
      <w:tr>
        <w:tc>
          <w:tcPr/>
          <w:p>
            <w:pPr>
              <w:pStyle w:val="Compact"/>
              <w:jc w:val="left"/>
            </w:pPr>
            <w:r>
              <w:t xml:space="preserve">A. Crecimiento</w:t>
            </w:r>
          </w:p>
        </w:tc>
        <w:tc>
          <w:tcPr/>
          <w:p>
            <w:pPr>
              <w:pStyle w:val="Compact"/>
              <w:jc w:val="left"/>
            </w:pPr>
            <w:r>
              <w:t xml:space="preserve">11,7</w:t>
            </w:r>
          </w:p>
        </w:tc>
        <w:tc>
          <w:tcPr/>
          <w:p>
            <w:pPr>
              <w:pStyle w:val="Compact"/>
              <w:jc w:val="left"/>
            </w:pPr>
            <w:r>
              <w:t xml:space="preserve">25</w:t>
            </w:r>
          </w:p>
        </w:tc>
        <w:tc>
          <w:tcPr/>
          <w:p>
            <w:pPr>
              <w:pStyle w:val="Compact"/>
              <w:jc w:val="left"/>
            </w:pPr>
            <w:r>
              <w:t xml:space="preserve">+25,6 % en 12 m y CAGR del 24 %, pero desacelera 7 pp</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del 18 %; tecnología 4 y posición 4</w:t>
            </w:r>
          </w:p>
        </w:tc>
      </w:tr>
      <w:tr>
        <w:tc>
          <w:tcPr/>
          <w:p>
            <w:pPr>
              <w:pStyle w:val="Compact"/>
              <w:jc w:val="left"/>
            </w:pPr>
            <w:r>
              <w:t xml:space="preserve">C. Cambio de tendencia</w:t>
            </w:r>
          </w:p>
        </w:tc>
        <w:tc>
          <w:tcPr/>
          <w:p>
            <w:pPr>
              <w:pStyle w:val="Compact"/>
              <w:jc w:val="left"/>
            </w:pPr>
            <w:r>
              <w:t xml:space="preserve">10,0</w:t>
            </w:r>
          </w:p>
        </w:tc>
        <w:tc>
          <w:tcPr/>
          <w:p>
            <w:pPr>
              <w:pStyle w:val="Compact"/>
              <w:jc w:val="left"/>
            </w:pPr>
            <w:r>
              <w:t xml:space="preserve">20</w:t>
            </w:r>
          </w:p>
        </w:tc>
        <w:tc>
          <w:tcPr/>
          <w:p>
            <w:pPr>
              <w:pStyle w:val="Compact"/>
              <w:jc w:val="left"/>
            </w:pPr>
            <w:r>
              <w:t xml:space="preserve">4/8: revisiones, inflexión, institucionales y catalizadores</w:t>
            </w:r>
          </w:p>
        </w:tc>
      </w:tr>
      <w:tr>
        <w:tc>
          <w:tcPr/>
          <w:p>
            <w:pPr>
              <w:pStyle w:val="Compact"/>
              <w:jc w:val="left"/>
            </w:pPr>
            <w:r>
              <w:t xml:space="preserve">D. Economía unitaria</w:t>
            </w:r>
          </w:p>
        </w:tc>
        <w:tc>
          <w:tcPr/>
          <w:p>
            <w:pPr>
              <w:pStyle w:val="Compact"/>
              <w:jc w:val="left"/>
            </w:pPr>
            <w:r>
              <w:t xml:space="preserve">11,0</w:t>
            </w:r>
          </w:p>
        </w:tc>
        <w:tc>
          <w:tcPr/>
          <w:p>
            <w:pPr>
              <w:pStyle w:val="Compact"/>
              <w:jc w:val="left"/>
            </w:pPr>
            <w:r>
              <w:t xml:space="preserve">15</w:t>
            </w:r>
          </w:p>
        </w:tc>
        <w:tc>
          <w:tcPr/>
          <w:p>
            <w:pPr>
              <w:pStyle w:val="Compact"/>
              <w:jc w:val="left"/>
            </w:pPr>
            <w:r>
              <w:t xml:space="preserve">Margen bruto 71,5 %, regla del 40 = 30,3, FCF creciente</w:t>
            </w:r>
          </w:p>
        </w:tc>
      </w:tr>
      <w:tr>
        <w:tc>
          <w:tcPr/>
          <w:p>
            <w:pPr>
              <w:pStyle w:val="Compact"/>
              <w:jc w:val="left"/>
            </w:pPr>
            <w:r>
              <w:t xml:space="preserve">E. Caja y dilución</w:t>
            </w:r>
          </w:p>
        </w:tc>
        <w:tc>
          <w:tcPr/>
          <w:p>
            <w:pPr>
              <w:pStyle w:val="Compact"/>
              <w:jc w:val="left"/>
            </w:pPr>
            <w:r>
              <w:t xml:space="preserve">6,0</w:t>
            </w:r>
          </w:p>
        </w:tc>
        <w:tc>
          <w:tcPr/>
          <w:p>
            <w:pPr>
              <w:pStyle w:val="Compact"/>
              <w:jc w:val="left"/>
            </w:pPr>
            <w:r>
              <w:t xml:space="preserve">10</w:t>
            </w:r>
          </w:p>
        </w:tc>
        <w:tc>
          <w:tcPr/>
          <w:p>
            <w:pPr>
              <w:pStyle w:val="Compact"/>
              <w:jc w:val="left"/>
            </w:pPr>
            <w:r>
              <w:t xml:space="preserve">FCF positivo; dilución del 4,1 %</w:t>
            </w:r>
          </w:p>
        </w:tc>
      </w:tr>
      <w:tr>
        <w:tc>
          <w:tcPr/>
          <w:p>
            <w:pPr>
              <w:pStyle w:val="Compact"/>
              <w:jc w:val="left"/>
            </w:pPr>
            <w:r>
              <w:t xml:space="preserve">F. Ejecución y dirección</w:t>
            </w:r>
          </w:p>
        </w:tc>
        <w:tc>
          <w:tcPr/>
          <w:p>
            <w:pPr>
              <w:pStyle w:val="Compact"/>
              <w:jc w:val="left"/>
            </w:pPr>
            <w:r>
              <w:t xml:space="preserve">7,0</w:t>
            </w:r>
          </w:p>
        </w:tc>
        <w:tc>
          <w:tcPr/>
          <w:p>
            <w:pPr>
              <w:pStyle w:val="Compact"/>
              <w:jc w:val="left"/>
            </w:pPr>
            <w:r>
              <w:t xml:space="preserve">10</w:t>
            </w:r>
          </w:p>
        </w:tc>
        <w:tc>
          <w:tcPr/>
          <w:p>
            <w:pPr>
              <w:pStyle w:val="Compact"/>
              <w:jc w:val="left"/>
            </w:pPr>
            <w:r>
              <w:t xml:space="preserve">4 + 3</w:t>
            </w:r>
          </w:p>
        </w:tc>
      </w:tr>
      <w:tr>
        <w:tc>
          <w:tcPr/>
          <w:p>
            <w:pPr>
              <w:pStyle w:val="Compact"/>
              <w:jc w:val="left"/>
            </w:pPr>
            <w:r>
              <w:rPr>
                <w:bCs/>
                <w:b/>
              </w:rPr>
              <w:t xml:space="preserve">Total</w:t>
            </w:r>
          </w:p>
        </w:tc>
        <w:tc>
          <w:tcPr/>
          <w:p>
            <w:pPr>
              <w:pStyle w:val="Compact"/>
              <w:jc w:val="left"/>
            </w:pPr>
            <w:r>
              <w:rPr>
                <w:bCs/>
                <w:b/>
              </w:rPr>
              <w:t xml:space="preserve">59</w:t>
            </w:r>
          </w:p>
        </w:tc>
        <w:tc>
          <w:tcPr/>
          <w:p>
            <w:pPr>
              <w:pStyle w:val="Compact"/>
              <w:jc w:val="left"/>
            </w:pPr>
            <w:r>
              <w:rPr>
                <w:bCs/>
                <w:b/>
              </w:rPr>
              <w:t xml:space="preserve">100</w:t>
            </w:r>
          </w:p>
        </w:tc>
        <w:tc>
          <w:tcPr/>
          <w:p>
            <w:pPr>
              <w:pStyle w:val="Compact"/>
            </w:pPr>
          </w:p>
        </w:tc>
      </w:tr>
    </w:tbl>
    <w:bookmarkEnd w:id="33"/>
    <w:bookmarkStart w:id="34" w:name="mejora-de-método-propuesta"/>
    <w:p>
      <w:pPr>
        <w:pStyle w:val="Heading2"/>
      </w:pPr>
      <w:r>
        <w:t xml:space="preserve">Mejora de método propuesta</w:t>
      </w:r>
    </w:p>
    <w:p>
      <w:pPr>
        <w:pStyle w:val="FirstParagraph"/>
      </w:pPr>
      <w:r>
        <w:t xml:space="preserve">Cuando una compra cerrada infla el crecimiento de los 12 meses siguientes, v11 mide la desaceleración desde el crecimiento total y castiga dos veces: el múltiplo baja como si el negocio frenara del 21 % al 13 %, cuando el orgánico pasa del 15 % al 13 %. Aquí eso basta para cambiar la señal de Vender a Mantener. Es justo lo que corrige la candidata v12 (</w:t>
      </w:r>
      <w:r>
        <w:rPr>
          <w:rStyle w:val="VerbatimChar"/>
        </w:rPr>
        <w:t xml:space="preserve">crecimiento_actual_organico_pct</w:t>
      </w:r>
      <w:r>
        <w:t xml:space="preserve">). iRhythm es un caso más a favor de adoptarla, aunque no cambia «no comprar».</w:t>
      </w:r>
    </w:p>
    <w:bookmarkEnd w:id="34"/>
    <w:bookmarkStart w:id="35" w:name="fuentes"/>
    <w:p>
      <w:pPr>
        <w:pStyle w:val="Heading2"/>
      </w:pPr>
      <w:r>
        <w:t xml:space="preserve">Fuentes</w:t>
      </w:r>
    </w:p>
    <w:p>
      <w:pPr>
        <w:pStyle w:val="FirstParagraph"/>
      </w:pPr>
      <w:r>
        <w:t xml:space="preserve">[1] iRhythm Holdings, resultados del 2T 2026 (6-ago-2026), 8-K ex. 99.1 (SEC): ventas, márgenes, EBITDA ajustado, FCF, caja y guía 2026 de 880-890 M.</w:t>
      </w:r>
      <w:r>
        <w:t xml:space="preserve"> </w:t>
      </w:r>
      <w:r>
        <w:t xml:space="preserve">[2] iRhythm Holdings, 10-Q del 2T 2026 (SEC): ventas por pagador, convertible 2029, acuerdo con Baxter, FDA, Departamento de Justicia y tarifas de Medicare.</w:t>
      </w:r>
      <w:r>
        <w:t xml:space="preserve"> </w:t>
      </w:r>
      <w:r>
        <w:t xml:space="preserve">[3] iRhythm, resultados del 4T y año 2025 (19-feb-2026), 8-K (SEC): 747,1 M, primer FCF anual positivo y primera guía 2026.</w:t>
      </w:r>
      <w:r>
        <w:t xml:space="preserve"> </w:t>
      </w:r>
      <w:r>
        <w:t xml:space="preserve">[4] iRhythm, 8-K del 6-ago-2026 y del 5-oct-2026 (SEC): compra y cierre de VitalConnect; objetivo de margen EBITDA del 15 % en 2027.</w:t>
      </w:r>
      <w:r>
        <w:t xml:space="preserve"> </w:t>
      </w:r>
      <w:r>
        <w:t xml:space="preserve">[5] iRhythm, 8-K del 10-jun-2026 (SEC): ciberataque con robo de datos.</w:t>
      </w:r>
      <w:r>
        <w:t xml:space="preserve"> </w:t>
      </w:r>
      <w:r>
        <w:t xml:space="preserve">[6] iRhythm, resultados del 1T 2026 (30-abr-2026), 8-K (SEC).</w:t>
      </w:r>
      <w:r>
        <w:t xml:space="preserve"> </w:t>
      </w:r>
      <w:r>
        <w:t xml:space="preserve">[7] iRhythm, resultados del 2T y 3T 2025, 8-K (SEC): guías de 2025.</w:t>
      </w:r>
      <w:r>
        <w:t xml:space="preserve"> </w:t>
      </w:r>
      <w:r>
        <w:t xml:space="preserve">[8] iRhythm, resultados del 4T 2024 (20-feb-2025), 8-K (SEC): primera guía 2025; SEC XBRL.</w:t>
      </w:r>
      <w:r>
        <w:t xml:space="preserve"> </w:t>
      </w:r>
      <w:r>
        <w:t xml:space="preserve">[9] Yahoo Finance chart API (IRTC, QQQ, IHI): cierres, medias de 200 sesiones e intradía (105,78 USD, 14-oct a las 19:58 UTC).</w:t>
      </w:r>
      <w:r>
        <w:t xml:space="preserve"> </w:t>
      </w:r>
      <w:r>
        <w:t xml:space="preserve">[10] Nasdaq.com, históricos: cierre del 13-oct-2026 107,71 USD.</w:t>
      </w:r>
      <w:r>
        <w:t xml:space="preserve"> </w:t>
      </w:r>
      <w:r>
        <w:t xml:space="preserve">[11] Transcripción de la llamada del 2T 2026 (The Motley Fool, de terceros) y MD+DI: VitalConnect ~65 M, MCT, algoritmo y guía del 3T.</w:t>
      </w:r>
      <w:r>
        <w:t xml:space="preserve"> </w:t>
      </w:r>
      <w:r>
        <w:t xml:space="preserve">[12] StockAnalysis, previsiones (6-oct-2026): objetivo medio 173,93 USD, ventas 2026 y 2027, cambios de recomendación.</w:t>
      </w:r>
      <w:r>
        <w:t xml:space="preserve"> </w:t>
      </w:r>
      <w:r>
        <w:t xml:space="preserve">[13] ts2.tech, Finviz/William Blair y MarketBeat (2026): caídas de enero y agosto.</w:t>
      </w:r>
      <w:r>
        <w:t xml:space="preserve"> </w:t>
      </w:r>
      <w:r>
        <w:t xml:space="preserve">[14] Simply Wall St (8-oct-2026).</w:t>
      </w:r>
      <w:r>
        <w:t xml:space="preserve"> </w:t>
      </w:r>
      <w:r>
        <w:t xml:space="preserve">[15] StockTwits, flujo de IRTC (14-oct-2026).</w:t>
      </w:r>
      <w:r>
        <w:t xml:space="preserve"> </w:t>
      </w:r>
      <w:r>
        <w:t xml:space="preserve">[16] SEC, Formularios 4 y Schedule 13G (Artisan, RTW, Vanguard, Millennium).</w:t>
      </w:r>
      <w:r>
        <w:t xml:space="preserve"> </w:t>
      </w:r>
      <w:r>
        <w:t xml:space="preserve">[17] ACC (14-jul-2026) y MD+DI (jul-2026, una sola fuente): propuesta de tarifas de Medicare 2027.</w:t>
      </w:r>
      <w:r>
        <w:t xml:space="preserve"> </w:t>
      </w:r>
      <w:r>
        <w:t xml:space="preserve">[18] iRhythm, 8-K de 2026 (SEC): cambio de auditor y junta.</w:t>
      </w:r>
      <w:r>
        <w:t xml:space="preserve"> </w:t>
      </w:r>
      <w:r>
        <w:t xml:space="preserve">[19] Cálculo propio: EV/ventas NTM histórico (mediana ~5,2x, mínimo ~3,5x) y DCF inverso (~11,6 %).</w:t>
      </w:r>
      <w:r>
        <w:t xml:space="preserve"> </w:t>
      </w:r>
      <w:r>
        <w:t xml:space="preserve">[20] TickFlow y Simply Wall St: consenso de ventas 2027-2028.</w:t>
      </w:r>
      <w:r>
        <w:t xml:space="preserve"> </w:t>
      </w:r>
      <w:r>
        <w:t xml:space="preserve">[21] DE MEMORIA (sin verificar): tamaño del mercado, cuota y rivales.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2026-10-14T20:00:03Z</dcterms:created>
  <dcterms:modified xsi:type="dcterms:W3CDTF">2026-10-14T20:00:03Z</dcterms:modified>
</cp:coreProperties>
</file>

<file path=docProps/custom.xml><?xml version="1.0" encoding="utf-8"?>
<Properties xmlns="http://schemas.openxmlformats.org/officeDocument/2006/custom-properties" xmlns:vt="http://schemas.openxmlformats.org/officeDocument/2006/docPropsVTypes"/>
</file>