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bioMérieux S.A.</w:t>
      </w:r>
    </w:p>
    <w:p>
      <w:pPr>
        <w:spacing w:after="60"/>
        <w:rPr>
          <w:color w:val="52514E"/>
          <w:sz w:val="22"/>
          <w:szCs w:val="22"/>
        </w:rPr>
      </w:pPr>
      <w:r>
        <w:rPr>
          <w:color w:val="52514E"/>
          <w:sz w:val="22"/>
          <w:szCs w:val="22"/>
        </w:rPr>
        <w:t xml:space="preserve">BIM · Euronext Paris · ISIN FR0013280286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80,93 EUR · mercado 93,63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+1,4 % · mercado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9.573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bioMérieux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BIM / FR0013280286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(diagnóstico in vitro)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Marcy-l'Étoile (Lyon, Francia)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www.biomerieux.com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80,75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65,60 – 116,10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EUR/día (≈ 164.000 acciones; 3 meses hasta el 6-oct-2026) [39]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80,93 EUR</w:t>
      </w:r>
      <w:r>
        <w:t xml:space="preserve"> frente a 80,75 · con la prima implícita del mercado: 93,63 (+16,0 %) · Rentabilidad total esperada a 12 meses </w:t>
      </w:r>
      <w:r>
        <w:rPr>
          <w:b/>
          <w:bCs/>
        </w:rPr>
        <w:t xml:space="preserve">+1,4 %</w:t>
      </w:r>
      <w:r>
        <w:t xml:space="preserve"> · Alcista / bajista +11,2 % / -23,8 %</w:t>
      </w:r>
    </w:p>
    <w:p>
      <w:pPr>
        <w:spacing w:after="100"/>
      </w:pPr>
      <w:r>
        <w:rPr>
          <w:b/>
        </w:rPr>
        <w:t xml:space="preserve">La recomendación y por qué.</w:t>
      </w:r>
      <w:r>
        <w:t xml:space="preserve"> Mantener, con convicción baja. El valor objetivo, 80,93 EUR, es casi el precio de 80,75 EUR (rentabilidad total esperada del 1,4 %): con nuestro WACC del 8,57 %, la regla absoluta da Mantener. Con la prima de riesgo que hoy pide el mercado (4,2 %), el valor objetivo sube a 93,63 EUR (rentabilidad total del 17,2 %, asimetría de 3,86 veces) y la relativa da Comprar, pero un Comprar solo relativo exige al menos un 5 % con nuestro coste de capital. Pasamos de Comprar a Mantener por esa regla, no por cifras nuevas. La convicción es baja porque las reglas discrepan y nuestro crecimiento pide algo más de lo que financia la reinversión; subiría con un tercer trimestre por encima del +5 % orgánico y bajaría con otra rebaja de la guía.</w:t>
      </w:r>
    </w:p>
    <w:p>
      <w:pPr>
        <w:spacing w:after="100"/>
      </w:pPr>
      <w:r>
        <w:rPr>
          <w:b/>
        </w:rPr>
        <w:t xml:space="preserve">El negocio.</w:t>
      </w:r>
      <w:r>
        <w:t xml:space="preserve"> Cuchilla y hoja de afeitar: el 83,4 % de las ventas son reactivos [1] que consumen unas 28.550 unidades de BIOFIRE y más de 7.200 de SPOTFIRE [1, 3]. Tiene en torno al 70 % de la PCR sindrómica y el 40 % de la microbiología clínica [1]. Su ROIC (12,7 %) supera al WACC en solo 4 puntos y su margen EBITDA (23,9 %) queda 9-12 puntos por debajo de DiaSorin y Qiagen [58, 59]. La calidad sostiene el crecimiento proyectado solo en parte: el foso basta para la guía de +3/+6 %, pero reinvertimos el 20 % del NOPAT, que al ROIC actual financia un 2,5 % anual (un 3,5 % sin fondo de comercio ni intangibles) frente al 3,9 % proyectado. No rebajamos el base porque ya está en el centro de la guía y por debajo del consenso: con medio punto menos al año, el valor objetivo bajaría a 80,09 EUR, con la misma recomendación.</w:t>
      </w:r>
    </w:p>
    <w:p>
      <w:pPr>
        <w:spacing w:after="100"/>
      </w:pPr>
      <w:r>
        <w:rPr>
          <w:b/>
        </w:rPr>
        <w:t xml:space="preserve">Sector y ciclo.</w:t>
      </w:r>
      <w:r>
        <w:t xml:space="preserve"> Los paneles respiratorios cayeron un 17 % en el primer semestre por una gripe débil, mientras el resto crecía un 6 % [3]. La empresa rebajó en abril la guía de 2026 a +3/+5 % y en julio la de 2027-2028, del 7 % anual a +3/+6 % [3, 38].</w:t>
      </w:r>
    </w:p>
    <w:p>
      <w:pPr>
        <w:spacing w:after="100"/>
      </w:pPr>
      <w:r>
        <w:rPr>
          <w:b/>
        </w:rPr>
        <w:t xml:space="preserve">Finanzas.</w:t>
      </w:r>
      <w:r>
        <w:t xml:space="preserve"> Caja neta de 236 M [2]. El flujo libre (5,9 % de la capitalización) está inflado por la reforma fiscal de EE. UU.: el impuesto pagado bajó de 123 M a 28 M en el semestre [3].</w:t>
      </w:r>
    </w:p>
    <w:p>
      <w:pPr>
        <w:spacing w:after="100"/>
      </w:pPr>
      <w:r>
        <w:rPr>
          <w:b/>
        </w:rPr>
        <w:t xml:space="preserve">Equipo y gobierno.</w:t>
      </w:r>
      <w:r>
        <w:t xml:space="preserve"> Restan. Institut Mérieux tiene el 59,9 % del capital y el 72,4 % del voto, solo 3 de 8 consejeros son independientes y el capital libre votó en mayoría contra la remuneración del consejero delegado en tres juntas (49-67 %) [1, 23, 24, 25]. La familia compró un 1 % más en 2026 [27, 28].</w:t>
      </w:r>
    </w:p>
    <w:p>
      <w:pPr>
        <w:spacing w:after="100"/>
      </w:pPr>
      <w:r>
        <w:rPr>
          <w:b/>
        </w:rPr>
        <w:t xml:space="preserve">Valoración.</w:t>
      </w:r>
      <w:r>
        <w:t xml:space="preserve"> DCF de 78,38 EUR, escenarios ponderados de 77,03 EUR y comparables de diagnóstico puro de 90,19 EUR. El precio descuenta un crecimiento del 5,5 % anual en 2027-2033 o un margen final del 26,0 %, frente a nuestro 4,4 % y 25,5 %: poco exigente frente a 2023-2025, exigente frente al primer semestre de 2026. Cotiza a 8,9 veces el EBITDA de los próximos 12 meses, frente a 9,7x de los comparables y bajo su mínimo de siete años; el objetivo medio de los analistas es 79,54 EUR [47].</w:t>
      </w:r>
    </w:p>
    <w:p>
      <w:pPr>
        <w:spacing w:after="100"/>
      </w:pPr>
      <w:r>
        <w:rPr>
          <w:b/>
        </w:rPr>
        <w:t xml:space="preserve">Riesgos y catalizadores.</w:t>
      </w:r>
      <w:r>
        <w:t xml:space="preserve"> Otra temporada respiratoria floja (−24 % en el bajista), la competencia de QIAstat-Dx y Cepheid (−12 % con dos puntos menos de margen) y que el criterio de MolDX llegue al hospital (−9 %). Catalizadores: ventas del tercer trimestre el 30 de octubre, la gripe y los resultados de 2026 en febrero.</w:t>
      </w:r>
    </w:p>
    <w:p>
      <w:pPr>
        <w:spacing w:after="100"/>
      </w:pPr>
      <w:r>
        <w:rPr>
          <w:b/>
        </w:rPr>
        <w:t xml:space="preserve">Qué cambiaría la decisión.</w:t>
      </w:r>
      <w:r>
        <w:t xml:space="preserve"> La regla compra por debajo de 77,94 EUR y vende por encima de 98,17 EUR: el precio está un 3,6 % por encima del umbral de compra. Con un tercer trimestre por debajo del +5 % orgánico o un margen CEBIT de 2026 bajo el 16 %, rebajaríamos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80,93 EUR</w:t>
      </w:r>
      <w:r>
        <w:t xml:space="preserve"> (+0,2 % sobre 80,75; rentabilidad total esperada +1,4 %) · con la prima implícita del mercado: 93,63 (+16,0 %)</w:t>
      </w:r>
    </w:p>
    <w:p>
      <w:pPr>
        <w:spacing w:after="100"/>
      </w:pPr>
      <w:r>
        <w:t xml:space="preserve">bioMérieux es el líder mundial de la microbiología clínica (≈ 40 %) y de la PCR sindrómica (≈ 70 % con BIOFIRE) [1], con un 83 % de las ventas en reactivos que consume su base instalada [1]. Esa recurrencia y la caja neta (236 M) [2] hacen del negocio uno de los más previsibles del diagnóstico, con un ROIC del 12,7 % en 2025.</w:t>
      </w:r>
    </w:p>
    <w:p>
      <w:pPr>
        <w:spacing w:after="100"/>
      </w:pPr>
      <w:r>
        <w:t xml:space="preserve">A 80,75 EUR, el precio descuenta un crecimiento del 5,5 % anual en 2027-2033, dentro del nuevo rango de la empresa (+3/+6 %) [3], y la acción cotiza a 8,9 veces el EBITDA de los próximos 12 meses, por debajo de los comparables de diagnóstico puro (9,7x) y del mínimo de sus siete últimos años (13,4x a los últimos 12 meses). Nuestro DCF da 78,38 EUR y el valor objetivo 80,93 EUR: con nuestro coste de capital, el precio es justo.</w:t>
      </w:r>
    </w:p>
    <w:p>
      <w:pPr>
        <w:spacing w:after="100"/>
      </w:pPr>
      <w:r>
        <w:t xml:space="preserve">El mercado acierta en lo esencial: la empresa ha recortado dos veces su guía en 2026, los paneles respiratorios dependen de la gripe y China y Medicare presionan el precio [1, 3, 82]. Para invertir hay que creer que el crecimiento vuelve al 5 % con SPOTFIRE y los paneles no respiratorios, o aceptar la prima de riesgo que hoy pide el mercado, con la que el valor sube a 93,63 EUR. Eso sería un Comprar solo por coste de oportunidad, y con nuestro coste de capital la rentabilidad total (1,4 %) no llega al 5 % que la regla exige: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77,94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77,94 y 98,17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98,17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77,94 EUR sin cambios en las cifras, pasaríamos a Comprar: con nuestro coste de capital, la rentabilidad total llegaría al 5 %.</w:t>
      </w:r>
    </w:p>
    <w:p>
      <w:pPr>
        <w:pStyle w:val="ListParagraph"/>
        <w:numPr>
          <w:ilvl w:val="0"/>
          <w:numId w:val="2"/>
        </w:numPr>
        <w:spacing w:after="60"/>
      </w:pPr>
      <w:r>
        <w:t xml:space="preserve">Si las ventas del tercer trimestre de 2026 crecen menos del +5 % orgánico o la empresa rebaja otra vez la guía, rebajaríamos el caso base; si se acerca al bajista (61,51 EUR), pasaríamos a Vender.</w:t>
      </w:r>
    </w:p>
    <w:p>
      <w:pPr>
        <w:pStyle w:val="ListParagraph"/>
        <w:numPr>
          <w:ilvl w:val="0"/>
          <w:numId w:val="2"/>
        </w:numPr>
        <w:spacing w:after="60"/>
      </w:pPr>
      <w:r>
        <w:t xml:space="preserve">Si el margen CEBIT de 2026 queda por debajo del 16 % (17,9 % en 2025), rebajaríamos el margen del caso base.</w:t>
      </w:r>
    </w:p>
    <w:p>
      <w:pPr>
        <w:pStyle w:val="ListParagraph"/>
        <w:numPr>
          <w:ilvl w:val="0"/>
          <w:numId w:val="2"/>
        </w:numPr>
        <w:spacing w:after="60"/>
      </w:pPr>
      <w:r>
        <w:t xml:space="preserve">Si Medicare revisa la LCD L39001 para limitar paneles de hospital, revisaríamos el caso base a la baja.</w:t>
      </w:r>
    </w:p>
    <w:p>
      <w:pPr>
        <w:pStyle w:val="ListParagraph"/>
        <w:numPr>
          <w:ilvl w:val="0"/>
          <w:numId w:val="2"/>
        </w:numPr>
        <w:spacing w:after="60"/>
      </w:pPr>
      <w:r>
        <w:t xml:space="preserve">Si el precio supera 98,17 EUR,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5,5 % anual en 2027-2033, en la mitad alta del nuevo rango de +3/+6 % de la empresa, con un margen EBITDA que llega al 25,5 %. El consenso pide un 1-2,5 % más de ventas y un 2-5 % más de EBITDA que nosotros en 2026-2028 [46], y su precio objetivo medio (79,54 EUR) está casi en el precio [47].</w:t>
      </w:r>
    </w:p>
    <w:p>
      <w:pPr>
        <w:keepNext/>
        <w:spacing w:after="100"/>
      </w:pPr>
      <w:r>
        <w:rPr>
          <w:b/>
          <w:bCs/>
        </w:rPr>
        <w:t xml:space="preserve">Lo que creemos nosotros.</w:t>
      </w:r>
    </w:p>
    <w:p>
      <w:pPr>
        <w:spacing w:after="100"/>
      </w:pPr>
      <w:r>
        <w:t xml:space="preserve">No tenemos una visión distinta del negocio: proyectamos un 4,4 % anual y un margen del 25,5 % en 2033, algo por debajo del consenso por el margen del primer semestre de 2026 (22,4 %). Donde diferimos es en la lectura del precio: a 80,75 EUR la acción rinde un 8,4 % anual, por encima del 7,5 % que hoy pide el mercado a una acción con su beta.</w:t>
      </w:r>
    </w:p>
    <w:p>
      <w:pPr>
        <w:keepNext/>
        <w:spacing w:after="100"/>
      </w:pPr>
      <w:r>
        <w:rPr>
          <w:b/>
          <w:bCs/>
        </w:rPr>
        <w:t xml:space="preserve">Por qué podemos tener razón.</w:t>
      </w:r>
    </w:p>
    <w:p>
      <w:pPr>
        <w:spacing w:after="100"/>
      </w:pPr>
      <w:r>
        <w:t xml:space="preserve">La acción ha caído un 47 % desde agosto de 2025 [39] y cotiza por debajo de su mínimo de siete años en EV/EBITDA. El precio ya recoge la rebaja de la guía y un 2026 plano; si la temporada respiratoria es normal, el segundo semestre debería crecer en torno al +6 % que exige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Recurrencia</w:t>
      </w:r>
      <w:r>
        <w:t xml:space="preserve">: el 83,4 % de las ventas son reactivos sobre una base instalada que crece (SPOTFIRE pasó de 3.000 a más de 7.200 equipos en 18 meses) [1, 3].</w:t>
      </w:r>
    </w:p>
    <w:p>
      <w:pPr>
        <w:pStyle w:val="ListParagraph"/>
        <w:numPr>
          <w:ilvl w:val="0"/>
          <w:numId w:val="2"/>
        </w:numPr>
        <w:spacing w:after="60"/>
      </w:pPr>
      <w:r>
        <w:rPr>
          <w:b/>
        </w:rPr>
        <w:t xml:space="preserve">Liderazgo</w:t>
      </w:r>
      <w:r>
        <w:t xml:space="preserve">: ≈ 70 % de la PCR sindrómica y ≈ 40 % de la microbiología clínica [1].</w:t>
      </w:r>
    </w:p>
    <w:p>
      <w:pPr>
        <w:pStyle w:val="ListParagraph"/>
        <w:numPr>
          <w:ilvl w:val="0"/>
          <w:numId w:val="2"/>
        </w:numPr>
        <w:spacing w:after="60"/>
      </w:pPr>
      <w:r>
        <w:rPr>
          <w:b/>
        </w:rPr>
        <w:t xml:space="preserve">Precio</w:t>
      </w:r>
      <w:r>
        <w:t xml:space="preserve">: 8,9 veces el EBITDA de los próximos 12 meses, por debajo de los comparables puros (9,7x) y del mínimo de siete años (13,4x a los últimos 12 meses).</w:t>
      </w:r>
    </w:p>
    <w:p>
      <w:pPr>
        <w:pStyle w:val="ListParagraph"/>
        <w:numPr>
          <w:ilvl w:val="0"/>
          <w:numId w:val="2"/>
        </w:numPr>
        <w:spacing w:after="60"/>
      </w:pPr>
      <w:r>
        <w:rPr>
          <w:b/>
        </w:rPr>
        <w:t xml:space="preserve">Balance</w:t>
      </w:r>
      <w:r>
        <w:t xml:space="preserve">: caja neta de 236 M y un flujo libre del 5,9 % de la capitalización [2].</w:t>
      </w:r>
    </w:p>
    <w:p>
      <w:pPr>
        <w:pStyle w:val="ListParagraph"/>
        <w:numPr>
          <w:ilvl w:val="0"/>
          <w:numId w:val="2"/>
        </w:numPr>
        <w:spacing w:after="60"/>
      </w:pPr>
      <w:r>
        <w:rPr>
          <w:b/>
        </w:rPr>
        <w:t xml:space="preserve">El control compra</w:t>
      </w:r>
      <w:r>
        <w:t xml:space="preserve">: Institut Mérieux añadió un 1 % del capital a unos 70,6 EUR en abril y mayo de 2026 [27, 28].</w:t>
      </w:r>
    </w:p>
    <w:p>
      <w:pPr>
        <w:pStyle w:val="Heading2"/>
      </w:pPr>
      <w:r>
        <w:t xml:space="preserve">En contra</w:t>
      </w:r>
    </w:p>
    <w:p>
      <w:pPr>
        <w:pStyle w:val="ListParagraph"/>
        <w:numPr>
          <w:ilvl w:val="0"/>
          <w:numId w:val="2"/>
        </w:numPr>
        <w:spacing w:after="60"/>
      </w:pPr>
      <w:r>
        <w:rPr>
          <w:b/>
        </w:rPr>
        <w:t xml:space="preserve">Guía rebajada dos veces en 2026</w:t>
      </w:r>
      <w:r>
        <w:t xml:space="preserve">: de +5/+7 % a +3/+5 % para 2026 y del 7 % anual a +3/+6 % para 2027-2028 [3, 38].</w:t>
      </w:r>
    </w:p>
    <w:p>
      <w:pPr>
        <w:pStyle w:val="ListParagraph"/>
        <w:numPr>
          <w:ilvl w:val="0"/>
          <w:numId w:val="2"/>
        </w:numPr>
        <w:spacing w:after="60"/>
      </w:pPr>
      <w:r>
        <w:rPr>
          <w:b/>
        </w:rPr>
        <w:t xml:space="preserve">Paneles respiratorios</w:t>
      </w:r>
      <w:r>
        <w:t xml:space="preserve">: −17 % en el primer semestre de 2026, y la empresa no publica su importe [3].</w:t>
      </w:r>
    </w:p>
    <w:p>
      <w:pPr>
        <w:pStyle w:val="ListParagraph"/>
        <w:numPr>
          <w:ilvl w:val="0"/>
          <w:numId w:val="2"/>
        </w:numPr>
        <w:spacing w:after="60"/>
      </w:pPr>
      <w:r>
        <w:rPr>
          <w:b/>
        </w:rPr>
        <w:t xml:space="preserve">Margen inferior a sus pares</w:t>
      </w:r>
      <w:r>
        <w:t xml:space="preserve">: 23,9 % de margen EBITDA frente al 33,0 % de DiaSorin y el 35,7 % de Qiagen [58, 59].</w:t>
      </w:r>
    </w:p>
    <w:p>
      <w:pPr>
        <w:pStyle w:val="ListParagraph"/>
        <w:numPr>
          <w:ilvl w:val="0"/>
          <w:numId w:val="2"/>
        </w:numPr>
        <w:spacing w:after="60"/>
      </w:pPr>
      <w:r>
        <w:rPr>
          <w:b/>
        </w:rPr>
        <w:t xml:space="preserve">Gobierno</w:t>
      </w:r>
      <w:r>
        <w:t xml:space="preserve">: 3 de 8 consejeros independientes y rechazo mayoritario del capital libre a la remuneración del consejero delegado en tres juntas (49-67 %) [1, 23, 24, 25].</w:t>
      </w:r>
    </w:p>
    <w:p>
      <w:pPr>
        <w:pStyle w:val="ListParagraph"/>
        <w:numPr>
          <w:ilvl w:val="0"/>
          <w:numId w:val="2"/>
        </w:numPr>
        <w:spacing w:after="60"/>
      </w:pPr>
      <w:r>
        <w:rPr>
          <w:b/>
        </w:rPr>
        <w:t xml:space="preserve">Compras fallidas</w:t>
      </w:r>
      <w:r>
        <w:t xml:space="preserve">: unos 340 M de deterioros de Hybiome y Specific Diagnostics en 2022-2025 [1].</w:t>
      </w:r>
    </w:p>
    <w:p>
      <w:pPr>
        <w:pStyle w:val="ListParagraph"/>
        <w:numPr>
          <w:ilvl w:val="0"/>
          <w:numId w:val="2"/>
        </w:numPr>
        <w:spacing w:after="60"/>
      </w:pPr>
      <w:r>
        <w:rPr>
          <w:b/>
        </w:rPr>
        <w:t xml:space="preserve">Solo compra relativa</w:t>
      </w:r>
      <w:r>
        <w:t xml:space="preserve">: con nuestro WACC del 8,57 % la rentabilidad total esperada es del 1,4 %, por debajo del 5 % que la regla exige para comprar.</w:t>
      </w:r>
    </w:p>
    <w:p>
      <w:pPr>
        <w:pStyle w:val="Heading2"/>
      </w:pPr>
      <w:r>
        <w:t xml:space="preserve">Qué tiene que pasar para que la tesis funcione</w:t>
      </w:r>
    </w:p>
    <w:p>
      <w:pPr>
        <w:spacing w:after="100"/>
      </w:pPr>
      <w:r>
        <w:t xml:space="preserve">La tesis depende de que el segundo semestre de 2026 crezca en torno al +6 % orgánico que exige el bajo de la guía, con los paneles no respiratorios de BIOFIRE por encima del +5 % y una temporada respiratoria normal. La señal de que no se cumple sería un tercer trimestre (30 de octubre) por debajo del +5 % orgánico o una nueva rebaja de la guía de 2026; con ella, el caso bajista (61,51 EUR) pasaría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en el 1S26; +5,0 %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bajo de la guía exige un segundo semestre de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de BIOFIRE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orgánico en el 1S26 (598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recurrente sin estacionalidad.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en el 1S26; 17,9 %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SPOTFIRE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7.200 equipos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 colocaciones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crecimiento futuro de reactivos en el punto de atención.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1,1177 (7-oct-2026) [22]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47 % de las ventas está en dólares.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bioMérieux nace en 1963 en Marcy-l'Étoile, cerca de Lyon, como B-D Mérieux, una sociedad de diagnóstico in vitro participada al 49,95 % por el Institut Mérieux (fundado en 1897 por Marcel Mérieux, alumno de Pasteur) y al 49,96 % por Becton-Dickinson France; Alain Mérieux, nieto del fundador, toma la mayoría y en 1974 la sociedad pasa a llamarse bioMérieux SA [1]. Crece por compras de tecnologías de microbiología (API en 1986, Vitek en 1987, Organon Teknika y su BACT/ALERT en 2001) y sale a bolsa en París el 6 de julio de 2004 con la venta de casi toda la participación de Wendel [1]. La compra de BioFire en 2014 la convierte en líder de la PCR sindrómica, que hoy es su motor de crecimiento. La familia Mérieux controla el 59 % del capital a través del Institut Mérieux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B-D Mérieux en Marcy-l'Étoile, a medias entre el Institut Mérieux y Becton-Dickinson France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Alain Mérieux toma la mayoría del capital y B-D Mérieux pasa a llamarse bioMérieux 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grupo API (galerías de identificación manual de bacterias), base de la microbiología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Vitek Systems (St. Louis, EE. UU.): identificación y antibiograma automatizados, hoy VITEK 2, líder del segmento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Organon Teknika, que aporta los hemocultivos BACT/ALERT (Durham,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el 6 de julio, con la colocación de casi toda la participación de Wendel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AES (medios de cultivo y control industrial) y de Argène (biología molecular), refuerzo de las aplicaciones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BioFire (Salt Lake City): el sistema FILMARRAY de PCR sindrómica, que en 2025 supone el 37 %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Hyglos (detección de endotoxinas para farma, 2016), mayoría de Hybiome (inmunoensayo en China, 2018), Astute Medical (NEPHROCHECK, 2018) e Invisible Sentinel (control alimentario,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Specific Diagnostics (antibiograma rápido REVEAL); en 2025 se deterioran 141 M EUR de esa tecnología por un mercado más lento de lo previsto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(software de uso de antibióticos, 2024); SpinChip (inmunoensayo de punto de atención, Noruega), Neoprospecta (genómica para industria, Brasil) y los activos de Day Zero Diagnostics (secuenciación, EE. UU.), los tres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28 de julio rebaja el objetivo de 2027-2028 del plan GO·28: del 7 % de TCAC de ventas 2024-2028 a un +3/+6 % orgánico anual, por el cambio del entorno geopolítico y macroeconómico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bioMérieux diseña, fabrica y vende sistemas de diagnóstico in vitro, casi todos para enfermedades infecciosas. En 2025 facturó 4.070 M EUR: un 84 % en aplicaciones clínicas (hospitales y laboratorios privados, en menor medida distribuidores, bancos de sangre y punto de atención; no vende a pacientes) y un 16 % en aplicaciones industriales (control microbiológico de alimentos, fármacos y cosméticos) [1]. Por producto, BIOFIRE (PCR sindrómica, que detecta a la vez decenas de patógenos de un síndrome) pesa el 37 %: paneles respiratorios 813 M, no respiratorios 598 M e instrumentos y servicios 101 M; SPOTFIRE, la versión de punto de atención, 168 M; microbiología (VITEK, BACT/ALERT, medios de cultivo) 1.339 M; inmunoensayos VIDAS 308 M; industria 639 M [1]. Vende en más de 160 países con filiales propias y distribuidores; por destino, Norteamérica es el 45 % de las ventas, EMEA el 32 %, Asia-Pacífico el 16 % y Latinoamérica el 7 % [1].</w:t>
      </w:r>
    </w:p>
    <w:p>
      <w:pPr>
        <w:pStyle w:val="Heading2"/>
      </w:pPr>
      <w:r>
        <w:t xml:space="preserve">Cómo gana dinero</w:t>
      </w:r>
    </w:p>
    <w:p>
      <w:pPr>
        <w:spacing w:after="100"/>
      </w:pPr>
      <w:r>
        <w:t xml:space="preserve">Es un negocio de cuchilla y hoja de afeitar: los sistemas son cerrados (solo funcionan con los reactivos del fabricante) y los instrumentos se venden o se ceden al cliente a cambio de un compromiso de compra mínima de reactivos que cubre su amortización y financiación [1]. Por eso el 83 % de las ventas de 2025 son reactivos, el 9 % equipos y el 8 % servicios [1]: cada instrumento instalado genera consumo durante años. El margen bruto fue del 56,7 % y el CEBIT del 17,9 % en 2025, con una mejora de mezcla por el mayor peso de la biología molecular; la I+D consume el 12,5 % de las ventas (507 M EUR) [1]. La principal fuente de volatilidad es la epidemiología: los paneles respiratorios (20 % de las ventas) cayeron un 17 % orgánico en el 1S26 por una temporada respiratoria floja, mientras el resto crecía un 6 % [3]. Casi la mitad de las ventas (47 %) se factura en dólares, con parte de los costes también en dólares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vende en más de 160 países a organismos públicos y clientes privados y declara no tener un riesgo de crédito material [1]. La relación es larga por construcción: los instrumentos cedidos llevan contratos de compra mínima de reactivos, y cambiar de plataforma exige inversión, formación, conexión al sistema informático del laboratorio y revalidar los métodos [1]. La consolidación de laboratorios y las compras centralizadas refuerzan el poder negociador del cliente [1]. Aun así hay señales de poder de precios: en 2025 el margen bruto subió 90 pb orgánicos pese a los aranceles, y en el 2T26 la microbiología y las aplicaciones industriales crecieron con efecto precio positivo [1, 3]. La excepción es China, donde las compras centralizadas por volumen han bajado precios y volúmenes del inmunoensayo y la microbiología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BIOFIRE FILMARRAY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netas (+1.350 en 2024)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 2025 es la de 2024 más el aumento neto publicado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SPOTFIRE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 (dic-25); más de 7.200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instalaciones en 2025 y 400 en el segundo trimestre de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SPOTFIRE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 (2025); 90,3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 orgánico en 2025; +21,8 %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+40/+60 % hecha en febrero; el reembolso japonés y la gripe floja la frenan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BIOFIRE,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 +1 %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1T26 y -6 %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línea estacional y ligada a la COVID; la empresa no publica su importe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BIOFIRE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M EUR en 2025 (+10 %); +5,5 %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sobre la base instalada; Neumonía y Meningitis flojearon en el 1T26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Reactivos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 (2025); 83,3 %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reactivos de 3.325 M y 3.393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dólares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del 1 % del euro frente a todas las divisas resta unos 30 M de ventas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de 1.592 M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diagnóstico in vitro (DIV) de enfermedades infecciosas, dentro del DIV clínico mundial, más el control microbiológico industrial. bioMérieux estima, con datos de IQVIA MedTech, el DIV clínico en unos 72.000 M EUR en 2024 y el industrial en unos 3.000 M EUR [1]. Dentro del clínico, sus nichos son la microbiología clínica (unos 3.000 M EUR, el 5 % del DIV clínico, +5 % en 2024) y la biología molecular (15 % del DIV clínico), donde la PCR sindrómica multiplex es el segmento en el que BIOFIRE domina [1]. Usamos la cifra del documento de registro porque es la única con desglose por tecnología; no hemos podido contrastarla con una segunda fuente independiente abierta.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72.000 M EUR de DIV clínico y ≈ 3.000 M EUR de DIV industrial en 2024; microbiología clínica ≈ 3.000 M EUR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Epidemiología respiratoria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respiratorios de BIOFIRE (813 M EUR, 20 % de las ventas) crecieron un 1 % en 2025 y cayeron un 17 % orgánico en el 1S26 por una temporada más floja [1, 3]; Danaher también vio caer las pruebas respiratorias de su negocio molecular en 2025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Resistencia a los antibióticos y uso racional de antimicrobianos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sindrómicos no respiratorios (sangre, gastrointestinal, meningitis, neumonía) crecieron un 10 % orgánico en 2025 y un 5,5 % en el 1S26 [1, 3]; las infecciones hospitalarias cuestan unos 7.000 M EUR al año en Europa según MedTech Europe, citado por la empresa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Descentralización hacia el punto de atención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creció un 84 % en 2025 hasta 168 M EUR; la base instalada pasó de unos 3.000 a 6.400 equipos en 2025 y superó los 7.200 en junio de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por volumen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bioMérieux en China cayeron un 14 % en 2025, con caída de dos dígitos en microbiología y del inmunoensayo [1]; Roche atribuye a estas reformas una caída del 12 % de su diagnóstico en Asia-Pacífico [21] y Danaher vendió en China 2.631 M USD frente a 2.805 M en 2024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sanitario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OBBBA de julio de 2025 prevé hasta 911.000 M USD de ahorro en Medicaid en diez años, y los recortes de la PAMA podrían aplicarse desde 2027; la empresa no ve aún menos volumen de pruebas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calidad en farma y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aplicaciones industriales crecieron un 9 % en 2025, con el control de calidad farmacéutico al +14 %, y un 7 % en el 1S26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los diez primeros tienen cerca del 70 % del DIV [1]. En PCR sindrómica la rivalidad crece (QIAstat-Dx de Qiagen supera las 5.200 colocaciones [18]; Cepheid en Danaher) pero BIOFIRE mantiene alrededor del 70 % del segmento multiplex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consolidación de laboratorios y las compras centralizadas suben su poder negociador [1]; en China las compras por volumen han recortado precios (ventas de bioMérieux allí −14 % en 2025) [1]. En Occidente el coste de cambiar de plataforma lo limita.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biológicos de origen humano, animal o vegetal difíciles de sustituir y componentes electrónicos [1]; los aranceles y el transporte elevaron costes en 2025-2026, pero el margen bruto subió 90 pb orgánicos en 2025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(510(k) de la FDA, IVDR en Europa, NMPA en China) y de base instalada [1]; los entrantes chinos (Mindray, Snibe, Autobio) compiten sobre todo en inmunoensayo y química, no en microbiología ni sindrómica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secuenciación, los antibiogramas rápidos y la IA pueden desplazar métodos de cultivo [1]; la propia bioMérieux deterioró 141 M EUR de su antibiograma rápido REVEAL por una adopción más lenta de lo previsto [1].</w:t>
            </w:r>
          </w:p>
        </w:tc>
      </w:tr>
    </w:tbl>
    <w:p>
      <w:pPr>
        <w:spacing w:after="160" w:before="0"/>
      </w:pPr>
    </w:p>
    <w:p>
      <w:pPr>
        <w:pStyle w:val="Heading2"/>
      </w:pPr>
      <w:r>
        <w:t xml:space="preserve">Ciclo</w:t>
      </w:r>
    </w:p>
    <w:p>
      <w:pPr>
        <w:spacing w:after="100"/>
      </w:pPr>
      <w:r>
        <w:t xml:space="preserve">El DIV clínico cayó un 1 % a tipo constante en 2024 al terminar la normalización tras el pico de pruebas de COVID-19 de 2020-2022 [1]; la microbiología clínica ya volvió a su ritmo histórico del 5-6 % anual [1]. Los indicadores que lo sitúan son la ausencia de demanda extraordinaria, la caída de los paneles respiratorios en el 1S26 [3] y la presión de precios en China y en el reembolso estadounidense. El sector es defensivo: el peso de los reactivos y los sistemas cerrados dan unas ventas más regulares que las del farmacéutico [1]; no tenemos datos del mercado en 2008-09 ni en 2022.</w:t>
      </w:r>
    </w:p>
    <w:p>
      <w:pPr>
        <w:pStyle w:val="Heading2"/>
      </w:pPr>
      <w:r>
        <w:t xml:space="preserve">Regulación</w:t>
      </w:r>
    </w:p>
    <w:p>
      <w:pPr>
        <w:spacing w:after="100"/>
      </w:pPr>
      <w:r>
        <w:t xml:space="preserve">En EE. UU., cada panel necesita la autorización 510(k) de la FDA, y la exención CLIA para usarse en el punto de atención [1]. El reembolso de Medicare para los paneles sindrómicos en ambulatorio lo fija la LCD L39001 de MolDX («Multiplex Nucleic Acid Amplification Test Panels for Infectious Disease Testing»), vigente en su revisión R6 desde el 5 de febrero de 2026: fuera de pacientes inmunodeprimidos y casos especiales, solo cubre paneles reducidos, de menos de seis patógenos, y no los amplios de unos 20 objetivos como el respiratorio de BIOFIRE [82]. Palmetto ya recortó en 2020 el pago de esos paneles a los mayores de 65 años [1]. Los recortes de la PAMA están suspendidos y podrían llegar en 2027 [1]. En Europa, el reglamento IVDR endurece la certificación [1]. En China hay registro NMPA, compras centralizadas por volumen y preferencia local en las licitaciones [1, 3]. Los aranceles entre EE. UU. y China encarecieron los costes en 2025; en el primer semestre de 2026 su efecto fue casi neutro por la devolución de lo pagado [3].</w:t>
      </w:r>
    </w:p>
    <w:p>
      <w:pPr>
        <w:pStyle w:val="Heading2"/>
      </w:pPr>
      <w:r>
        <w:t xml:space="preserve">Tendencias y disrupción</w:t>
      </w:r>
    </w:p>
    <w:p>
      <w:pPr>
        <w:spacing w:after="100"/>
      </w:pPr>
      <w:r>
        <w:t xml:space="preserve">Tres tendencias favorecen a bioMérieux: el paso de la prueba de un patógeno al panel sindrómico, la descentralización hacia urgencias, consultas y punto de atención (SPOTFIRE) y la presión por el uso racional de antibióticos [1]. Dos van en contra: la secuenciación masiva y los antibiogramas rápidos basados en biología molecular, que difuminan la frontera entre técnicas [1], y la entrada de fabricantes chinos más baratos, que la empresa cita como riesgo [1]. La IA aplicada al laboratorio es a la vez oportunidad (software CLARION y LUMED) y amenaza si la integran mejor los competidores [1]. La empresa responde comprando: SpinChip, Neoprospecta y Day Zero Diagnostics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PCR sindrómica multiplex (≈ 70 % con BIOFIRE, estimación de la empresa a finales de 2024), 1.º en microbiología clínica (≈ 40 % en 2024 según la empresa e IQVIA MedTech), uno de los líderes en microbiología industrial (≈ 20 %) y 5.º del DIV mundial por ventas; en inmunoensayo es marginal (≈ 1 %) [1]. Ingresos de los competidores convertidos a EUR al tipo medio del BCE de 2025 (1,1300 USD y 0,9370 CHF por EUR)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(división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DIV y de la biología molecular (cobas, cobas liat para punto de atención) [1]. Ventas de 13.847 M CHF en 2025 (+2 % a tipo constante); margen operativo NIIF del 7,7 % y básico (core) del 14,4 %, castigados por reestructuración, aranceles y las reformas de precios en China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(segmento Diagnostics: Cepheid, Beckman Coulter, Radiometer, Leica)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Cepheid (GeneXpert) es el gran rival en PCR de bajo y medio multiplex; el segmento vendió 9.941 M USD en 2025 con margen operativo del 26,7 %; el molecular bajó por las pruebas respiratorias y China cayó por las reformas sanitarias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(Diagnostic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laboratorio central, pruebas rápidas y molecular (517 M USD); el segmento vendió 8.937 M USD con 1.740 M de beneficio operativo; las pruebas rápidas cayeron un 18 % por el fin del COVID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(Specialty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microbiología clínica (medios de cultivo, Sensititre) y en el control industrial; el segmento vendió 4.676 M USD con margen del 26,9 % [16]; licencia a bioMérieux la procalcitonina B·R·A·H·M·S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(Diagnostic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Hemocultivos BACTEC, Phoenix y BD MAX: compite en microbiología y PCR [1]. Diagnostic Solutions vendió 1.838 M USD en el ejercicio a septiembre de 2025; el margen es el del segmento Life Sciences antes de costes corporativos. Acordó en julio de 2025 unir esta unidad a Waters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QDEL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pruebas rápidas respiratorias y laboratorio; vendió 2.730 M USD en 2025 con pérdida operativa de 919 M por un deterioro de fondo de comercio de 701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QIAstat-Dx es el competidor más directo de BIOFIRE en paneles sindrómicos, con más de 5.200 equipos colocados a finales de 2025; ventas totales de 2.090 M USD (+6 %) y margen operativo del 22,3 %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el valor de un BIOFIRE para un hospital no depende de cuántos otros lo usen. Los datos de la base instalada (software CLARION, LUMED) son incipientes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cerrados con contratos de compra mínima de reactivos, inversión, formación y conexión informática del laboratorio [1]; el 83 % de las ventas son reactivos de esa base instalada [1]. La base de SPOTFIRE se duplicó en 2025 hasta 6.400 equipos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familias de patentes (454 patentes concedidas en EE. UU. y 300 en Europa) [1]; menús de paneles con autorización 510(k) de la FDA, cada una de años de ensayos clínicos, y marcas como VITEK, BACT/ALERT y BIOFIRE líderes de su segmento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CEBIT del 17,9 % en 2025 [1], por debajo de los márgenes de segmento de Danaher Diagnostics (26,7 %) o Thermo Fisher Specialty Diagnostics (26,9 %) [3, 5]: no hay ventaja en costes; la ventaja es de producto.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microbiología clínica (≈ 3.000 M EUR) tiene alrededor del 40 % y en multiplex alrededor del 70 % [1]: nichos donde un nuevo entrante difícilmente amortizaría el menú y la red de servicio técnico.</w:t>
            </w:r>
          </w:p>
        </w:tc>
      </w:tr>
    </w:tbl>
    <w:p>
      <w:pPr>
        <w:spacing w:after="160" w:before="0"/>
      </w:pPr>
    </w:p>
    <w:p>
      <w:pPr>
        <w:pStyle w:val="Heading2"/>
      </w:pPr>
      <w:r>
        <w:t xml:space="preserve">Amenazas</w:t>
      </w:r>
    </w:p>
    <w:p>
      <w:pPr>
        <w:spacing w:after="100"/>
      </w:pPr>
      <w:r>
        <w:t xml:space="preserve">La mayor amenaza al foso es la PCR sindrómica de los rivales: Qiagen ya suma más de 5.200 QIAstat-Dx [18] y Cepheid y Roche llevan sus plataformas al punto de atención; probabilidad media, porque el menú validado de BIOFIRE tarda años en replicarse. Segunda, el reembolso: si Medicare o las aseguradoras limitan el pago de paneles amplios en ambulatorio, la ventaja de los paneles grandes se convierte en desventaja (probabilidad media; ya pasó en 2020 con Palmetto) [1]. Tercera, China: compras por volumen y preferencia local, ya visibles en 2025 (−14 %) [1]. Cuarta, sustitución tecnológica por secuenciación o antibiograma rápido, de probabilidad baja a cinco años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7,2 %</w:t>
      </w:r>
      <w:r>
        <w:t xml:space="preserve">, EBITDA </w:t>
      </w:r>
      <w:r>
        <w:rPr>
          <w:b/>
          <w:bCs/>
        </w:rPr>
        <w:t xml:space="preserve">9,0 %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2.675 M en 2019 a 4.070 M en 2025 (TCAC del 7,3 %), casi todo orgánico: la COVID las disparó en 2020-2021 (+19,7 % y +10,5 % orgánico) y el ajuste posterior las dejó planas en 2022 (+0,2 %), antes de crecer un 6,6 %, un 10,3 % y un 6,2 % orgánico en 2023-2025 [1, 6]. Las compras pesan poco en ventas: SpinChip, Neoprospecta y Day Zero restaron unos 20 M y 50 puntos básicos al CEBIT de 2025 porque aún no facturan [4]. El margen CEBIT de la empresa bajó del 23,7 % de 2021 al 16,6 % de 2023 (fin de la COVID, inflación y China) y se recuperó al 16,9 % en 2024 y al 17,9 % en 2025, con 90 puntos básicos de mejora bruta orgánica por mezcla molecular y ahorros de GO•28, y una divisa que restó 33 M [4, 8]. En 2026 el giro es claro: en el primer semestre las ventas cayeron un 3,9 % (+0,2 % orgánico) por la gripe débil y un efecto divisa de -87 M, y el CEBIT cayó un 16 % hasta 313 M (15,9 % de margen) [3]. La guía de 2026 bajó en abril a +3/+5 % de ventas y 0/+10 % de CEBIT orgánico, y en julio la de 2027-2028 pasó de un 7 % anual a +3/+6 % [3, 11].</w:t>
      </w:r>
    </w:p>
    <w:p>
      <w:pPr>
        <w:pStyle w:val="Heading2"/>
      </w:pPr>
      <w:r>
        <w:t xml:space="preserve">Ajustes y partidas no recurrentes</w:t>
      </w:r>
    </w:p>
    <w:p>
      <w:pPr>
        <w:spacing w:after="100"/>
      </w:pPr>
      <w:r>
        <w:t xml:space="preserve">La empresa presenta el CEBIT (resultado operativo antes de no recurrentes y de la amortización y deterioro de intangibles de compras) y un EBITDA propio. Aquí el EBIT es el resultado operativo publicado, las amortizaciones incluyen las de intangibles de compras pero no los deterioros, y el EBITDA es la suma; los deterioros y la reestructuración van en no recurrentes: 42 M de donaciones COVID (2020), 29 M (2022), 130 M (2023) y 49 M (2024) de deterioros, sobre todo de la unidad CLIA de Hybiome, y 171 M en 2025 (VITEK REVEAL, 131 M netos de una reversión de 9 M en Astute, y cierre de San José, 40 M) [1, 5, 6]. Con ellos el EBITDA ajustado coincide con el publicado salvo en 2025 (972 M frente a 960 M, por 12 M de reestructuración que la empresa deja dentro). El LTM suma 25 M de no recurrentes y el flujo libre LTM resta los pagos de arrendamiento de 2025 (29 M) como aproximación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No hay transcripción gratuita de las conferencias; este resumen sale de los comunicados y de los informes que las acompañaron. Las cifras semestrales salen de los comunicados de 2024 a 2026; los segundos semestres se obtienen restando el primero al año, y el EBITDA es el que publica la empresa, sin reexpresar [3, 4, 8, 9, 10]. En febrero de 2026, con las cuentas de 2025, el mensaje era de plan cumplido: ventas +6,2 % orgánico, CEBIT +16 %, margen del 17,9 % y guía de 2026 de +5/+7 % en ventas y al menos +10 % en CEBIT, en línea con GO•28 (7 % anual de ventas y 500 puntos básicos de margen hasta 2028) [4]. En abril, tras un primer trimestre con ventas -3,9 % orgánico (paneles respiratorios -23 % y un mal arranque en microbiología y China), la guía bajó a +3/+5 % y 0/+10 % [11]. En julio la dirección defendió el segundo trimestre (+5 % orgánico, +7 % sin respiratorios, motores de GO•28 +8,5 %), confirmó la guía rebajada y mejoró el efecto divisa esperado a -40/-50 M, pero recortó 2027-2028 a +3/+6 % de ventas con un CEBIT que crezca más que las ventas, en lugar del objetivo anterior de al menos +10 % anual [3]. El cambio de discurso va de crecer por encima del mercado a defender el margen con control de costes: la I+D sube un 5 % y los gastos comerciales bajan un 2 % [3]. Ventas del tercer trimestre: 30 de octubre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Specific Diagnostics, comprada el 18-may-22 por 407 M USD en efectivo y acciones: entra en balance entera y en la cuenta solo siete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caja neta de la empresa (con arrendamientos) pasó de 341 M a fin de 2021 a una deuda neta de 166 M en 2023, tras pagar Specific Diagnostics, entrar en sociedades no consolidadas y absorber 290 M de circulante en 2022-2023, y volvió a caja neta de 108 M en 2025 y de 236 M en junio de 2026 [1, 2, 5]. El circulante es el punto débil: las existencias casi se duplicaron de 2020 a 2024 (de 542 M a 1.037 M) por la acumulación de componentes tras la crisis de suministro y el lanzamiento de SPOTFIRE; en 2025 bajaron a 960 M, sobre todo por divisa [1, 8]. Los clientes se mantienen en torno a 70 días de ventas. El tramo de 145 M del bono vence en junio de 2027 y ya es corto plazo; con 658 M de caja no plantea problema de refinanciación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1.825</w:t>
      </w:r>
      <w:r>
        <w:t xml:space="preserve">, conversión </w:t>
      </w:r>
      <w:r>
        <w:rPr>
          <w:b/>
          <w:bCs/>
        </w:rPr>
        <w:t xml:space="preserve">63 %</w:t>
      </w:r>
      <w:r>
        <w:t xml:space="preserve"> del beneficio neto; adquisiciones 686, dividendos 545, recompras 235.</w:t>
      </w:r>
    </w:p>
    <w:p>
      <w:pPr>
        <w:spacing w:after="100"/>
      </w:pPr>
      <w:r>
        <w:t xml:space="preserve">El flujo libre que publica la empresa (operativo menos inversión neta, antes de arrendamientos) fue de 150 M en 2019, 328 M en 2020, 541 M en 2021, 195 M en 2022, 115 M en 2023, 330 M en 2024 y 462 M en 2025; en el primer semestre de 2026, 299 M frente a 170 M un año antes [1, 2, 5, 6, 7]. Los años flojos, 2022 y 2023, se explican por el circulante: 170 M y 205 M de aumento, casi todo existencias (93 M y 193 M) [5]. La mejora de 2025-2026 tiene una parte coyuntural: la reforma fiscal estadounidense de julio de 2025 permite deducir de inmediato la I+D, y el impuesto pagado bajó de 206 M en 2024 a 152 M en 2025 y de 123 M a 28 M en el semestre [1, 2]. El capex se ha mantenido en el 8-9 % de las ventas (335 M en 2025, 7,1 % en el primer semestre de 2026), para ampliar y automatizar las fábricas de EE. UU. y Francia y para instrumentos cedidos, sobre todo SPOTFIRE; la empresa no separa mantenimiento y crecimiento [1, 2]. La planta de La Balme (más de 250 M) mantendrá el capex alto los próximos años [2]. Las adquisiciones incluyen inversiones en sociedades no consolidadas (159 M en 2023) y en 2022 las recompras (157 M) sirvieron para compensar las acciones entregadas por Specific Diagnostics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et Autres y Grant Thornton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los dos cotitulares: Ernst &amp; Young desde 2012 y Grant Thornton desde 2017 [1]. La calidad del beneficio está condicionada por las compras: entre 2022 y 2025 la compañía ha reconocido unos 365 M de deterioros y cierres, de ellos 200 M en la tecnología y el fondo de comercio de Hybiome (CLIA, China) y 141 M en VITEK REVEAL, la tecnología de antibiograma rápido de Specific Diagnostics, comprada en 2022 por 407 M USD; en diciembre de 2025 anunció además el cierre de su planta de San José [1, 5]. La empresa aísla esos cargos fuera del CEBIT; su indicador preferido no recoge, por tanto, el coste de las compras fallidas. Hay otras partidas que conviene vigilar: los créditos fiscales de investigación se contabilizan como subvención dentro del resultado operativo (23 M en 2025) [1]; la remuneración en acciones es moderada (26,5 M en 2025, el 7 % del beneficio) [1]; y el primer semestre de 2026 incluye 13 M de devolución de aranceles estadounidenses en el margen bruto y una reversión de 5 M de la provisión italiana [2]. El impuesto pagado está por debajo del contable por la reforma estadounidense, un efecto que se irá agotando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365 M en cuatro años (CLIA de Hybiome en 2022-2024, VITEK REVEAL en 2025) y cierre de San José; la empresa los deja fuera del CEBIT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propio que excluye amortización y deterioros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CEBIT de 2025 (728 M) supera en 207 M al resultado operativo publicado (521 M)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pagado temporalmente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 pagados en el primer semestre de 2026 frente a 69 M contabilizados, por la deducción inmediata de la I+D en EE. UU.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repetibles en el primer semestre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de aranceles devueltos en margen bruto y 5 M de reversión de Manovra Sanità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 colocada en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41,2 M depositados en Institut Mérieux a 30-jun-26 (62,9 M a fin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elevadas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960 M a fin de 2025, el 24 % de las ventas; casi el doble que en 2020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15,1 % · </w:t>
      </w:r>
      <w:r>
        <w:rPr>
          <w:b/>
          <w:bCs/>
        </w:rPr>
        <w:t xml:space="preserve">WACC</w:t>
      </w:r>
      <w:r>
        <w:t xml:space="preserve">: 8,6 %.</w:t>
      </w:r>
    </w:p>
    <w:p>
      <w:pPr>
        <w:spacing w:after="100"/>
      </w:pPr>
      <w:r>
        <w:t xml:space="preserve">bioMérieux crea valor, pero menos que en la COVID: el ROIC fue del 12,7 % en 2025 frente a un WACC del 8,57 %, después de caer del 22,4 % de 2021 al 11,2 % de 2023. La causa es el margen, no la rotación, que se ha quedado en 0,7 veces: el margen CEBIT bajó del 23,7 % de 2021 al 16,6 % de 2023 y se recuperó al 17,9 % en 2025 [4]. El ROIC incremental de 2022-2025 es del 15,1 %, mejor que el medio, porque el crecimiento de esos años vino de reactivos sobre una base instalada que ya existía (BIOFIRE no respiratorio y microbiología). Lo han lastrado las compras: Hybiome y Specific Diagnostics suman unos 340 M de deterioros entre 2022 y 2025, y las de 2024-2026 todavía no facturan [1, 2]. Qiagen, el comparable más cercano en PCR sindrómica, tiene un ROIC del 11,4 %, y DiaSorin un margen EBITDA del 33,0 % frente al 23,9 % de bioMérieux [50, 51].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657,7 M a 30-jun-26 (de ellos 41,2 M colocados en la tesorería de Institut Mérieux), línea sindicada de 600 M sin disponer con vencimiento en marzo de 2030 y programa de pagarés de hasta 500 M sin saldo vivo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 agencia: la deuda de mercado es una colocación privada de 200 M EUR de 2020 (145 M EUR con vencimiento en 2027 al 1,50 % y 55 M EUR en 2030 al 1,902 %) y programas de papel comercial y a medio plazo de hasta 500 M EUR cada uno, sin calificación declarada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de 418,9 M a 30-jun-26 es el Euro PP de 2020 (145 M al 1,50 % que vence el 29-jun-27 y 55 M al 1,902 % en 2030), 154,9 M de arrendamientos y 64 M de préstamos locales, sobre todo una línea de 40 M de bioMérieux Shanghai [2]. El único covenant es deuda neta / resultado operativo antes de amortizaciones, sin NIIF 16, menor de 3,5 veces, con holgura total; los bonistas pueden pedir el reembolso si cambia el control [2]. Las obligaciones netas por pensiones y premios de antigüedad suman 43,6 M y las provisiones 99,5 M, de ellas 15,7 M por litigios, 8,2 M por la reestructuración de San José y la de Manovra Sanità en Italia (48 % del riesgo) [2]. Hay un pago aplazado de 2,2 M por Neoprospecta hasta 2030 y una demanda civil por los test de Lyme pendiente de sentencia en apelación sin provisión estimable [2]. No se publican factoring ni confirming.</w:t>
      </w:r>
    </w:p>
    <w:p>
      <w:pPr>
        <w:pStyle w:val="Heading1"/>
      </w:pPr>
      <w:r>
        <w:t xml:space="preserve">12. Asignación de capital</w:t>
      </w:r>
    </w:p>
    <w:p>
      <w:pPr>
        <w:pStyle w:val="Confianza"/>
        <w:spacing w:after="100"/>
      </w:pPr>
      <w:r>
        <w:t xml:space="preserve">Confianza: Alta</w:t>
      </w:r>
    </w:p>
    <w:p>
      <w:pPr>
        <w:spacing w:after="100"/>
      </w:pPr>
      <w:r>
        <w:t xml:space="preserve">La compañía sube el dividendo en línea con el beneficio neto ajustado: 0,98 EUR por acción con cargo a 2025, un 9 % más, tras 0,85 EUR en 2021-2023 y 0,90 EUR en 2024, unos 115 M pagados en junio de 2026, en torno al 21 % del beneficio ajustado [2, 4]. No hay programa de recompra para amortizar: compra acciones para cubrir los planes de acciones gratuitas y el plan de accionariado de empleados MyShare (350.000 en el primer semestre de 2026) y opera un contrato de liquidez con ODDO BHF [2, 13]. A 30-jun-26 tenía 669.136 acciones propias (552.959 para planes y 116.177 en el contrato de liquidez) sobre 118.361.220 emitidas [2, 12]. La prioridad declarada es invertir en capacidad, sobre todo BIOFIRE en Francia, y comprar tecnologías pequeñas para GO•28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Banyan Biomarkers (EE. UU., biomarcadores de traumatismo craneal)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inmunoensayos VIDAS; sin cifras propias publicadas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 (EE. UU., antibiograma rápido, hoy VITEK REVEAL)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M USD en efectivo y 1.288.901 acciones nuevas, recompradas después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por ahora: deterioro de 140,7 M de la tecnología en 2025 por un lanzamiento más lento de lo previsto en EE. UU. y cierre de la planta de San José en 2026 (40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(Canadá, software de prescripción antibiótica)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LUMED APSS con marcado CE en 2025; sin cifras propias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 (Noruega, inmunoensayo en el punto de atención)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80 % en enero de 2025 tras comprar el 20 % en 2024 por 11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45 M y tecnología de 107 M; sin ventas y con 19 M de pérdida operativa en 2025; marcado CE de la troponina en julio de 2026 y lanzamiento europeo previsto a final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Neoprospecta (Brasil, genómica para control alimentario y farmacéutico)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 M aplazados hasta 2030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4,3 M; pérdida operativa de 0,4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Day Zero Diagnostics (EE. UU., secuenciación y aprendizaje automático contra la resistencia)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para investigación; 3,9 M de costes de la operación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Accellix (EE. UU., citometría de flujo para control de terapias celulares)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89 % en enero de 2026 tras un 11 % previo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14,1 M; pérdida operativa de 5 M en el primer semestre de 2026 [2].</w:t>
            </w:r>
          </w:p>
        </w:tc>
      </w:tr>
    </w:tbl>
    <w:p>
      <w:pPr>
        <w:spacing w:after="160" w:before="0"/>
      </w:pPr>
    </w:p>
    <w:p>
      <w:pPr>
        <w:spacing w:after="100"/>
      </w:pPr>
      <w:r>
        <w:t xml:space="preserve">El historial de compras es pobre en lo grande y aún sin probar en lo pequeño. Las dos operaciones relevantes de la última década fuera de BioFire han terminado en deterioros: Hybiome (CLIA, China) en 2022-2024 y Specific Diagnostics en 2025, con la planta de San José cerrada en 2026 [1, 5]. La tanda de 2024-2026 (SpinChip, Neoprospecta, Day Zero, Lumed, Accellix) suma unos 190 M en efectivo y todavía no factura: resta unos 20 M al año de CEBIT [1, 2, 4]. A favor, el balance sigue con caja neta y la dirección ha sido prudente con el dividendo, que reparte una quinta parte del beneficio ajustado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Boulud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bioMérieux desde 2016, director general adjunto (Chief Operating Officer) desde marzo de 2020 y consejero delegado desde el 1 de julio de 2023; el consejo renovó su mandato por cuatro años desde la junta de mayo de 2026. No es consejero [1]. En su etapa, ventas +10,3 % orgánico en 2024 y +6,2 % en 2025, con el margen CEBIT en el 17,9 % [4, 8]; en 2026 rebajó la guía al primer trimestre y recortó los objetivos de 2027-2028 [3,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presidente y consejero delegado desde diciembre de 2017 y presidente no ejecutivo desde el 1 de julio de 2023; vicepresidente de Institut Mérieux, el holding familiar que controla el 59,9 % del capital. Posee directamente 60 acciones [1, 27]. Reelegido consejero en la junta de 2026 con un 6,56 % en contra [23]. Parte de su fijo (253.846 EUR en 2025) lo paga Institut Mérieux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Bouhours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vicepresidente ejecutivo de Compras y Sistemas de Información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de dirección de nueve personas a 31 de diciembre de 2025 [1]. En 2025 recibió 6.250 acciones de rendimiento, vendió 2.550 acciones en marzo y suscribió participaciones del plan de empleados MyShare [1]. No consta cambio en la dirección financiera en los últimos 24 meses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Yasha Mitrotti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Aplicaciones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industrial (control de calidad alimentario y farmacéutico), que creció un +9 % orgánico en 2025, con el control de calidad farmacéutico al +14 % [4]. Recibió 4.625 acciones de rendimiento y vendió 2.299 acciones en septiembre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Céline Roger-Dalbert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I+D en el comité de dirección [1]. En 2025 la compañía deterioró parcialmente la tecnología VITEK REVEAL, lo que restó al beneficio neto (398 M EUR, -8 %) [4]. Recibió 3.677 acciones de rendimiento y vendió 1.486 en septiembre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+7 % orgánico y mejora del CEBIT (febrero de 2020, antes de la pandemia)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+19,7 % orgánico; CEBIT 613 M EUR (+58 %), impulsado por las pruebas de COVID-19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+8 % orgánico; CEBIT en línea con 2020 (613 M EUR) a tipos corrientes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+10,5 % orgánico; CEBIT 801 M EUR (23,7 % de las ventas)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a -3 % orgánico; CEBIT 530-610 M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+0,2 % orgánico; CEBIT 664 M EUR (18,5 %); la guía se elevó durante el año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+4 % a +6 % orgánico (+8 % a +10 % sin paneles respiratorios); CEBIT 600-630 M EUR con -40 M EUR de efecto divisa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+6,6 % orgánico; CEBIT 610 M EUR, en la parte alta del rango antes de un efecto divisa de -55 M EUR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ventas +6 % a +8 % y CEBIT al menos +10 % a tipos constantes; elevada durante el año a +8 % a +10 % y +12 % a +17 % [8,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orgánico; CEBIT 673 M EUR, +20 % a tipos y perímetro constantes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menos +7 % orgánico; CEBIT al menos +10 % a tipos y perímetro constantes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+6,2 % orgánico; CEBIT 728 M EUR, +16 % a tipos y perímetro constantes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2026: ventas +5 % a +7 % y CEBIT al menos +10 % orgánico [4]; rebajada el 23 de abril a +3 % a +5 % y 0 % a +10 % [38] y confirmada el 28 de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primer semestre +0,2 % orgánico, 1.965 M EUR de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(GO•28)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+7 % de TCAC 2024-2028, CEBIT al menos +10 % anual y margen CEBIT del 20 % en 2028 a tipos constantes [4,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 en julio de 2026: +3 % a +6 % orgánico anual en 2027-2028 y CEBIT creciendo más que las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Pierre Boulud dirige desde julio de 2023 tras tres años como número dos, el consejo le renovó en 2026 por cuatro años y no hay cambios de presidente, consejero delegado ni director financiero en los últimos 24 meses [1]. Hasta 2024 la dirección batió sus guías, a menudo prudentes y elevadas durante el año [8, 34, 35, 36, 37]. El historial se tuerce desde 2025: ventas por debajo del +7 % prometido, guía de 2026 rebajada a los tres meses de publicarla y el objetivo de crecimiento de GO•28 reducido en julio de 2026, dos años después de lanzarlo [3, 4, 38]. No se publica un plan de sucesión nominal; la sucesión de 2023 se hizo desde dentro y a propuesta del presidente, y la familia Mérieux decide de hecho los nombramientos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Archinard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Boël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Sofina)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(representado por 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Marie-Paule Kieny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Fanny Letier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Viviane Monges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Lacoste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Institut Mérieux)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Sylvain Orenga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y RSC;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Archinard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83,64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 Mérieux (holding de la familia Mérieux, vía Compagnie Mérieux Alliance)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72,4 % de los derechos de voto teóricos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58,90 % del capital y 71,88 % del voto a 28-feb-2026; compró 1.183.612 acciones (1,0 %) el 30 de abril y el 4 de mayo de 2026 por unos 83,6 M EUR [1, 12,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(2,23 %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2025; no figuraba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SITAM Belgique (antes GIMD, grupo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(3,66 % del voto con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3,80 % en febrero de 2024 al 3,00 % en febrero de 2025, estable después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Sofina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(1,22 %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1,93 % en febrero de 2025 al 1,00 % en febrero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FCPE OPUS Classic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0,79 %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(762.211 acciones a 21-may-2026)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0,34 % en febrero de 2026; sube por compras para cubrir planes de acciones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Público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 (20,12 %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35,01 % en febrero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anual del consejero delegado: objetivo del 100 % del fijo (40 % financiero, 30 % cualitativo, 10 % riesgos, 20 % RSC); por 2025 cobró el 115,5 % [1]. Largo plazo: acciones de rendimiento por el 125 % del fijo, ligadas al crecimiento orgánico de ventas (40 %) y CEBIT (40 %) a tres años y a RSC (20 %) [1]. Ninguna métrica mide ROIC, TSR ni caja: premian crecer. Sin cláusula de recuperación ni indemnización; no competencia del 35 % durante doce meses [1]. La junta aprueba por el voto de Institut Mérieux (89,36 % para la política de 2026 [32]), pero el capital libre presente votó en contra de la remuneración del consejero delegado en un 67,4 % en 2024, 67,2 % en 2025 y 49,2 % en 2026 (estimación propia) [23, 24, 25].</w:t>
      </w:r>
    </w:p>
    <w:p>
      <w:pPr>
        <w:pStyle w:val="Heading2"/>
      </w:pPr>
      <w:r>
        <w:t xml:space="preserve">Operaciones vinculadas, estructura de control y defensas</w:t>
      </w:r>
    </w:p>
    <w:p>
      <w:pPr>
        <w:spacing w:after="100"/>
      </w:pPr>
      <w:r>
        <w:t xml:space="preserve">Institut Mérieux, holding familiar vía Compagnie Mérieux Alliance, tiene el 59,9 % del capital y en torno al 72 % del voto gracias al voto doble, y aprueba sola cualquier resolución; la empresa declara que no hay pactos ni acción concertada [1, 27]. Solo 3 de 8 consejeros son independientes (37,5 %), por encima del tercio que pide el Código AFEP-MEDEF a una sociedad controlada, y no hay consejero coordinador; la comisión de auditoría la preside Harold Boël, de Sofina, no independiente [1]. Vinculadas: contrato de servicios con Institut Mérieux, que ejerce también la auditoría interna (cargo de 12,0 M EUR y refacturaciones de 8,9 M EUR en 2025), y mecenazgo a la Fundación Mérieux de 2,8 M EUR [26]. Las recompras solo cubren planes de acciones y liquidez; dividendo de 0,98 EUR con cargo a 2025 [1, 13, 30, 31].</w:t>
      </w:r>
    </w:p>
    <w:p>
      <w:pPr>
        <w:pStyle w:val="Heading2"/>
      </w:pPr>
      <w:r>
        <w:t xml:space="preserve">Señales de alerta</w:t>
      </w:r>
    </w:p>
    <w:p>
      <w:pPr>
        <w:pStyle w:val="ListParagraph"/>
        <w:numPr>
          <w:ilvl w:val="0"/>
          <w:numId w:val="2"/>
        </w:numPr>
        <w:spacing w:after="60"/>
      </w:pPr>
      <w:r>
        <w:t xml:space="preserve">El voto libre rechaza la remuneración: descontando a Institut Mérieux, votó en contra de la del consejero delegado el 67,4 % del capital libre presente en 2024, el 67,2 % en 2025 y el 49,2 % en 2026; y de la política del presidente, el 59,6 % en 2026 (estimación propia) [23, 24, 25].</w:t>
      </w:r>
    </w:p>
    <w:p>
      <w:pPr>
        <w:pStyle w:val="ListParagraph"/>
        <w:numPr>
          <w:ilvl w:val="0"/>
          <w:numId w:val="2"/>
        </w:numPr>
        <w:spacing w:after="60"/>
      </w:pPr>
      <w:r>
        <w:t xml:space="preserve">La auditoría interna la presta el accionista de control, Institut Mérieux, dentro del contrato de servicios (cargo de 12,0 M EUR en 2025), y la comisión de auditoría la preside un consejero no independiente [1, 26].</w:t>
      </w:r>
    </w:p>
    <w:p>
      <w:pPr>
        <w:pStyle w:val="ListParagraph"/>
        <w:numPr>
          <w:ilvl w:val="0"/>
          <w:numId w:val="2"/>
        </w:numPr>
        <w:spacing w:after="60"/>
      </w:pPr>
      <w:r>
        <w:t xml:space="preserve">La guía de 2026 se rebajó en abril, a los dos meses de publicarla, y el objetivo de crecimiento de GO•28 se recortó en julio de 2026 [3, 4, 38].</w:t>
      </w:r>
    </w:p>
    <w:p>
      <w:pPr>
        <w:pStyle w:val="ListParagraph"/>
        <w:numPr>
          <w:ilvl w:val="0"/>
          <w:numId w:val="2"/>
        </w:numPr>
        <w:spacing w:after="60"/>
      </w:pPr>
      <w:r>
        <w:t xml:space="preserve">Litigio por las pruebas de la enfermedad de Lyme: apelación vista en octubre de 2025 con decisión prevista en marzo de 2026; el URD no permite estimar el riesgo [1].</w:t>
      </w:r>
    </w:p>
    <w:p>
      <w:pPr>
        <w:pStyle w:val="ListParagraph"/>
        <w:numPr>
          <w:ilvl w:val="0"/>
          <w:numId w:val="2"/>
        </w:numPr>
        <w:spacing w:after="60"/>
      </w:pPr>
      <w:r>
        <w:t xml:space="preserve">Ernst &amp; Young et Autres audita desde 2012 (14.º año en 2025) y fue renovado en 2024; Grant Thornton desde 2017 [1, 25]. Sin cambios de auditor ni de director financiero en 24 meses.</w:t>
      </w:r>
    </w:p>
    <w:p>
      <w:pPr>
        <w:pStyle w:val="ListParagraph"/>
        <w:numPr>
          <w:ilvl w:val="0"/>
          <w:numId w:val="2"/>
        </w:numPr>
        <w:spacing w:after="60"/>
      </w:pPr>
      <w:r>
        <w:t xml:space="preserve">Marie-Paule Kieny se califica como independiente pese a haber sido administradora de la Fundación Mérieux hasta marzo de 2025, que recibe donaciones de la empresa [1].</w:t>
      </w:r>
    </w:p>
    <w:p>
      <w:pPr>
        <w:pStyle w:val="ListParagraph"/>
        <w:numPr>
          <w:ilvl w:val="0"/>
          <w:numId w:val="2"/>
        </w:numPr>
        <w:spacing w:after="60"/>
      </w:pPr>
      <w:r>
        <w:t xml:space="preserve">En los doce meses previos al corte, las únicas operaciones declaradas a la AMF por dirigentes o personas vinculadas son las dos compras de Institut Mérieux de abril y mayo de 2026 [27,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27 de febrero de 2026 la compañía fijó para 2026 un crecimiento de ventas del 5-7 % y del CEBIT de al menos un 10 %, ambos a tipos de cambio y perímetro constantes, y confirmó el plan GO•28 (ventas +7 % anual 2024-2028 y CEBIT +10 % anual) [4]. El 23 de abril, tras un primer trimestre con ventas un 3,9 % menores en términos orgánicos, rebajó la guía de 2026 a ventas +3-5 % y CEBIT +0-10 % [11]. El 28 de julio confirmó esa guía, redujo el efecto negativo de las divisas sobre el CEBIT de 2026 a 40-50 M EUR (antes, 50-60 M) y bajó los objetivos de 2027 y 2028: ventas +3-6 % orgánico al año (antes, +7 % anual) y CEBIT creciendo por encima de las ventas (antes, al menos +10 %)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 100,00</w:t>
            </w:r>
          </w:p>
        </w:tc>
      </w:tr>
    </w:tbl>
    <w:p>
      <w:pPr>
        <w:spacing w:after="160" w:before="0"/>
      </w:pPr>
    </w:p>
    <w:p>
      <w:pPr>
        <w:pStyle w:val="Heading2"/>
      </w:pPr>
      <w:r>
        <w:t xml:space="preserve">Revisiones de estimaciones</w:t>
      </w:r>
    </w:p>
    <w:p>
      <w:pPr>
        <w:spacing w:after="100"/>
      </w:pPr>
      <w:r>
        <w:t xml:space="preserve">Las estimaciones han bajado en dos escalones. El primero llegó con las ventas del primer trimestre (23 de abril), que rebajaron la guía de 2026; la acción cayó un 17,5 % ese día [11, 39]. El segundo, en junio: UBS pasó a neutral (1 de junio) y Morgan Stanley a infraponderar (23 de junio), y RBC y Barclays recortaron sus precios objetivo [49]. El 28 de julio la compañía rebajó 2027-2028 [3]. Con 4 compras, 9 mantener y 1 venta, el precio objetivo medio (79,54 EUR) queda un 1,5 % por debajo de la cotización [47, 48]. No hay series gratuitas con el consenso de hace 3 y 12 meses, así que el tamaño de la revisión no se puede medir.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En 2026 la acción pierde un 27,4 %, frente al -4,7 % del CAC 40 y el -4,8 % del sector salud europeo (precios hasta el 6 de octubre) [39]. Casi todo el diferencial se concentra en dos episodios. El 23 de abril cayó un 17,5 % en una sesión, con las ventas del primer trimestre (-3,9 % orgánico, por una temporada respiratoria floja) y la rebaja de la guía [11, 39]. En junio llegaron las rebajas de UBS y Morgan Stanley [49], y el 23 de junio tocó el mínimo de 52 semanas (65,60 EUR), un 47,4 % por debajo del máximo de agosto de 2025 [39]. Desde ese mínimo ha rebotado un 23 %, hasta 80,75 EUR al cierre del 7 de octubre [40]. Las posiciones cortas declaradas a la AMF llegaron al 0,73 % (Kintbury, julio) y el 30 de septiembre bajaron al 0,46 %, por debajo del umbral de publicación [41]. Desde 2021 la acción solo ha batido al CAC 40 en 2024.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acción cotiza a 10,1 veces el EBITDA de los últimos 12 meses y a 20,7 veces su beneficio, frente a una media de 14,1x y 33,0x en los cierres de 2019-2025: está por debajo del mínimo de los siete años (13,4x). El descuento tiene causas: la media incluye los años de la COVID, con márgenes del 26-31 %; el bono alemán a 10 años está en el 3,55 % frente a tipos cercanos a cero en 2019-2021 [44]; y la empresa ha pasado de prometer un 7 % de crecimiento anual hasta 2028 a un 3-6 % [3]. Lo que no ha cambiado es la recurrencia: los reactivos siguen en el 83 % de las ventas [1].</w:t>
      </w:r>
    </w:p>
    <w:p>
      <w:pPr>
        <w:pStyle w:val="Heading1"/>
      </w:pPr>
      <w:r>
        <w:t xml:space="preserve">18. Comparables cotizados</w:t>
      </w:r>
    </w:p>
    <w:p>
      <w:pPr>
        <w:pStyle w:val="Confianza"/>
        <w:spacing w:after="100"/>
      </w:pPr>
      <w:r>
        <w:t xml:space="preserve">Confianza: Media</w:t>
      </w:r>
    </w:p>
    <w:p>
      <w:pPr>
        <w:spacing w:after="100"/>
      </w:pPr>
      <w:r>
        <w:t xml:space="preserve">Cinco cotizadas de diagnóstico in vitro puro con reactivos recurrentes: Qiagen (PCR sindrómica con QIAstat-Dx), DiaSorin (inmunoensayo y molecular), Sysmex (hematología), Bio-Rad (diagnóstico clínico y ciencias de la vida) y QuidelOrtho. Danaher (dueña de Cepheid), Thermo Fisher y Revvity compiten con bioMérieux, pero su valor lo dan las herramientas de laboratorio y el bioproceso: cotizan a 19,8-21,4x el EBITDA de los próximos 12 meses y doblarían la mediana [54, 55, 56, 62, 63, 64]. Fuera también Roche y Abbott (conglomerados), Becton Dickinson (su diagnóstico pasa a Waters) y Hologic (ya no cotiza) [68, 69,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bioMérieux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DiaSorin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Bio-Rad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21,0x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2,2x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8,7 + 0,36 × crecimiento; R² = 0,41. Para el crecimiento esperado de la empresa (6,0 %), el múltiplo ajustado es 10,8x y el valor por acción, 97,75.</w:t>
      </w:r>
    </w:p>
    <w:p>
      <w:pPr>
        <w:spacing w:after="100"/>
      </w:pPr>
      <w:r>
        <w:t xml:space="preserve">La mediana de los cinco es 9,7 veces el EBITDA de los próximos 12 meses y 21,0 veces el beneficio, lo que da 88,06 y 92,31 EUR por acción. bioMérieux cotiza a 8,9x y 18,4x: un descuento del 8 % en EBITDA pese a crecer más que Bio-Rad (1,0 %) y QuidelOrtho (-1,7 %) y a tener caja neta, frente a una deuda de 5,1 veces el EBITDA de QuidelOrtho [53, 61]. El descuento frente a Qiagen (12,2x) y DiaSorin (11,0x) se explica por el margen: 35,7 % y 33,0 % frente a 23,9 % [58, 59]. La regresión del múltiplo sobre el crecimiento (R² 0,41, con solo cinco empresas) da 10,8x y 97,75 EUR; no la usamos para el valor objetivo por la muestra pequeña. Si se incluyeran las tres diversificadas, la mediana subiría a 11,6x y el valor a unos 105 EUR: por eso el peso de este método es solo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QIAGEN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(OPA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39 EUR por acción en efectivo, con una prima del 23 % sobre el cierre del 2-mar-2020; valor de 11.500 M USD con 1.400 M USD de deuda neta, sobre unas ventas de 1.530 M USD en 2019 [74]. Elevada a 43 EUR en julio de 2020 (prima del 35 %) [75]; no alcanzó el umbral de aceptación y no se cerró. Valor empresa en euros al tipo BCE del 3-mar-2020 (1,1117)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GenMark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PCR sindrómica (ePlex), competidor directo de BIOFIRE. 24,05 USD por acción en efectivo, valor total de unos 1.800 M USD en acciones diluidas y prima del 43 % sobre el cierre no afectado del 10-feb-2021 [72]. El comunicado no da el valor empresa: el múltiplo se calcula sobre ese valor y las ventas de 2020, 171,6 M USD [73]. EBITDA negativo (resultado operativo de −11,1 M USD en 2020)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Luminex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DiaSorin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molecular multiplex (xMAP, VERIGENE, ARIES). 37 USD por acción en efectivo, valor empresa de unos 1.800 M USD y prima del 23,1 % sobre el cierre no afectado del 24-feb-2021 [70]; múltiplo sobre las ventas de 2020, 417,4 M USD [71]. El comprador no publicó el EBITDA de Luminex por separado.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Antibiograma rápido (REVEAL AST). 100 % por un importe total de 387 M EUR: 221 M en efectivo y 1,3 millones de acciones nuevas de bioMérieux [36]. Empresa sin ventas relevantes: no hay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en el punto de atención (sangre total en 10 minutos). bioMérieux tenía una participación minoritaria comprada en marzo de 2024 por 11 M EUR [8] y en enero de 2025 se quedó con el 100 % con una salida de caja de 112 M EUR [4]. Sin ventas: no hay múltiplo ni valor empresa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capital privado: 76 USD por acción en efectivo más un derecho contingente de hasta 3 USD; valor empresa de hasta 18.300 M USD y prima del 46 % sobre el cierre del 23-may-2025, el último antes de los rumores [76]. Múltiplo sobre las ventas del ejercicio a septiembre de 2025, 4.100,5 M USD [77]. Cerrada el 7-abr-2026 [78]. Incluye diagnóstico molecular (Panther) pero el grueso es salud de la mujer y mama.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molecular de cáncer (Cologuard). 105 USD por acción en efectivo, valor de las acciones de unos 21.000 M USD y valor empresa estimado de 23.000 M USD con 1.800 M de deuda neta [79]. Múltiplo sobre las ventas de 2025, 3.247,0 M USD [80]; resultado operativo negativo (−206,3 M USD). Cerrada el 23-mar-2026 [81]. El comunicado no da la prima.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152,79 – 255,79</w:t>
            </w:r>
          </w:p>
        </w:tc>
      </w:tr>
    </w:tbl>
    <w:p>
      <w:pPr>
        <w:spacing w:after="160" w:before="0"/>
      </w:pPr>
    </w:p>
    <w:p>
      <w:pPr>
        <w:spacing w:after="100"/>
      </w:pPr>
      <w:r>
        <w:t xml:space="preserve">Las cinco operaciones con valor publicado se pagaron a 4,3-10,5 veces las ventas (mediana 7,1x), con primas del 23-46 % en las OPA [70, 71, 72, 73, 74, 75, 76, 77, 78, 79, 80, 81]; ninguna publica el EBITDA. Aplicadas a bioMérieux darían más de 240 EUR por acción, una cifra sin sentido práctico: los objetivos eran empresas de PCR sindrómica en pérdidas o con márgenes muy altos (GenMark, Exact Sciences), y la familia Mérieux tiene el 59,9 % del capital y el 72,4 % del voto [1]. Una OPA de terceros solo puede ocurrir si Institut Mérieux decide vender, y en 2026 ha hecho lo contrario: compró un 1 % más a unos 70,6 EUR por acción [27, 28]. Por eso las transacciones pesan cero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7,3 % anual en 2019-2025 y un 6,6 %, 10,3 % y 6,2 % orgánico en 2023-2025 [1, 4]. En 2026 la guía es de +3/+5 % orgánico, con un primer semestre del +0,2 % y un efecto divisa de -87 M [3]: suponemos un +0,5 % publicado (el bajo de la guía y un dólar más débil que en 2025), año que tratamos como cerrado. Para 2027-2028 tomamos el +4,5 %, el centro del nuevo rango de +3/+6 % [3], subimos al 5 % en 2029-2030 con SPOTFIRE y los nuevos paneles, y bajamos al 3,5 % en 2033. La media de 2027-2033 es del 4,4 %, en línea con el mercado de diagnóstico de enfermedades infecciosas. El consenso pide un 1-2,5 % más de ventas en 2026-2028 [46].</w:t>
      </w:r>
    </w:p>
    <w:p>
      <w:pPr>
        <w:keepNext/>
        <w:spacing w:after="100"/>
      </w:pPr>
      <w:r>
        <w:rPr>
          <w:b/>
          <w:bCs/>
        </w:rPr>
        <w:t xml:space="preserve">Márgenes.</w:t>
      </w:r>
    </w:p>
    <w:p>
      <w:pPr>
        <w:spacing w:after="100"/>
      </w:pPr>
      <w:r>
        <w:t xml:space="preserve">El margen EBITDA antes de no recurrentes fue del 23,9 % en 2025, del 21,6-24,1 % fuera de la COVID y del 22,4 % en el primer semestre de 2026 [2, 4]. Para 2026 suponemos un 23,3 %: el CEBIT crece en el bajo de la guía (0/+10 % orgánico) y la divisa resta 40-50 M [3]. Desde ahí sube 0,5-0,6 puntos al año hasta 2028, porque la empresa espera que el CEBIT crezca más que las ventas [3], y se queda en el 25,5 % en 2033, por debajo de DiaSorin (33,0 %) y de Qiagen (35,7 %) [58, 59]. Estamos un 2,4 %, un 3,9 % y un 5,0 % por debajo del EBITDA del consenso de 2026-2028 [46]: el consenso no ha recogido del todo el margen del semestre.</w:t>
      </w:r>
    </w:p>
    <w:p>
      <w:pPr>
        <w:keepNext/>
        <w:spacing w:after="100"/>
      </w:pPr>
      <w:r>
        <w:rPr>
          <w:b/>
          <w:bCs/>
        </w:rPr>
        <w:t xml:space="preserve">Inversión y circulante.</w:t>
      </w:r>
    </w:p>
    <w:p>
      <w:pPr>
        <w:spacing w:after="100"/>
      </w:pPr>
      <w:r>
        <w:t xml:space="preserve">El capex fue del 8,2-9,2 % de las ventas en 2022-2025, más un 0,7 % de pagos de arrendamientos que el informe suma al capex porque los arrendamientos van en la deuda [1]. Subimos al 9,4 % en 2027-2028 por la planta de La Balme, de más de 250 M [3], y bajamos al 7,8 % en 2033, por encima de la amortización (7,6 %). El circulante es alto por las existencias (199 días en 2025): lo dejamos en el 35,5 % de las ventas, entre el 36,0 % de 2025 y el 29-31 % de 2019-2021. Tipo impositivo del 24,5 %, el de 2025.</w:t>
      </w:r>
    </w:p>
    <w:p>
      <w:pPr>
        <w:keepNext/>
        <w:spacing w:after="100"/>
      </w:pPr>
      <w:r>
        <w:rPr>
          <w:b/>
          <w:bCs/>
        </w:rPr>
        <w:t xml:space="preserve">Coste del capital.</w:t>
      </w:r>
    </w:p>
    <w:p>
      <w:pPr>
        <w:spacing w:after="100"/>
      </w:pPr>
      <w:r>
        <w:t xml:space="preserve">Tasa libre: el Bund a 10 años, 3,55 % el 7 de octubre de 2026 [44]. No usamos la OAT francesa (4,87 % [42]) porque lleva un diferencial soberano de 1,3 puntos y Francia es solo el 6 % de las ventas; el riesgo de los países emergentes (Asia-Pacífico y Latinoamérica, el 22 % de las ventas, con China y Argentina) va en una prima adicional de 0,5 puntos. Beta de 0,87: la media de las ajustadas a cinco años frente al STOXX 600, mensual (0,78) y semanal (0,96) [39]. Frente al CAC 40 sale 0,77-0,82 y frente al STOXX 600 Salud 0,68-0,84; descartamos el CAC por su peso en lujo y bancos y el índice sectorial porque mide la beta frente al sector, no frente al mercado. Prima de mercado del 5,5 %. Coste de los recursos propios del 8,84 %; con caja neta, la deuda pesa un 4,2 % y el WACC queda en el 8,57 %.</w:t>
      </w:r>
    </w:p>
    <w:p>
      <w:pPr>
        <w:keepNext/>
        <w:spacing w:after="100"/>
      </w:pPr>
      <w:r>
        <w:rPr>
          <w:b/>
          <w:bCs/>
        </w:rPr>
        <w:t xml:space="preserve">Valor terminal.</w:t>
      </w:r>
    </w:p>
    <w:p>
      <w:pPr>
        <w:spacing w:after="100"/>
      </w:pPr>
      <w:r>
        <w:t xml:space="preserve">Crecimiento a perpetuidad del 2,5 %: inflación del euro cercana al 2 % y medio punto real, por debajo de la tasa libre menos medio punto (3,05 %). El valor terminal equivale a 8,0 veces el EBITDA, por debajo de la mediana de los comparables (9,7x) y de la media histórica de la propia empresa (14,1x): es un supuesto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12,7 %)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(histórico: 15,1 %)</w:t>
            </w:r>
          </w:p>
        </w:tc>
      </w:tr>
    </w:tbl>
    <w:p>
      <w:pPr>
        <w:spacing w:after="160" w:before="0"/>
      </w:pPr>
    </w:p>
    <w:p>
      <w:pPr>
        <w:spacing w:after="100"/>
      </w:pPr>
      <w:r>
        <w:t xml:space="preserve">La proyección reinvierte el 20 % del NOPAT. Con el ROIC del último ejercicio (12,7 %), eso financia un crecimiento del 2,5 % anual, frente al 3,9 % de ingresos proyectado. Supone que el capital nuevo rinde un 22,7 %, frente a un ROIC incremental histórico del 15,1 %.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orgánico con un primer semestre del +0,2 % (paneles respiratorios −17 %): tomamos el bajo, +3 %, con un punto de precio en microbiología e industria, donde la empresa citó efecto precio positivo en el 2T26. La divisa resta unos 2,5 puntos (−87 M en el semestre) [3].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la nueva guía de +3/+6 % orgánico [3]: volumen de reactivos sobre una base de unas 28.550 unidades de BIOFIRE y más de 7.200 de SPOTFIRE [1, 3]; precio de 1,5 puntos (estimación propia): en 2025 el margen bruto subió 90 pb orgánicos pese a los aranceles y en el 2T26 hubo efecto precio positivo en microbiología e industria [1, 3]; en 2024 la microbiología creció un 8,3 % por volumen y precio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centro de la guía [3]. El consenso pide un 1-2,5 % más de ventas [46].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y los paneles no respiratorios (+10 % orgánico en 2025) suben el volumen medio punto [1, 4];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Como 2029e: microbiología al ritmo histórico del mercado (5-6 %) [1].</w:t>
            </w:r>
          </w:p>
        </w:tc>
      </w:tr>
    </w:tbl>
    <w:p>
      <w:pPr>
        <w:spacing w:after="160" w:before="0"/>
      </w:pPr>
    </w:p>
    <w:p>
      <w:pPr>
        <w:spacing w:after="100"/>
      </w:pPr>
      <w:r>
        <w:t xml:space="preserve">En parte. El foso es real: el 83 % de las ventas en reactivos, ≈ 70 % de la PCR sindrómica y ≈ 40 % de la microbiología clínica [1]. El poder de precios es corto: margen bruto +90 pb orgánicos en 2025 y efecto precio en microbiología en el 2T26, pero China recorta precios [1, 3]. Creció un 7,3 % anual en 2019-2025 y la guía bajó al +3/+6 % [3]. La reinversión no llega: el 20 % del NOPAT, al ROIC del 12,7 %, financia un 2,5 % anual (3,5 % sin fondo de comercio ni intangibles) frente al 3,9 % proyectado. La cuota no se puede probar: el 70 % es de un segmento sin tamaño publicado.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8,6 %)</w:t>
            </w:r>
          </w:p>
        </w:tc>
      </w:tr>
    </w:tbl>
    <w:p>
      <w:pPr>
        <w:spacing w:after="160" w:before="0"/>
      </w:pPr>
    </w:p>
    <w:p>
      <w:pPr>
        <w:spacing w:after="100"/>
      </w:pPr>
      <w:r>
        <w:t xml:space="preserve">El DCF da 78,38 EUR por acción, un 2,9 % por debajo del precio, con el 70 % del valor en el terminal. El DCF inverso dice que el precio descuenta un crecimiento del 5,5 % anual en 2027-2033 (nosotros, 4,4 %) o un margen EBITDA final del 26,0 % (nosotros, 25,5 %); dicho de otro modo, a 80,75 EUR la acción rinde un 8,4 % anual con nuestras cifras, apenas por debajo del WACC del 8,57 % y por encima del 7,5 % que hoy pide el mercado a una acción con su beta. No es una exigencia alta: el 5,5 % está dentro del nuevo rango de +3/+6 % de la empresa y por debajo de lo que creció en 2023-2025 (6,2-10,3 % orgánico) [3, 4]. Lo exigente es otra cosa: que se cumpla con un primer semestre de 2026 plano y con los paneles respiratorios cayendo un 17 %. Cada punto de margen vale unos 4,9 EUR por acción y cada medio punto de WACC, entre 6 y 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temporadas respiratorias flojas seguidas, las compras centralizadas de China llegan a la microbiología y Medicare restringe más los paneles sindrómicos: el crecimiento cae al 2,4 % anual y el margen se queda en el 24 %. Ya pasó en 2022-2023, con ventas planas y el margen CEBIT en el 16,6 %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centro de la nueva guía (+4,5 % en 2027-2028) y margen EBITDA que sube del 23,3 % al 25,5 % en 2033 con más reactivos de SPOTFIRE y la planta de La Balme en marcha.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aprueba el panel de vaginitis de SPOTFIRE con exención CLIA, SPINCHIP arranca en Europa y la gripe se normaliza: el crecimiento vuelve al 6 % de 2023-2025 y el margen llega al 26,5 %, aún por debajo de Qiagen y DiaSorin.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77,03 EUR (-4,6 %).</w:t>
      </w:r>
    </w:p>
    <w:p>
      <w:pPr>
        <w:spacing w:after="100"/>
      </w:pPr>
      <w:r>
        <w:t xml:space="preserve">Con nuestro WACC, la asimetría es mala: el alcista gana un 11,2 % y el bajista pierde un 23,8 %, 0,47 veces. Con la prima que hoy pide el mercado (4,2 %, WACC del 7,49 %), el mismo análisis da 110,75 EUR en el alcista y 72,97 EUR en el bajista, y la asimetría pasa a 3,86 veces. La diferencia no está en las cifras del negocio, sino en la tasa de descuento: la acción solo es barata si se acepta el coste de capital que hoy usa el mercado. El bajista es verosímil, porque repite 2022-2023, y la acción ya ha caído un 47 % desde agosto de 2025 [39].</w:t>
      </w:r>
    </w:p>
    <w:p>
      <w:pPr>
        <w:pStyle w:val="Heading1"/>
      </w:pPr>
      <w:r>
        <w:t xml:space="preserve">22. Suma de partes</w:t>
      </w:r>
    </w:p>
    <w:p>
      <w:pPr>
        <w:pStyle w:val="Confianza"/>
        <w:spacing w:after="100"/>
      </w:pPr>
      <w:r>
        <w:t xml:space="preserve">Confianza: Media</w:t>
      </w:r>
    </w:p>
    <w:p>
      <w:pPr>
        <w:spacing w:after="100"/>
      </w:pPr>
      <w:r>
        <w:t xml:space="preserve">No aplica. Los dos segmentos que publica la empresa, clínico (84 % de las ventas) e industrial (16 %), comparten fábricas, tecnología (microbiología y biología molecular) y red comercial, y no hay comparables cotizados puros del control microbiológico industrial con datos homogéneos; un múltiplo distinto para el 16 % de las ventas no cambiaría el valor más de un 2-3 %.</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80,93 EUR (+0,2 % sobre 80,75).</w:t>
      </w:r>
    </w:p>
    <w:p>
      <w:pPr>
        <w:spacing w:after="100"/>
      </w:pPr>
      <w:r>
        <w:t xml:space="preserve">El DCF pesa un 45 % y los escenarios un 30 %, porque el valor depende de cuánto crezcan los reactivos de una base instalada que conocemos bien. Los comparables pesan un 25 %, solo con los cinco de diagnóstico puro (90,19 EUR de media entre EV/EBITDA y PER): la muestra es pequeña y la mediana cambia mucho si entran las grandes de herramientas. Las transacciones pesan cero, porque el control familiar hace improbable una OPA. Los métodos están cerca entre sí (77-90 EUR) y del precio objetivo medio de los analistas (79,54 EUR [47]): el valor objetivo de 80,93 EUR coincide con el precio. La dispersión aparece con la tasa de descuento: con la prima implícita del mercado, el DCF sube a 95,50 EUR y el valor objetivo a 93,63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arranque de la temporada respiratoria y de si el segundo semestre crece lo que exige la guía (en torno a +6 % orgánico para llegar al +3 %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y virus respiratorios en el hemisferio norte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los paneles respiratorios de BIOFIRE, que cayeron un 17 % en el primer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 – 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el panel de vaginitis de SPOTFIRE (510(k) y exención CLIA, presentado el 26 de junio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salud de la mujer en el punto de atención, primer panel no respiratorio de SPOTFIRE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SPINCHIP en Europa (troponina de alta sensibilidad)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venta de la compra de 2025; hoy resta unos 20 M al CEBIT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+3/+6 % de 2027-2028 y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145 M del bono Euro PP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riesgo de liquidez (caja de 658 M); refinanciación a tipos más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de BIOFIRE ligados a la epidemiología: otra temporada floja de gripe y COVID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estacionalidad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2 puntos menos de crecimiento anual; −24 %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no respiratorios (598 M en 2025) y SPOTFIRE crecen sobre una base instalada de más de 35.000 equipos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cuarto trimestre de 2026 y del primero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de Medicare: la LCD de MolDX solo cubre en ambulatorio paneles de menos de seis patógenos; riesgo de que el criterio llegue al hospital o a las aseguradoras privadas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de sangre, meningitis y neumonía se usan en hospital, fuera de la LCD [82]; los paneles reducidos de SPOTFIRE están dentro de la cobertura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sustantiva de la LCD L39001 o mezcla de BIOFIRE desplazándose a paneles reducidos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PCR sindrómica: QIAstat-Dx (más de 5.200 equipos), Cepheid y Roche en el punto de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y menú validado que tarda años en replicarse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por panel o colocaciones netas de BIOFIRE por debajo de 1.000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compras centralizadas por volumen y preferencia local, ya en los inmunoensayos y con riesgo de llegar a la microbiología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precios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publica por separado; Asia-Pacífico es el 15,6 % de las ventas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otro año por debajo de −10 % o licitaciones por volumen en microbiología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el 47 % de las ventas se factura en dólares con buena parte de los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si el euro sube un 10 % de forma duradera (unos −60 M de resultado)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EE. UU. que generan costes en dólares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 de media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OAT al 4,87 % y una prima de mercado que vuelva a la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un WACC del 9,6 %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236 M y beta baja (0,78 mensual)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implícita del mercado por encima del 5 %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 Hybiome y Specific Diagnostics acumulan unos 340 M de deterioros; SpinChip y Accellix aún no facturan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(nuevos deterioros y pérdidas operativas de unos 25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(unos 190 M en 2024-2026)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lanzamiento de SPINCHIP más allá de 2027 o nuevo deterioro de VITEK REVEAL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el control de Institut Mérieux (72,4 % del voto) deja al minoritario sin voz en remuneración y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si el mercado exige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compró un 1 % más en 2026 y alinea sus intereses con el valor a largo plazo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nuevas con el grupo Mérieux o una cuarta junta con rechazo mayoritario del capital libre</w:t>
            </w:r>
          </w:p>
        </w:tc>
      </w:tr>
    </w:tbl>
    <w:p>
      <w:pPr>
        <w:spacing w:after="160" w:before="0"/>
      </w:pPr>
    </w:p>
    <w:p>
      <w:pPr>
        <w:pStyle w:val="Heading2"/>
      </w:pPr>
      <w:r>
        <w:t xml:space="preserve">Pre-mortem</w:t>
      </w:r>
    </w:p>
    <w:p>
      <w:pPr>
        <w:spacing w:after="100"/>
      </w:pPr>
      <w:r>
        <w:t xml:space="preserve">Octubre de 2029: la acción ha perdido un 40 % y cotiza a 48 EUR. La historia más probable empieza con dos temporadas respiratorias flojas en 2026-2027 y 2027-2028: los paneles respiratorios de BIOFIRE, que ya cayeron un 17 % en el primer semestre de 2026, siguen bajando y el grupo crece un 2 % en vez del 4,5 % del nuevo plan. Medicare lleva a los paneles de hospital la lógica de la LCD de MolDX, que hoy solo paga en ambulatorio los de menos de seis patógenos, y QIAstat-Dx y Cepheid usan el precio para entrar en los hospitales medianos. China extiende las compras por volumen a la microbiología. El margen EBITDA se estanca en el 22-23 % porque la planta de La Balme y SPINCHIP añaden costes antes que ventas, y el mercado deja de pagar 9 veces el EBITDA por un negocio que crece como el PIB: con 7,5x y el EBITDA plano, la acción cae a la zona de 50 EUR. Los indicadores que lo habrían anticipado: los paneles no respiratorios creciendo por debajo del 5 %, las colocaciones netas de BIOFIRE por debajo de 1.000 al año y un margen CEBIT de 2026 por debajo del 16 %.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Primero, la calidad del producto: un error de diagnóstico expone a reclamaciones, inspecciones y suspensiones de venta, y es un riesgo de criticidad alta en el mapa de la empresa [1]. Segundo, el clima: emitió 1.150 miles de t de CO₂e en 2025 (alcances 1-3, criterio de mercado), el 96 % en el alcance 3, y tiene objetivos validados por SBTi de −62 % en alcances 1 y 2 y −35 % en el alcance 3 para 2034 [1]; no usa precio interno del carbono [1]. Tercero, el acceso y la resistencia a los antibióticos: el plan de sostenibilidad a 2028 busca un 60 % más de resultados que apoyen el uso racional de antibióticos en países de renta baja y media [1]. La taxonomía europea solo le reconoce capex elegible (flota, edificios, instrumentos), no ingresos [1].</w:t>
      </w:r>
    </w:p>
    <w:p>
      <w:pPr>
        <w:pStyle w:val="Heading2"/>
      </w:pPr>
      <w:r>
        <w:t xml:space="preserve">Controversias</w:t>
      </w:r>
    </w:p>
    <w:p>
      <w:pPr>
        <w:spacing w:after="100"/>
      </w:pPr>
      <w:r>
        <w:t xml:space="preserve">El documento de registro de 2025 no recoge sanciones ni litigios materiales en los últimos doce meses: la provisión por litigios es de 4,8 M EUR, sobre todo disputas con distribuidores tras la rescisión de contratos [1]. Sigue abierto un pleito fiscal en Italia por 2004-2010 y una provisión por la Manovra Sanità italiana, que obliga a los proveedores a cubrir parte del exceso de gasto sanitario provincial [1]. No hemos encontrado otras controversias en fuentes abiertas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venden los paneles respiratorios de BIOFIRE en euros y qué parte es COVID? ¿Qué nivel de ventas consideran el suelo de una temporada floja?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línea que la empresa no cuantifica y explica casi toda la caída del primer semestre de 2026 (-17 %).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recorte de un 7 % a un 3-6 % anual viene de China, de aranceles, del reembolso en EE. UU. y de la epidemiología?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Distinguir lo cíclico de lo estructural decide si el DCF debe crecer al 4,5 % o al 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CEBIT esperan en 2028 tras abandonar el objetivo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VITEK REVEAL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fecha de equilibrio esperan de VITEK REVEAL tras el deterioro de 2025 y el cierre de San José?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Specific Diagnostics fue la mayor de la década y ya acumula 181 M de cargos.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China y los inmunoensayos afectados por las compras centralizadas, y hay calendario para que lleguen a la microbiología?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ha restado a los inmunoensayos desde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auditoría interna la presta Institut Mérieux y qué cambiará tras tres juntas en las que la mayoría del capital libre votó contra la remuneración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de gobierno más clara contra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con 236 M de caja neta y la acción en mínimos de siete años, mientras Institut Mérieux compra a título propio?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5,9 % de rentabilidad por flujo libre, recomprar crearía valor para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flujo libre de 2025-2026 es la reforma fiscal de EE. UU. y cuándo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pagado bajó de 123 M a 28 M en el semestre; el flujo normalizado es menor.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82 (53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22,7 % frente a un ROIC de 12,7 % y un incremental histórico de 15,1 %: crecimiento que la empresa no ha demostrado poder comprar. Explicación: El ROIC histórico (12,7 %) y el incremental (15,1 %) llevan en el denominador 1.129 M de fondo de comercio (728 M) e intangibles, sobre todo de compras (BioFire, Specific Diagnostics, Hybiome); sin ellos, el ROIC de 2025 es del 17,5 % (cálculo propio). El crecimiento proyectado es orgánico, sobre la base instalada, y está en el centro de la guía de +3/+6 % y por debajo del consenso [3, 46]. Con medio punto menos de crecimiento cada año, el valor objetivo bajaría de 80,93 a 80,09 EUR y la recomendación no cambia: no se rebaja el base y el veredicto queda en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35,5 % frente a 36,0 %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52, 57, 60, 65,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bioMérieux: solo comunicados y presentaciones, sin transcripción; 2) informes semestral y anual: no recogen preguntas de analistas; 3) búsqueda web descartada por el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los comunicados de febrero, abril y julio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euros de los paneles respiratorios de BIOFIRE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nota de ventas por tecnología: solo la línea BIOFIRE total (1.512 M); 2) comunicados de 2025 y 2026: solo crecimientos y la cifra de no respiratorios (598 M); 3) diferencia entre ambas: incluye instrumentos y servicios, no aísla los paneles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crecimientos orgánicos publicados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2019,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22.2 del documento de registro 2023: gastos financieros netos de ingresos por inversiones; 2) documento de registro 2019: mismo criterio; 3) no hay desglose bruto en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no citan consenso; 2) informe semestral: no lo cita; 3) consenso previo de cada semestre no accesible sin proveedor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2021: publica CEBIT por segmento, no el resultado operativo antes de no recurrentes vigente; 2) documento de registro 2023: solo reexpresa 2022; 3) no hay reexpresión de 2020-2021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ventas para esos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(segunda fuente) y serie histórica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de bioMérieux: solo da el tamaño de 2024 (72.000 M EUR clínico, 3.000 M industrial, microbiología 3.000 M) sin serie; 2) informes de competidores: Qiagen cifra su mercado accesible en unos 12.000 M USD pero mezcla ciencias de la vida, y Roche y Danaher no publican el tamaño del DIV; 3) asociaciones e informes de mercado: no se llegó a abrir una página original con cifra dentro del límite de búsquedas de la tanda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crecimiento histórico de la microbiología (5-6 % anual) y cuota de los diez primeros (≈ 70 %); 2) comunicados y 10-K de competidores: sin tamaño de mercado; 3) estimación propia descartada por no tener dos años de tamaño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China en las ventas de bioMérieux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da Asia-Pacífico (16 %) y la caída de China (−14 % en 2025); 2) comunicado del 1S26: habla de mejora en China sin cifras; 3) no se puede derivar con los datos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paneles con autorización FDA de BIOFIRE frente a QIAstat-Dx, GeneXpert y BD MAX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enumera autorizaciones 510(k) de 2025 sin recuento total; 2) 20-F de Qiagen y 10-K de Danaher y BD: no dan el número de paneles autorizados; 3) base de datos 510(k) de la FDA: no consultada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solo cuotas de bioMérieux; 2) informes de los competidores: no publican cuota en microbiología ni en sindrómica; 3) dividir sus ventas por el DIV clínico mezclaría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cita el objetivo de puntuación EcoVadis en ética (75/100), no las calificaciones obtenidas; 2) web de sostenibilidad de la empresa: no consultada por el límite de tiempo; 3) webs de las agencias: requieren registro o cargan por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consejero delegado, el presidente y el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tablas de consejeros y operaciones de directivos (solo el número de acciones de los consejeros: Alexandre Mérieux 60); 2) declaraciones a la AMF de los últimos 12 meses (solo compras de Institut Mérieux); 3) recopilación de ABC Bourse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del director financiero, Guillaume Bouhours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composición del comité de dirección; 2) presentación de resultados y comunicados de 2024-2026; 3) búsqueda web (solo resúmenes de buscador,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las recompras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2025: 375.000 acciones a 109,58 EUR para cobertura de planes); 2) declaraciones mensuales de operaciones sobre acciones propias de la web de inversores (solo abril de 2026: 339.845 acciones a 70,59 EUR); 3) URD 2024 no descargado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 estimaciones: solo un gráfico, sin cifras; 2) Zonebourse, páginas finances-revisions y consensus-revisions: también gráficos sin cifras; 3) copias antiguas de MarketScreener en web.archive.org: acceso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OAT a 10 años de fuente oficial diaria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(Banque de France, serie TEC 10): la serie no expone observaciones sin clave; 2) página de tipos indicativos de la Banque de France y cifras clave de la Agence France Trésor: HTTP 403; 3) BCE (dato oficial mensual, agosto: 4,00 %) contrastado con el cierre diario de CNBC del 7-oct (4,87 %) y su serie diaria de agosto-octubre, que cuadra con la media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finanzas: solo PER 2026-2027 actuales; 2) Zonebourse: sin series históricas en texto; 3) Investing: sin múltiplos históricos de los próximos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(DiaSorin, Roche, Thermo Fisher, Blackstone/TPG, Abbott): no publican EBITDA del objetivo; 2) 10-K de los objetivos en EDGAR: solo resultado contable (GenMark y Exact con pérdidas operativas); 3) comunicado de DiaSorin: da el EBITDA combinado (472 M EUR), no el de Luminex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(2025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https://www.biomerieux.com/content/dam/biomerieux-com/investor/regulated-informations/2026/universal-registration-document/BIOMERIEUX-DEU-2025-GB-MEL.pdf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https://www.biomerieux.com/content/dam/biomerieux-com/investor/regulated-informations/2026/annual--biannual---quaterly-information/04082026_10H20_POUR-PUBLI-SITE_Trame-EN-RFS-2026.pdf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https://www.biomerieux.com/content/dam/biomerieux-com/investor/regulated-informations/2026/press-releases/PR-bioMerieux-Financial-Results-H1-2026.pdf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https://www.biomerieux.com/content/dam/biomerieux-com/investor/regulated-informations/2026/press-releases/bioMerieux-PR-financial-Results-FY-2025.pdf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https://www.biomerieux.com/content/dam/biomerieux-com/investor/regulated-informations/2023/universal-registration-document/biomerieux_URD_2023_V2.pdf.coredownload.pdf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2021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https://www.biomerieux.com/content/dam/biomerieux-com/investor/regulated-informations/2021/universal-registration-document/bioMerieux-URD-2021-EN.pdf.coredownload.pdf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https://www.biomerieux.com/content/dam/biomerieux-com/investor/regulated-informations/2019/universal-registration-document/biomerieux_universal_registration_document_2019.pdf.coredownload.pdf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https://www.biomerieux.com/content/dam/biomerieux-com/investor/regulated-informations/2025/press-releases/bioMerieux-PR-financial-Results-FY-2024.pdf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https://www.biomerieux.com/content/dam/biomerieux-com/investor/regulated-informations/2025/press-releases/PR-bioMerieux-Financial-Results-H1-2025.pdf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https://www.biomerieux.com/content/dam/biomerieux-com/investor/regulated-informations/2024/press-releases/PR%20bioM%C3%A9rieux%20Financial%20Results%20H1%202024.pdf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ventas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capital y derechos de voto a 30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https://www.biomerieux.com/content/dam/biomerieux-com/investor/regulated-informations/2026/total-number-of-voting-rights-and-shares/Declaration-Capital-et-droits-de-vote-au-30-09-2026.pdf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del contrato de liquidez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https://www.biomerieux.com/content/dam/biomerieux-com/investor/regulated-informations/2026/share-repurchases/bioMerieux-Bilan-Semestriel---202606-EN.pdf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https://www.sec.gov/Archives/edgar/data/1800/000162828026010185/abt-20251231.htm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Form 10-K del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https://www.sec.gov/Archives/edgar/data/10795/000001079525000099/bdx-20250930.htm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https://www.sec.gov/Archives/edgar/data/1015820/000101582026000018/qgen-20251231.htm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Form 10-K del ejercicio 2025 (cierre 28-dic-2025)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https://www.sec.gov/Archives/edgar/data/1906324/000190632426000008/qdel-20251228.htm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 (resultados por división)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serie histórica diaria (media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28 de mayo de 2026: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https://www.biomerieux.com/content/dam/biomerieux-com/investor/06---shareholder-area/fr/2026/pr-sentation-et-r-sultat-des-votes/AG-2026_Resultat-votes_FR.pdf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15 de mayo de 2025: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https://www.biomerieux.com/content/dam/biomerieux-com/investor/06---shareholder-area/fr/2025/pr-sentation-et-r-sultat-des-votes/VCLEAN-15052025_AG-2025_Resultat-votes_FR.pdf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Meeting on May 23rd, 2024: summary and votes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https://www.biomerieux.com/content/dam/biomerieux-com/investor/06---shareholder-area/en/2024/presentation---votes-results/AG%202024_Votes%20results%20ENG%20VDEF.pdf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especial de los auditores sobre los convenios regulados,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Grant Thornton y Ernst &amp; Young et Autres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https://www.biomerieux.com/content/dam/biomerieux-com/investor/06---shareholder-area/en/2026/documents-made-available-for-the-shareholders-and-questions-answers/AG-2026---Statutory-auditors-report---Regulated-agreements.pdf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2026DD1112475 (Institut Mérieux, compra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https://bdif.amf-france.org/back/api/v1/documents/2026/2026DD1112475/113E559641777B442FB0B57B6E8BC7BB4B2F3736005D4B9605D7B0EAD825A3CD.pdf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2026DD1112471 (Institut Mérieux, compra del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https://bdif.amf-france.org/back/api/v1/documents/2026/2026DD1112471/1ED6A2201957328451464E153934D44B9DB3F4DACF167FEE9E60CC996EFE5A65.pdf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transactions des dirigeants (recopilación de las declaraciones a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https://www.abcbourse.com/marches/transactions_dirigeants/FR0013280286p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Descripción del programa de recompra autorizado por la junta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https://www.biomerieux.com/content/dam/biomerieux-com/investor/regulated-informations/2026/share-repurchases/VBD-EN-2605026_bioMerieux_Descriptif_programme_rachat_actions_AG_2026.pdf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sobre acciones propias, 27-30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https://www.biomerieux.com/content/dam/biomerieux-com/investor/regulated-informations/2026/share-repurchases/202604---Declaration_Transactions_EN.pdf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por la junta de 2026 de la política de remuneración de los consejeros y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https://www.biomerieux.com/content/dam/biomerieux-com/investor/gouvernance/communiqu%C3%A9s-sur-la-r%C3%A9mun%C3%A9ration-des-dirigeants-mandataires-sociaux/2026/AG-2026---Communique-sur-remuneration-mandataires-sociaux.pdf.coredownload.pdf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2019 (guía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https://www.biomerieux.com/content/dam/biomerieux-com/investor/regulated-informations/2020/annual-biannual/biomerieux_pr_financial_results_fy_2019_0.pdf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https://www.biomerieux.com/content/dam/biomerieux-com/investor/regulated-informations/2021/press-releases/biomerieux_pr_financial_results_fy_2020.pdf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https://www.biomerieux.com/content/dam/biomerieux-com/investor/regulated-informations/2022/releases/biomerieux_pr_financial_results_fy_2021.pdf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https://www.biomerieux.com/content/dam/biomerieux-com/investor/regulated-informations/2023/releases/PR_bioM%C3%A9rieux_Results_FY_2022.pdf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https://www.biomerieux.com/content/dam/biomerieux-com/investor/regulated-informations/2024/press-releases/PR_bioM%C3%A9rieux_Financial_Results_2023_20240314.pdf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ventas del primer trimestre de 2026 (revisión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https://www.biomerieux.com/content/dam/biomerieux-com/investor/02---news---reports/2026/en/press-releases/PR---bioMerieux---Sales-Q1-2026.pdf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BIM.PA, CAC 40 (^FCHI), iShares STOXX Europe 600 Health Care (EXV4.DE) y STOXX Europe 600 (^STOXX),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BIM.PA: cierre anterior (sesión del 7-oct-2026, 80,75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https://query1.finance.yahoo.com/v8/finance/chart/BIM.PA?range=1d&amp;interval=60m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https://object-api.infra.data.gouv.fr/amf/VAD/export_od_vad_20261007111500_20261007123002.csv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a 10 años de Francia y Alemania: cotización, cierre anterior e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https://quote.cnbc.com/quote-html-webservice/restQuote/symbolType/symbol?symbols=FR10Y-FR%7CDE10Y-DE&amp;requestMethod=itv&amp;noform=0&amp;partnerId=2&amp;fund=1&amp;exthrs=1&amp;output=json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y Alemania (mensual, hasta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https://data-api.ecb.europa.eu/service/data/IRS/M.FR+DE.L.L40.CI.0000.EUR.N.Z?lastNObservations=3&amp;format=csvdata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https://api.statistiken.bundesbank.de/rest/data/BBSIS/D.I.ZST.ZI.EUR.S1311.B.A604.R10XX.R.A.A._Z._Z.A?format=csv&amp;lastNObservations=10&amp;lang=en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Financials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https://www.investing.com/equities/biomerieux-consensus-estimates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noticias (cambios de recomendación y de precio objetivo de los analistas,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(QGEN):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(BIT:DIA):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https://stockanalysis.com/quote/bit/DIA/statistics/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(BIO):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https://stockanalysis.com/stocks/bio/statistics/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(QDEL):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https://stockanalysis.com/stocks/qdel/statistics/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(TMO):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(RVTY):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https://stockanalysis.com/stocks/rvty/statistics/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(TYO:6869):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https://www.marketscreener.com/quote/stock/QIAGEN-N-V-40135659/finances/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S.p.A.: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https://www.marketscreener.com/quote/stock/DIASORIN-S-P-A-410424/finances/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https://www.marketscreener.com/quote/stock/BIO-RAD-LABORATORIES-INC-4174247/finances/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https://www.marketscreener.com/quote/stock/QUIDELORTHO-CORPORATION-10595/finances/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https://www.marketscreener.com/quote/stock/DANAHER-CORPORATION-12295/finances/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https://www.marketscreener.com/quote/stock/THERMO-FISHER-SCIENTIFIC--14623/finances/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Inc.: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https://www.marketscreener.com/quote/stock/REVVITY-INC-12426/finances/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datos financieros y estimaciones (ejercicio a marzo)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DIA.MI y 6869.T (cierre del 7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formulario 10-Q del segundo trimestre de 2026 (datos XBRL: LongTermInvestments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https://data.sec.gov/api/xbrl/companyfacts/CIK0000012208.json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datos financieros y estimaciones (ejercicio a septiembre)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https://www.marketscreener.com/quote/stock/BECTON-DICKINSON-AND-COMP-11801/finances/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Corporation (WAT):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to acquire Luminex (comunicado del comprador, anexo 99.1 al 8-K de Luminex)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 Luminex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https://www.sec.gov/Archives/edgar/data/1033905/000119312521112358/d147771dex991.htm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Corporation, formulario 10-K de 2020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https://data.sec.gov/api/xbrl/companyfacts/CIK0001033905.json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GenMark Diagnostics (comunicado, anexo 99.1 al SC TO-C)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 GenMark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https://www.sec.gov/Archives/edgar/data/1487371/000119312521080479/d101048dex991.htm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Diagnostics, formulario 10-K de 2020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https://data.sec.gov/api/xbrl/companyfacts/CIK0001487371.json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QIAGEN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https://www.sec.gov/Archives/edgar/data/97745/000110465920028172/tm2011538d1_ex99-1.htm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increases offer price for QIAGEN to EUR 43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https://www.sec.gov/Archives/edgar/data/97745/000110465920083943/tm2024968d1_ex99-1.htm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10-K del ejercicio a septiembre de 2025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https://data.sec.gov/api/xbrl/companyfacts/CIK0000859737.json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8-K de cierre de la fusión (apartado 2.01)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https://www.sec.gov/Archives/edgar/data/859737/000119312526144632/d135035d8k.htm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to acquire Exact Sciences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formulario 10-K de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índice de presentaciones: 8-K de cierre de la fusión (apartado 2.01) y formulario 25 del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LCD L39001 MolDX: Multiplex Nucleic Acid Amplification Test (NAAT) Panels for Infectious Disease Testing (revisión R6, en vigor desde el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Medicare Coverage Database (Noridian / MolDX)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https://www.cms.gov/medicare-coverage-database/view/lcd.aspx?lcdid=39001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13 oct 2026.</w:t>
      </w:r>
    </w:p>
    <w:p>
      <w:pPr>
        <w:pStyle w:val="Nota"/>
        <w:spacing w:after="100"/>
      </w:pPr>
      <w:r>
        <w:t xml:space="preserve">Precio: cierre del 7 de octubre de 2026 (80,75 EUR), porque la sesión del 8 no había cerrado al empezar el análisis; Yahoo trae vacía la barra diaria del 7 de octubre, así que el precio sale de su cierre anterior y de MarketScreener, y las rentabilidades, betas y volatilidad llegan hasta el 6 de octubre. Acciones (118,545 M diluidas) y caja del puente son de la misma fecha, 30 de junio de 2026: no hubo recompras declaradas después de abril. Las participaciones no consolidadas (incluida Oxford Nanopore) van a su valor razonable del 30 de junio. El EBITDA del informe es el resultado operativo publicado más amortizaciones, con los deterioros y la reestructuración devueltos como no recurrentes; difiere del EBITDA propio de la empresa en 12 M en 2025. Los resultados por segmento solo existen desde 2022 con la definición vigente. No hay transcripciones gratuitas de las conferencias: la lectura de la dirección sale de los comunicados y presentaciones. Los comparables y transacciones están convertidos a EUR con el tipo del BCE del 7 de octubre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bioMérieux S.A. (BIM)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68.86</c:v>
                </c:pt>
                <c:pt idx="5">
                  <c:v>61.51</c:v>
                </c:pt>
                <c:pt idx="6">
                  <c:v>86.75</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22.75</c:v>
                </c:pt>
                <c:pt idx="5">
                  <c:v>28.32</c:v>
                </c:pt>
                <c:pt idx="6">
                  <c:v>19.47</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Aplicaciones clínicas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2663.5</c:v>
                </c:pt>
                <c:pt idx="1">
                  <c:v>2883.7</c:v>
                </c:pt>
                <c:pt idx="2">
                  <c:v>3040.1</c:v>
                </c:pt>
                <c:pt idx="3">
                  <c:v>3099.4</c:v>
                </c:pt>
                <c:pt idx="4">
                  <c:v>3373.8</c:v>
                </c:pt>
                <c:pt idx="5">
                  <c:v>3430.8</c:v>
                </c:pt>
              </c:numCache>
            </c:numRef>
          </c:val>
        </c:ser>
        <c:ser>
          <c:idx val="1"/>
          <c:order val="1"/>
          <c:tx>
            <c:strRef>
              <c:f>Hoja1!$C$1</c:f>
              <c:strCache>
                <c:ptCount val="1"/>
                <c:pt idx="0">
                  <c:v>Aplicaciones industriales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454.6</c:v>
                </c:pt>
                <c:pt idx="1">
                  <c:v>492.5</c:v>
                </c:pt>
                <c:pt idx="2">
                  <c:v>549</c:v>
                </c:pt>
                <c:pt idx="3">
                  <c:v>575.3</c:v>
                </c:pt>
                <c:pt idx="4">
                  <c:v>606</c:v>
                </c:pt>
                <c:pt idx="5">
                  <c:v>638.9</c:v>
                </c:pt>
              </c:numCache>
            </c:numRef>
          </c:val>
        </c:ser>
        <c:ser>
          <c:idx val="2"/>
          <c:order val="2"/>
          <c:tx>
            <c:strRef>
              <c:f>Hoja1!$D$1</c:f>
              <c:strCache>
                <c:ptCount val="1"/>
                <c:pt idx="0">
                  <c:v>Otros (no asignado)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Aplicaciones clínicas</c:v>
                </c:pt>
                <c:pt idx="1">
                  <c:v>Aplicaciones industriales</c:v>
                </c:pt>
                <c:pt idx="2">
                  <c:v>Otros (no asignado)</c:v>
                </c:pt>
              </c:strCache>
            </c:strRef>
          </c:cat>
          <c:val>
            <c:numRef>
              <c:f>Hoja1!$B$2:$B$4</c:f>
              <c:numCache>
                <c:formatCode>General</c:formatCode>
                <c:ptCount val="3"/>
                <c:pt idx="0">
                  <c:v>84.3</c:v>
                </c:pt>
                <c:pt idx="1">
                  <c:v>15.7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Europa, Oriente Medio y África</c:v>
                </c:pt>
                <c:pt idx="2">
                  <c:v>Asia-Pacífico</c:v>
                </c:pt>
                <c:pt idx="3">
                  <c:v>Latinoamérica</c:v>
                </c:pt>
              </c:strCache>
            </c:strRef>
          </c:cat>
          <c:val>
            <c:numRef>
              <c:f>Hoja1!$B$2:$B$5</c:f>
              <c:numCache>
                <c:formatCode>0"%"</c:formatCode>
                <c:ptCount val="4"/>
                <c:pt idx="0">
                  <c:v>45.4</c:v>
                </c:pt>
                <c:pt idx="1">
                  <c:v>32.3</c:v>
                </c:pt>
                <c:pt idx="2">
                  <c:v>15.6</c:v>
                </c:pt>
                <c:pt idx="3">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bioMérieux</c:v>
                </c:pt>
                <c:pt idx="1">
                  <c:v>Roche (división Diagnostics)</c:v>
                </c:pt>
                <c:pt idx="2">
                  <c:v>Danaher (segmento Diagnostics: Cepheid, Beckman Coulter, Radiometer, Leica)</c:v>
                </c:pt>
                <c:pt idx="3">
                  <c:v>Abbott (Diagnostic Products)</c:v>
                </c:pt>
                <c:pt idx="4">
                  <c:v>Thermo Fisher (Specialty Diagnostics)</c:v>
                </c:pt>
                <c:pt idx="5">
                  <c:v>Becton Dickinson (Diagnostic Solutions)</c:v>
                </c:pt>
                <c:pt idx="6">
                  <c:v>QuidelOrtho</c:v>
                </c:pt>
                <c:pt idx="7">
                  <c:v>Qiagen</c:v>
                </c:pt>
              </c:strCache>
            </c:strRef>
          </c:cat>
          <c:val>
            <c:numRef>
              <c:f>Hoja1!$B$2:$B$9</c:f>
              <c:numCache>
                <c:formatCode>0.0"%"</c:formatCode>
                <c:ptCount val="8"/>
                <c:pt idx="0">
                  <c:v>17</c:v>
                </c:pt>
                <c:pt idx="1">
                  <c:v>7.7</c:v>
                </c:pt>
                <c:pt idx="2">
                  <c:v>26.7</c:v>
                </c:pt>
                <c:pt idx="3">
                  <c:v>19.5</c:v>
                </c:pt>
                <c:pt idx="4">
                  <c:v>26.9</c:v>
                </c:pt>
                <c:pt idx="5">
                  <c:v>31.8</c:v>
                </c:pt>
                <c:pt idx="6">
                  <c:v>-33.7</c:v>
                </c:pt>
                <c:pt idx="7">
                  <c:v>22.3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2674.8</c:v>
                </c:pt>
                <c:pt idx="1">
                  <c:v>3118.2</c:v>
                </c:pt>
                <c:pt idx="2">
                  <c:v>3376.2</c:v>
                </c:pt>
                <c:pt idx="3">
                  <c:v>3589.1</c:v>
                </c:pt>
                <c:pt idx="4">
                  <c:v>3674.7</c:v>
                </c:pt>
                <c:pt idx="5">
                  <c:v>3979.9</c:v>
                </c:pt>
                <c:pt idx="6">
                  <c:v>4069.8</c:v>
                </c:pt>
                <c:pt idx="7">
                  <c:v>4090</c:v>
                </c:pt>
                <c:pt idx="8">
                  <c:v>4274</c:v>
                </c:pt>
                <c:pt idx="9">
                  <c:v>4467</c:v>
                </c:pt>
                <c:pt idx="10">
                  <c:v>4690</c:v>
                </c:pt>
                <c:pt idx="11">
                  <c:v>4924</c:v>
                </c:pt>
                <c:pt idx="12">
                  <c:v>5146</c:v>
                </c:pt>
                <c:pt idx="13">
                  <c:v>5352</c:v>
                </c:pt>
                <c:pt idx="14">
                  <c:v>5539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578.1</c:v>
                </c:pt>
                <c:pt idx="1">
                  <c:v>823.3000000000001</c:v>
                </c:pt>
                <c:pt idx="2">
                  <c:v>1032.2</c:v>
                </c:pt>
                <c:pt idx="3">
                  <c:v>864.2</c:v>
                </c:pt>
                <c:pt idx="4">
                  <c:v>827.5</c:v>
                </c:pt>
                <c:pt idx="5">
                  <c:v>913.9</c:v>
                </c:pt>
                <c:pt idx="6">
                  <c:v>972</c:v>
                </c:pt>
                <c:pt idx="7">
                  <c:v>953</c:v>
                </c:pt>
                <c:pt idx="8">
                  <c:v>1022</c:v>
                </c:pt>
                <c:pt idx="9">
                  <c:v>1090</c:v>
                </c:pt>
                <c:pt idx="10">
                  <c:v>1163</c:v>
                </c:pt>
                <c:pt idx="11">
                  <c:v>1236</c:v>
                </c:pt>
                <c:pt idx="12">
                  <c:v>1302</c:v>
                </c:pt>
                <c:pt idx="13">
                  <c:v>1359</c:v>
                </c:pt>
                <c:pt idx="14">
                  <c:v>1412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54.8</c:v>
                </c:pt>
                <c:pt idx="1">
                  <c:v>56.2</c:v>
                </c:pt>
                <c:pt idx="2">
                  <c:v>58.2</c:v>
                </c:pt>
                <c:pt idx="3">
                  <c:v>56</c:v>
                </c:pt>
                <c:pt idx="4">
                  <c:v>56</c:v>
                </c:pt>
                <c:pt idx="5">
                  <c:v>55.7</c:v>
                </c:pt>
                <c:pt idx="6">
                  <c:v>56.7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21.6</c:v>
                </c:pt>
                <c:pt idx="1">
                  <c:v>26.4</c:v>
                </c:pt>
                <c:pt idx="2">
                  <c:v>30.6</c:v>
                </c:pt>
                <c:pt idx="3">
                  <c:v>24.1</c:v>
                </c:pt>
                <c:pt idx="4">
                  <c:v>22.5</c:v>
                </c:pt>
                <c:pt idx="5">
                  <c:v>23</c:v>
                </c:pt>
                <c:pt idx="6">
                  <c:v>23.9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19.1</c:v>
                </c:pt>
                <c:pt idx="2">
                  <c:v>23.2</c:v>
                </c:pt>
                <c:pt idx="3">
                  <c:v>17.2</c:v>
                </c:pt>
                <c:pt idx="4">
                  <c:v>15.5</c:v>
                </c:pt>
                <c:pt idx="5">
                  <c:v>16</c:v>
                </c:pt>
                <c:pt idx="6">
                  <c:v>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10.2</c:v>
                </c:pt>
                <c:pt idx="1">
                  <c:v>13</c:v>
                </c:pt>
                <c:pt idx="2">
                  <c:v>17.8</c:v>
                </c:pt>
                <c:pt idx="3">
                  <c:v>12.6</c:v>
                </c:pt>
                <c:pt idx="4">
                  <c:v>9.7</c:v>
                </c:pt>
                <c:pt idx="5">
                  <c:v>10.9</c:v>
                </c:pt>
                <c:pt idx="6">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7.4</c:v>
                </c:pt>
                <c:pt idx="1">
                  <c:v>9.1</c:v>
                </c:pt>
                <c:pt idx="2">
                  <c:v>7.5</c:v>
                </c:pt>
                <c:pt idx="3">
                  <c:v>-2.5</c:v>
                </c:pt>
                <c:pt idx="4">
                  <c:v>-3.9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9.9</c:v>
                </c:pt>
                <c:pt idx="1">
                  <c:v>10.7</c:v>
                </c:pt>
                <c:pt idx="2">
                  <c:v>9.4</c:v>
                </c:pt>
                <c:pt idx="3">
                  <c:v>3.3</c:v>
                </c:pt>
                <c:pt idx="4">
                  <c:v>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75</c:v>
                </c:pt>
                <c:pt idx="1">
                  <c:v>70</c:v>
                </c:pt>
                <c:pt idx="2">
                  <c:v>64</c:v>
                </c:pt>
                <c:pt idx="3">
                  <c:v>75</c:v>
                </c:pt>
                <c:pt idx="4">
                  <c:v>72</c:v>
                </c:pt>
                <c:pt idx="5">
                  <c:v>73</c:v>
                </c:pt>
                <c:pt idx="6">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c:v>
                </c:pt>
                <c:pt idx="1">
                  <c:v>145</c:v>
                </c:pt>
                <c:pt idx="2">
                  <c:v>164</c:v>
                </c:pt>
                <c:pt idx="3">
                  <c:v>170</c:v>
                </c:pt>
                <c:pt idx="4">
                  <c:v>205</c:v>
                </c:pt>
                <c:pt idx="5">
                  <c:v>215</c:v>
                </c:pt>
                <c:pt idx="6">
                  <c:v>199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64</c:v>
                </c:pt>
                <c:pt idx="1">
                  <c:v>55</c:v>
                </c:pt>
                <c:pt idx="2">
                  <c:v>62</c:v>
                </c:pt>
                <c:pt idx="3">
                  <c:v>62</c:v>
                </c:pt>
                <c:pt idx="4">
                  <c:v>60</c:v>
                </c:pt>
                <c:pt idx="5">
                  <c:v>56</c:v>
                </c:pt>
                <c:pt idx="6">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108.79999999999998</c:v>
                </c:pt>
                <c:pt idx="1">
                  <c:v>274.79999999999995</c:v>
                </c:pt>
                <c:pt idx="2">
                  <c:v>491</c:v>
                </c:pt>
                <c:pt idx="3">
                  <c:v>159.80000000000004</c:v>
                </c:pt>
                <c:pt idx="4">
                  <c:v>77.79999999999997</c:v>
                </c:pt>
                <c:pt idx="5">
                  <c:v>288.49999999999994</c:v>
                </c:pt>
                <c:pt idx="6">
                  <c:v>424.09999999999997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272.8</c:v>
                </c:pt>
                <c:pt idx="1">
                  <c:v>404.4</c:v>
                </c:pt>
                <c:pt idx="2">
                  <c:v>601.1</c:v>
                </c:pt>
                <c:pt idx="3">
                  <c:v>452.4</c:v>
                </c:pt>
                <c:pt idx="4">
                  <c:v>357.6</c:v>
                </c:pt>
                <c:pt idx="5">
                  <c:v>432.2</c:v>
                </c:pt>
                <c:pt idx="6">
                  <c:v>397.5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11.2</c:v>
                </c:pt>
                <c:pt idx="1">
                  <c:v>17.8</c:v>
                </c:pt>
                <c:pt idx="2">
                  <c:v>22.4</c:v>
                </c:pt>
                <c:pt idx="3">
                  <c:v>14.5</c:v>
                </c:pt>
                <c:pt idx="4">
                  <c:v>11.2</c:v>
                </c:pt>
                <c:pt idx="5">
                  <c:v>11.5</c:v>
                </c:pt>
                <c:pt idx="6">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c:v>
                </c:pt>
                <c:pt idx="1">
                  <c:v>8.6</c:v>
                </c:pt>
                <c:pt idx="2">
                  <c:v>8.6</c:v>
                </c:pt>
                <c:pt idx="3">
                  <c:v>8.6</c:v>
                </c:pt>
                <c:pt idx="4">
                  <c:v>8.6</c:v>
                </c:pt>
                <c:pt idx="5">
                  <c:v>8.6</c:v>
                </c:pt>
                <c:pt idx="6">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c:v>
                </c:pt>
                <c:pt idx="1">
                  <c:v>17.4</c:v>
                </c:pt>
                <c:pt idx="2">
                  <c:v>21.6</c:v>
                </c:pt>
                <c:pt idx="3">
                  <c:v>13.4</c:v>
                </c:pt>
                <c:pt idx="4">
                  <c:v>9.7</c:v>
                </c:pt>
                <c:pt idx="5">
                  <c:v>10.9</c:v>
                </c:pt>
                <c:pt idx="6">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0.55</c:v>
                </c:pt>
                <c:pt idx="1">
                  <c:v>0.11</c:v>
                </c:pt>
                <c:pt idx="2">
                  <c:v>-0.33</c:v>
                </c:pt>
                <c:pt idx="3">
                  <c:v>-0.05</c:v>
                </c:pt>
                <c:pt idx="4">
                  <c:v>0.2</c:v>
                </c:pt>
                <c:pt idx="5">
                  <c:v>0.04</c:v>
                </c:pt>
                <c:pt idx="6">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Hasta jun-27</c:v>
                </c:pt>
                <c:pt idx="1">
                  <c:v>Jul-27 a jun-31</c:v>
                </c:pt>
                <c:pt idx="2">
                  <c:v>Jul-31+</c:v>
                </c:pt>
              </c:strCache>
            </c:strRef>
          </c:cat>
          <c:val>
            <c:numRef>
              <c:f>Hoja1!$B$2:$B$4</c:f>
              <c:numCache>
                <c:formatCode>#,##0</c:formatCode>
                <c:ptCount val="3"/>
                <c:pt idx="0">
                  <c:v>230.3</c:v>
                </c:pt>
                <c:pt idx="1">
                  <c:v>143.2</c:v>
                </c:pt>
                <c:pt idx="2">
                  <c:v>45.4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72.8</c:v>
                </c:pt>
                <c:pt idx="1">
                  <c:v>10.1</c:v>
                </c:pt>
                <c:pt idx="2">
                  <c:v>36.8</c:v>
                </c:pt>
                <c:pt idx="3">
                  <c:v>248.3</c:v>
                </c:pt>
                <c:pt idx="4">
                  <c:v>158.7</c:v>
                </c:pt>
                <c:pt idx="5">
                  <c:v>22.2</c:v>
                </c:pt>
                <c:pt idx="6">
                  <c:v>137.2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41.3</c:v>
                </c:pt>
                <c:pt idx="1">
                  <c:v>22.5</c:v>
                </c:pt>
                <c:pt idx="2">
                  <c:v>73.1</c:v>
                </c:pt>
                <c:pt idx="3">
                  <c:v>101.2</c:v>
                </c:pt>
                <c:pt idx="4">
                  <c:v>100.2</c:v>
                </c:pt>
                <c:pt idx="5">
                  <c:v>100.2</c:v>
                </c:pt>
                <c:pt idx="6">
                  <c:v>106.1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18.4</c:v>
                </c:pt>
                <c:pt idx="2">
                  <c:v>3.8</c:v>
                </c:pt>
                <c:pt idx="3">
                  <c:v>157.2</c:v>
                </c:pt>
                <c:pt idx="4">
                  <c:v>0</c:v>
                </c:pt>
                <c:pt idx="5">
                  <c:v>37.6</c:v>
                </c:pt>
                <c:pt idx="6">
                  <c:v>18.2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4</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Institut Mérieux (holding de la familia Mérieux, vía Compagnie Mérieux Alliance)</c:v>
                </c:pt>
                <c:pt idx="1">
                  <c:v>Exor N.V.</c:v>
                </c:pt>
                <c:pt idx="2">
                  <c:v>SITAM Belgique (antes GIMD, grupo Dassault)</c:v>
                </c:pt>
                <c:pt idx="3">
                  <c:v>Sofina SA</c:v>
                </c:pt>
                <c:pt idx="4">
                  <c:v>FCPE OPUS Classic (empleados)</c:v>
                </c:pt>
                <c:pt idx="5">
                  <c:v>Autocartera</c:v>
                </c:pt>
                <c:pt idx="6">
                  <c:v>Público y empleados</c:v>
                </c:pt>
              </c:strCache>
            </c:strRef>
          </c:cat>
          <c:val>
            <c:numRef>
              <c:f>Hoja1!$B$2:$B$8</c:f>
              <c:numCache>
                <c:formatCode>0.0"%"</c:formatCode>
                <c:ptCount val="7"/>
                <c:pt idx="0">
                  <c:v>59.9</c:v>
                </c:pt>
                <c:pt idx="1">
                  <c:v>3.66</c:v>
                </c:pt>
                <c:pt idx="2">
                  <c:v>3</c:v>
                </c:pt>
                <c:pt idx="3">
                  <c:v>1</c:v>
                </c:pt>
                <c:pt idx="4">
                  <c:v>0.84</c:v>
                </c:pt>
                <c:pt idx="5">
                  <c:v>0.64</c:v>
                </c:pt>
                <c:pt idx="6">
                  <c:v>32.25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57.9</c:v>
                </c:pt>
                <c:pt idx="2">
                  <c:v>-23</c:v>
                </c:pt>
                <c:pt idx="3">
                  <c:v>38</c:v>
                </c:pt>
                <c:pt idx="4">
                  <c:v>45.4</c:v>
                </c:pt>
                <c:pt idx="5">
                  <c:v>8.2</c:v>
                </c:pt>
                <c:pt idx="6">
                  <c:v>-21.6</c:v>
                </c:pt>
                <c:pt idx="7">
                  <c:v>2.7</c:v>
                </c:pt>
                <c:pt idx="8">
                  <c:v>2.9</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16.9</c:v>
                </c:pt>
                <c:pt idx="1">
                  <c:v>16.8</c:v>
                </c:pt>
                <c:pt idx="2">
                  <c:v>14.1</c:v>
                </c:pt>
                <c:pt idx="3">
                  <c:v>13.4</c:v>
                </c:pt>
                <c:pt idx="4">
                  <c:v>14.6</c:v>
                </c:pt>
                <c:pt idx="5">
                  <c:v>13.5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14.1</c:v>
                </c:pt>
                <c:pt idx="1">
                  <c:v>14.1</c:v>
                </c:pt>
                <c:pt idx="2">
                  <c:v>14.1</c:v>
                </c:pt>
                <c:pt idx="3">
                  <c:v>14.1</c:v>
                </c:pt>
                <c:pt idx="4">
                  <c:v>14.1</c:v>
                </c:pt>
                <c:pt idx="5">
                  <c:v>14.1</c:v>
                </c:pt>
                <c:pt idx="6">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bioMérieux</c:v>
                </c:pt>
                <c:pt idx="1">
                  <c:v>Qiagen</c:v>
                </c:pt>
                <c:pt idx="2">
                  <c:v>DiaSorin</c:v>
                </c:pt>
                <c:pt idx="3">
                  <c:v>Bio-Rad</c:v>
                </c:pt>
                <c:pt idx="4">
                  <c:v>QuidelOrtho</c:v>
                </c:pt>
                <c:pt idx="5">
                  <c:v>Sysmex</c:v>
                </c:pt>
              </c:strCache>
            </c:strRef>
          </c:cat>
          <c:val>
            <c:numRef>
              <c:f>Hoja1!$B$2:$B$7</c:f>
              <c:numCache>
                <c:formatCode>0.0"x"</c:formatCode>
                <c:ptCount val="6"/>
                <c:pt idx="0">
                  <c:v>8.9</c:v>
                </c:pt>
                <c:pt idx="1">
                  <c:v>12.2</c:v>
                </c:pt>
                <c:pt idx="2">
                  <c:v>11</c:v>
                </c:pt>
                <c:pt idx="3">
                  <c:v>9.5</c:v>
                </c:pt>
                <c:pt idx="4">
                  <c:v>6.7</c:v>
                </c:pt>
                <c:pt idx="5">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bioMérieux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8.9</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DiaSorin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c:v>
                </c:pt>
              </c:numCache>
            </c:numRef>
          </c:xVal>
          <c:yVal>
            <c:numRef>
              <c:f>Hoja1!$C$4</c:f>
              <c:numCache>
                <c:formatCode>0.0"x"</c:formatCode>
                <c:ptCount val="1"/>
                <c:pt idx="0">
                  <c:v>11</c:v>
                </c:pt>
              </c:numCache>
            </c:numRef>
          </c:yVal>
          <c:smooth val="0"/>
        </c:ser>
        <c:ser>
          <c:idx val="3"/>
          <c:order val="3"/>
          <c:tx>
            <c:strRef>
              <c:f>Hoja1!$A$5</c:f>
              <c:strCache>
                <c:ptCount val="1"/>
                <c:pt idx="0">
                  <c:v>Bio-Rad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c:v>
                </c:pt>
              </c:numCache>
            </c:numRef>
          </c:xVal>
          <c:yVal>
            <c:numRef>
              <c:f>Hoja1!$C$5</c:f>
              <c:numCache>
                <c:formatCode>0.0"x"</c:formatCode>
                <c:ptCount val="1"/>
                <c:pt idx="0">
                  <c:v>9.5</c:v>
                </c:pt>
              </c:numCache>
            </c:numRef>
          </c:yVal>
          <c:smooth val="0"/>
        </c:ser>
        <c:ser>
          <c:idx val="4"/>
          <c:order val="4"/>
          <c:tx>
            <c:strRef>
              <c:f>Hoja1!$A$6</c:f>
              <c:strCache>
                <c:ptCount val="1"/>
                <c:pt idx="0">
                  <c:v>QuidelOrtho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6.7</c:v>
                </c:pt>
              </c:numCache>
            </c:numRef>
          </c:yVal>
          <c:smooth val="0"/>
        </c:ser>
        <c:ser>
          <c:idx val="5"/>
          <c:order val="5"/>
          <c:tx>
            <c:strRef>
              <c:f>Hoja1!$A$7</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7.7</c:v>
                </c:pt>
              </c:numCache>
            </c:numRef>
          </c:xVal>
          <c:yVal>
            <c:numRef>
              <c:f>Hoja1!$C$7</c:f>
              <c:numCache>
                <c:formatCode>0.0"x"</c:formatCode>
                <c:ptCount val="1"/>
                <c:pt idx="0">
                  <c:v>9.7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449</c:v>
                </c:pt>
                <c:pt idx="1">
                  <c:v>377</c:v>
                </c:pt>
                <c:pt idx="2">
                  <c:v>412</c:v>
                </c:pt>
                <c:pt idx="3">
                  <c:v>464</c:v>
                </c:pt>
                <c:pt idx="4">
                  <c:v>519</c:v>
                </c:pt>
                <c:pt idx="5">
                  <c:v>576</c:v>
                </c:pt>
                <c:pt idx="6">
                  <c:v>623</c:v>
                </c:pt>
                <c:pt idx="7">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2732</c:v>
                </c:pt>
                <c:pt idx="1">
                  <c:v>6245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80,75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61.51</c:v>
                </c:pt>
                <c:pt idx="1">
                  <c:v>78.38</c:v>
                </c:pt>
                <c:pt idx="2">
                  <c:v>89.83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68.86</c:v>
                </c:pt>
                <c:pt idx="5">
                  <c:v>61.51</c:v>
                </c:pt>
                <c:pt idx="6">
                  <c:v>86.75</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22.75</c:v>
                </c:pt>
                <c:pt idx="5">
                  <c:v>28.32</c:v>
                </c:pt>
                <c:pt idx="6">
                  <c:v>19.47</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