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Taiwan Semiconductor Manufacturing Company Limited (TSMC)</w:t>
      </w:r>
    </w:p>
    <w:p>
      <w:pPr>
        <w:spacing w:after="60"/>
        <w:rPr>
          <w:color w:val="52514E"/>
          <w:sz w:val="22"/>
          <w:szCs w:val="22"/>
        </w:rPr>
      </w:pPr>
      <w:r>
        <w:rPr>
          <w:color w:val="52514E"/>
          <w:sz w:val="22"/>
          <w:szCs w:val="22"/>
        </w:rPr>
        <w:t xml:space="preserve">2330.TW · Bolsa de Taiwán (TWSE); ADR en la NYSE (TSM, 1 ADR = 5 acciones) · ISIN TW0002330008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TWD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2.420,00 TWD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2.646,48 TWD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+10,4 % (base +9,0 %)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2.196,92 TWD · mercado 2.573,86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62.755.440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Taiwan Semiconductor Manufacturing Company Limited (TSMC)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2330.TW / TW0002330008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Taiwán (TWSE); ADR en la NYSE (TSM, 1 ADR = 5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Semiconductores (fabricación por encargo)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Hsinchu (Taiwán) · 1987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90.557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www.tsmc.com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2.420,00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1.375,00 – 2.590,00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25.932,0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62.755.440 M TWD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60.016.388 M TWD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54.600 M TWD/día (22,6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2.646,48 TWD</w:t>
      </w:r>
      <w:r>
        <w:t xml:space="preserve"> frente a 2.420,00 · Rentabilidad a 12 meses </w:t>
      </w:r>
      <w:r>
        <w:rPr>
          <w:b/>
          <w:bCs/>
        </w:rPr>
        <w:t xml:space="preserve">+10,4 % (base +9,0 %)</w:t>
      </w:r>
      <w:r>
        <w:t xml:space="preserve"> · Valor intrínseco 2.196,92 TWD · con la prima implícita del mercado: 2.573,86 (+6,4 %) · Alcista / bajista +8,1 % / -53,8 %</w:t>
      </w:r>
    </w:p>
    <w:p>
      <w:pPr>
        <w:spacing w:after="100"/>
      </w:pPr>
      <w:r>
        <w:rPr>
          <w:b/>
        </w:rPr>
        <w:t xml:space="preserve">La recomendación y por qué.</w:t>
      </w:r>
      <w:r>
        <w:t xml:space="preserve"> Mantener, con convicción baja. Tras el 3T26, el valor intrínseco (síntesis del DCF, los escenarios y los comparables) es de 2.196,92 TWD, un 9,2 % por debajo del cierre de 2.420 TWD del 21-oct; el DCF solo da 1.981,33 TWD (−18,1 %). A 12 meses, con nuestra regla de múltiplos, el objetivo es de 2.646,48 TWD: +10,4 % ponderado y +9,0 % en el caso base, con dividendo, por debajo del 15 % que exigimos. Con la prima de riesgo que hoy pide el mercado (WACC del 8,2 %), el DCF sube a 2.457,81 TWD: las dos reglas discrepan, y por eso la convicción es baja.</w:t>
      </w:r>
    </w:p>
    <w:p>
      <w:pPr>
        <w:spacing w:after="100"/>
      </w:pPr>
      <w:r>
        <w:rPr>
          <w:b/>
        </w:rPr>
        <w:t xml:space="preserve">Qué ha cambiado con el 3T26 (15-oct).</w:t>
      </w:r>
      <w:r>
        <w:t xml:space="preserve"> Trimestre récord: ventas de 1.494.243 M TWD (+50,9 %; 46.720 M USD, por encima del techo de la guía), margen operativo del 58,7 % y BPA de 29,43 TWD [5]. La previsión de 2026 sube a ≈ +44 % en dólares y el capex se mantiene en 60.000-64.000 M USD [5]. Lo malo: el margen bruto baja del 67,7 % al 66,4 % por el 2 nm, y la dirección avisa de que las fábricas del extranjero lo diluirán 3-4 puntos en los próximos años [5, 20]. La acción ha caído un 6,6 % desde su máximo del 6-oct [42]. Esta vez el análisis se rehace entero con fuentes primarias (20-F y 6-K en EDGAR), no con extractos de búsqueda como el del 14-oct.</w:t>
      </w:r>
    </w:p>
    <w:p>
      <w:pPr>
        <w:spacing w:after="100"/>
      </w:pPr>
      <w:r>
        <w:rPr>
          <w:b/>
        </w:rPr>
        <w:t xml:space="preserve">El negocio.</w:t>
      </w:r>
      <w:r>
        <w:t xml:space="preserve"> TSMC fabrica por encargo los chips más avanzados del mundo: el 72,5 % de las ventas de las diez mayores fundiciones y casi todo el 3 y el 2 nm [22]. La IA (HPC) es ya el 68 % de las ventas [5]. ROIC del 46,6 % frente a un WACC del 9,64 %, y la calidad sostiene el crecimiento proyectado (veredicto: Sí).</w:t>
      </w:r>
    </w:p>
    <w:p>
      <w:pPr>
        <w:spacing w:after="100"/>
      </w:pPr>
      <w:r>
        <w:rPr>
          <w:b/>
        </w:rPr>
        <w:t xml:space="preserve">Finanzas.</w:t>
      </w:r>
      <w:r>
        <w:t xml:space="preserve"> Caja e inversiones líquidas de 4,02 billones TWD a 30-sep frente a ≈ 1,03 billones de deuda: caja neta [5, 15]. Altman Z de 17,37 y Piotroski de 9. El capex récord (35-38 % de las ventas en 2026-2027) se paga con el flujo operativo.</w:t>
      </w:r>
    </w:p>
    <w:p>
      <w:pPr>
        <w:spacing w:after="100"/>
      </w:pPr>
      <w:r>
        <w:rPr>
          <w:b/>
        </w:rPr>
        <w:t xml:space="preserve">Valoración.</w:t>
      </w:r>
      <w:r>
        <w:t xml:space="preserve"> El DCF inverso dice que el precio descuenta un crecimiento del 15,1 % anual en 2027e-2035e, frente al 11,8 % de nuestro base. Nuestro BPA de 2028e (163,20 TWD) queda un 13 % por debajo del consenso (188,2) porque recoge la dilución del margen [43]. El PER de hoy (17,6 veces nuestro BPA de 2027e) está por encima de su mediana adelantada de cinco años (14,2x): a un año, el beneficio sube y el múltiplo baja. Escenarios: 1.118,48 (bajista), 1.981,33 (base) y 2.616,47 TWD (alcista).</w:t>
      </w:r>
    </w:p>
    <w:p>
      <w:pPr>
        <w:spacing w:after="100"/>
      </w:pPr>
      <w:r>
        <w:rPr>
          <w:b/>
        </w:rPr>
        <w:t xml:space="preserve">Riesgos y catalizadores.</w:t>
      </w:r>
      <w:r>
        <w:t xml:space="preserve"> El primero, un frenazo del gasto en IA cuando entra la capacidad del capex récord; el segundo, el estrecho de Taiwán; el tercero, la dilución del margen. Catalizador: la guía de 2027 a mediados de enero.</w:t>
      </w:r>
    </w:p>
    <w:p>
      <w:pPr>
        <w:spacing w:after="100"/>
      </w:pPr>
      <w:r>
        <w:rPr>
          <w:b/>
        </w:rPr>
        <w:t xml:space="preserve">Qué cambiaría la decisión.</w:t>
      </w:r>
      <w:r>
        <w:t xml:space="preserve"> Compraríamos por debajo de 2.196,92 TWD (valor real) y venderíamos por encima de 2.969,42 TWD. La robustez sale frágil: con el BPA un 10 % más bajo la rentabilidad a 12 meses es nula, y la convicción no da para comprar por encima del límite robusto de 2.095,21 TWD.</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2.646,48 TWD</w:t>
      </w:r>
      <w:r>
        <w:t xml:space="preserve"> (rentabilidad +10,4 % (base +9,0 %)) · Valor intrínseco: 2.196,92 TWD (-9,2 % sobre 2.420,00) · con la prima implícita del mercado: 2.573,86 (+6,4 %)</w:t>
      </w:r>
    </w:p>
    <w:p>
      <w:pPr>
        <w:spacing w:after="100"/>
      </w:pPr>
      <w:r>
        <w:t xml:space="preserve">TSMC es el fabricante por encargo dominante: el 72,5 % de las diez mayores fundiciones y casi todo el 3 y el 2 nm, con un margen operativo del 58,7 % en el 3T26 y un ROIC del 46,6 % [5, 22].</w:t>
      </w:r>
    </w:p>
    <w:p>
      <w:pPr>
        <w:spacing w:after="100"/>
      </w:pPr>
      <w:r>
        <w:t xml:space="preserve">El 3T26 confirma el año (ventas +44 % en dólares), pero el precio (2.420 TWD) ya descuenta un crecimiento del 15,1 % anual durante nueve años, más que el 11,8 % de nuestro base, y la dirección avisa de que el margen bajará por las fábricas del extranjero [20].</w:t>
      </w:r>
    </w:p>
    <w:p>
      <w:pPr>
        <w:spacing w:after="100"/>
      </w:pPr>
      <w:r>
        <w:t xml:space="preserve">Para invertir hay que creer que la IA mantiene el crecimiento por encima del 20 % hasta 2028 sin que baje el margen. A 12 meses la acción rinde un 10,4 %: no basta para comprar a este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2.646,48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118,75 = 1.520,00 · 16,0x × 163,20 = 2.611,20 · 21,6x × 177,94 = 3.843,50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 /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3.387,00 (nuestro base -22,9 %)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2.196,92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 -53,8 %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9,6 %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2.573,86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(15,3 % anual proyectado; financiable al ROIC actual: 13,9 %)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2.196,92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2.196,92 y 2.969,42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2.969,42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2.196,92 TWD: pasaríamos a Comprar (por debajo de 2.095,21, compra robusta).</w:t>
      </w:r>
    </w:p>
    <w:p>
      <w:pPr>
        <w:pStyle w:val="ListParagraph"/>
        <w:numPr>
          <w:ilvl w:val="0"/>
          <w:numId w:val="2"/>
        </w:numPr>
        <w:spacing w:after="60"/>
      </w:pPr>
      <w:r>
        <w:t xml:space="preserve">Precio por encima de 2.969,42 TWD: Vender o reducir.</w:t>
      </w:r>
    </w:p>
    <w:p>
      <w:pPr>
        <w:pStyle w:val="ListParagraph"/>
        <w:numPr>
          <w:ilvl w:val="0"/>
          <w:numId w:val="2"/>
        </w:numPr>
        <w:spacing w:after="60"/>
      </w:pPr>
      <w:r>
        <w:t xml:space="preserve">Guía de 2027 con crecimiento por encima del 35 % y margen bruto estable: revisaríamos al alza el BPA.</w:t>
      </w:r>
    </w:p>
    <w:p>
      <w:pPr>
        <w:pStyle w:val="ListParagraph"/>
        <w:numPr>
          <w:ilvl w:val="0"/>
          <w:numId w:val="2"/>
        </w:numPr>
        <w:spacing w:after="60"/>
      </w:pPr>
      <w:r>
        <w:t xml:space="preserve">Ventas mensuales por debajo del +20 % interanual dos meses seguidos: revisaríamos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15,1 % anual en 2027e-2035e y un BPA de 188 TWD en 2028e (35 analistas, 34 de ellos con comprar; objetivo medio de 3.387 TWD) [43].</w:t>
      </w:r>
    </w:p>
    <w:p>
      <w:pPr>
        <w:keepNext/>
        <w:spacing w:after="100"/>
      </w:pPr>
      <w:r>
        <w:rPr>
          <w:b/>
          <w:bCs/>
        </w:rPr>
        <w:t xml:space="preserve">Lo que creemos nosotros.</w:t>
      </w:r>
    </w:p>
    <w:p>
      <w:pPr>
        <w:spacing w:after="100"/>
      </w:pPr>
      <w:r>
        <w:t xml:space="preserve">Coincidimos en 2026 (BPA de 109,51 frente a 110,2), pero esperamos un BPA de 2028e un 13 % más bajo y un PER que vuelve hacia su mediana adelantada.</w:t>
      </w:r>
    </w:p>
    <w:p>
      <w:pPr>
        <w:keepNext/>
        <w:spacing w:after="100"/>
      </w:pPr>
      <w:r>
        <w:rPr>
          <w:b/>
          <w:bCs/>
        </w:rPr>
        <w:t xml:space="preserve">Por qué podemos tener razón.</w:t>
      </w:r>
    </w:p>
    <w:p>
      <w:pPr>
        <w:spacing w:after="100"/>
      </w:pPr>
      <w:r>
        <w:t xml:space="preserve">La dirección anunció en la conferencia del 3T26 una dilución de 3-4 puntos del margen bruto por las fábricas del extranjero, que el consenso no recoge del todo [20]; y el capex récord de 2026-2028 sube la amortización.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TWD) · precio actual 2.42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Foso sin rival</w:t>
      </w:r>
      <w:r>
        <w:t xml:space="preserve">: 72,5 % de las diez mayores fundiciones y ROIC del 46,6 % [22].</w:t>
      </w:r>
    </w:p>
    <w:p>
      <w:pPr>
        <w:pStyle w:val="ListParagraph"/>
        <w:numPr>
          <w:ilvl w:val="0"/>
          <w:numId w:val="2"/>
        </w:numPr>
        <w:spacing w:after="60"/>
      </w:pPr>
      <w:r>
        <w:rPr>
          <w:b/>
        </w:rPr>
        <w:t xml:space="preserve">3T26 por encima de la guía</w:t>
      </w:r>
      <w:r>
        <w:t xml:space="preserve">: ventas de 46.720 M USD y margen operativo del 58,7 % [5].</w:t>
      </w:r>
    </w:p>
    <w:p>
      <w:pPr>
        <w:pStyle w:val="ListParagraph"/>
        <w:numPr>
          <w:ilvl w:val="0"/>
          <w:numId w:val="2"/>
        </w:numPr>
        <w:spacing w:after="60"/>
      </w:pPr>
      <w:r>
        <w:rPr>
          <w:b/>
        </w:rPr>
        <w:t xml:space="preserve">Caja neta</w:t>
      </w:r>
      <w:r>
        <w:t xml:space="preserve">: 4,02 billones TWD de caja e inversiones líquidas [5].</w:t>
      </w:r>
    </w:p>
    <w:p>
      <w:pPr>
        <w:pStyle w:val="ListParagraph"/>
        <w:numPr>
          <w:ilvl w:val="0"/>
          <w:numId w:val="2"/>
        </w:numPr>
        <w:spacing w:after="60"/>
      </w:pPr>
      <w:r>
        <w:rPr>
          <w:b/>
        </w:rPr>
        <w:t xml:space="preserve">PER razonable para su crecimiento</w:t>
      </w:r>
      <w:r>
        <w:t xml:space="preserve">: 17,2 veces el beneficio de los próximos 12 meses, frente a 22,3 de la mediana de comparables [49, 50, 51, 52, 53, 54, 55, 56].</w:t>
      </w:r>
    </w:p>
    <w:p>
      <w:pPr>
        <w:pStyle w:val="Heading2"/>
      </w:pPr>
      <w:r>
        <w:t xml:space="preserve">En contra</w:t>
      </w:r>
    </w:p>
    <w:p>
      <w:pPr>
        <w:pStyle w:val="ListParagraph"/>
        <w:numPr>
          <w:ilvl w:val="0"/>
          <w:numId w:val="2"/>
        </w:numPr>
        <w:spacing w:after="60"/>
      </w:pPr>
      <w:r>
        <w:rPr>
          <w:b/>
        </w:rPr>
        <w:t xml:space="preserve">Margen a la baja</w:t>
      </w:r>
      <w:r>
        <w:t xml:space="preserve">: del 67,7 % al 66,4 % en el 3T26 y 3-4 puntos de dilución del extranjero por venir [5, 20].</w:t>
      </w:r>
    </w:p>
    <w:p>
      <w:pPr>
        <w:pStyle w:val="ListParagraph"/>
        <w:numPr>
          <w:ilvl w:val="0"/>
          <w:numId w:val="2"/>
        </w:numPr>
        <w:spacing w:after="60"/>
      </w:pPr>
      <w:r>
        <w:rPr>
          <w:b/>
        </w:rPr>
        <w:t xml:space="preserve">Capex récord</w:t>
      </w:r>
      <w:r>
        <w:t xml:space="preserve">: 60.000-64.000 M USD en 2026 y más en 2027-2028 [5, 33].</w:t>
      </w:r>
    </w:p>
    <w:p>
      <w:pPr>
        <w:pStyle w:val="ListParagraph"/>
        <w:numPr>
          <w:ilvl w:val="0"/>
          <w:numId w:val="2"/>
        </w:numPr>
        <w:spacing w:after="60"/>
      </w:pPr>
      <w:r>
        <w:rPr>
          <w:b/>
        </w:rPr>
        <w:t xml:space="preserve">Riesgo del estrecho de Taiwán</w:t>
      </w:r>
      <w:r>
        <w:t xml:space="preserve">: más del 90 % de la capacidad está en la isla.</w:t>
      </w:r>
    </w:p>
    <w:p>
      <w:pPr>
        <w:pStyle w:val="ListParagraph"/>
        <w:numPr>
          <w:ilvl w:val="0"/>
          <w:numId w:val="2"/>
        </w:numPr>
        <w:spacing w:after="60"/>
      </w:pPr>
      <w:r>
        <w:rPr>
          <w:b/>
        </w:rPr>
        <w:t xml:space="preserve">Rentabilidad a 12 meses del 10,4 %</w:t>
      </w:r>
      <w:r>
        <w:t xml:space="preserve">, por debajo del 15 %, y valor intrínseco un 9,2 % bajo el precio.</w:t>
      </w:r>
    </w:p>
    <w:p>
      <w:pPr>
        <w:pStyle w:val="Heading2"/>
      </w:pPr>
      <w:r>
        <w:t xml:space="preserve">Qué tiene que pasar para que la tesis funcione</w:t>
      </w:r>
    </w:p>
    <w:p>
      <w:pPr>
        <w:spacing w:after="100"/>
      </w:pPr>
      <w:r>
        <w:t xml:space="preserve">La tesis depende de que el crecimiento de 2027 supere el 30 % sin que el margen bruto caiga por debajo del 62 %. La señal de que no se cumple: ventas mensuales con crecimiento interanual por debajo del 20 % o días de inventario por encima de 95.</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ventas mensuales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indicador del ciclo de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dilución del extranjero y el 2 nm.</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inventario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exceso de capacidad.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60.000-64.000 M USD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90.000 M USD sin contratos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sobreinversión.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 / 11,2x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24,6x / 17,2x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TSMC se fundó en 1987 en Hsinchu como empresa conjunta del Estado taiwanés y de inversores privados, y fue la primera fundición pura: fabrica los chips que diseñan otros y no compite con sus clientes [1, 5]. Cotiza en Taiwán desde 1994 y en Nueva York desde 1997 [1]. La neutralidad frente a sus clientes y una inversión que hoy supera el billón de TWD al año (1,27 billones en 2025) [1] la convirtieron en el único fabricante de volumen de los nodos punteros. Desde 2020 la geopolítica la obliga a producir fuera: Arizona (2020), Kumamoto con Sony, DENSO y Toyota (2021) y Dresde con Bosch, Infineon y NXP (2023) [1]. C. C. Wei, consejero delegado desde junio de 2018, es también presidente desde junio de 2024 [1]. La IA ha cambiado su mezcla: la computación de alto rendimiento pasó del 37 % de las ventas en 2021 al 58 % en 2025 [1, 2] y al 68 % en el 3T26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(21 de febrero) como empresa conjunta del Estado taiwanés e inversores privados; primera fundición dedicada del mundo [1,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Taiwán (5 de septiembre); el ADR cotiza en la NYSE desde el 8 de octubre de 1997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 C. Wei, consejero delegado (junio); la fábrica de Nankín empieza a producir en abril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TSMC Arizona (Fab 21, Phoenix), primera fábrica de nodos avanzados en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JASM en Kumamoto (Japón); entran Sony (&lt;20 %), DENSO (&gt;10 %) y, en 2024, Toyota; TSMC tiene el 72,6 %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ESMC en Dresde; Bosch, Infineon y NXP toman un 10 % cada una; TSMC conserva el 70 %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Wei suma la presidencia (junio). Arizona y Kumamoto entran en producción en volumen a final de año; ayuda de la ley CHIPS de hasta 6.600 M USD y préstamos de hasta 5.000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nodo de 2 nm entra en producción en volumen; ventas de 3,81 billones TWD (+31,6 %) y margen bruto del 59,9 %; EE. UU. impone un arancel del 25 % a ciertos chips avanzados importados (Sección 232)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comercial EE. UU.-Taiwán que limita el arancel recíproco al 15 % (enero) [1]. 3T26: ventas de 1,49 billones TWD (+50,9 %), 2 nm ya el 8 % de los ingresos por obleas y guía de crecimiento de ≈44 % en USD para el año; empresa conjunta con Sony en sensores de imagen (agosto) [5,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TSMC fabrica en obleas de silicio los chips que diseñan sus clientes: Nvidia, Apple, AMD, Broadcom, Qualcomm, MediaTek y los hiperescaladores con chips propios. En 2025 usó 305 tecnologías de proceso para fabricar 12.682 productos de 534 clientes [5]. La fabricación de obleas fue el 86 % de las ventas de 2025; el resto es encapsulado y pruebas (incluido el encapsulado avanzado CoWoS de los aceleradores de IA), máscaras, diseño y regalías [1]. En el 3T26 los nodos de 7 nm o menos fueron el 79 % de los ingresos por obleas: 2 nm 8 %, 3 nm 33 %, 5 nm 28 % y 7 nm 10 % [5, 6]. Por plataforma, la computación de alto rendimiento (HPC: aceleradores de IA, CPU de servidor) pesó el 68 % y los móviles el 21 % [6]. Tiene más de 17 millones de obleas de 12 pulgadas equivalentes de capacidad anual, casi toda en Taiwán, y fábricas en Nankín, Arizona, Kumamoto y (en obra) Dresde [1].</w:t>
      </w:r>
    </w:p>
    <w:p>
      <w:pPr>
        <w:pStyle w:val="Heading2"/>
      </w:pPr>
      <w:r>
        <w:t xml:space="preserve">Cómo gana dinero</w:t>
      </w:r>
    </w:p>
    <w:p>
      <w:pPr>
        <w:spacing w:after="100"/>
      </w:pPr>
      <w:r>
        <w:t xml:space="preserve">Cobra por oblea a precios que fija por periodos con cada cliente y que suben con cada nodo [1]. En 2025 las ventas crecieron un 31,6 % con solo un 15 % más de obleas (15 millones frente a 13): el resto fue precio medio y mezcla hacia 7 nm o menos [1]. El coste es sobre todo amortización (688.096 M TWD en 2025, el 18 % de las ventas) [1], así que el margen depende de llenar las fábricas: la empresa cita como factores la utilización, el precio, la mejora de costes, la mezcla y el tipo de cambio, y avisa de que cada nodo nuevo resta margen el año en que arranca [1]. El margen bruto subió del 56,1 % en 2024 al 59,9 % en 2025 [1] y al 66,4 % en el 3T26, algo por debajo del récord del 2T26 (67,7 %) por el arranque del 2 nm [6]. Un TWD más fuerte resta margen: casi todo se factura en USD. No hay estacionalidad marcada desde que HPC supera a los móviles.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Computación de alto rendimiento (HPC)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2.192.931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Smartphone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1.110.816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Internet de las cosas (IoT)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Automoción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186.667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Electrónica de consumo digital (DCE)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Computación de alto rendimiento (HPC)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587.780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934.769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1.476.891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2.192.931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Smartphone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695.091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888.879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814.914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1.005.130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1.110.816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Internet de las cosas (IoT)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Automoción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139.323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186.667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Electrónica de consumo digital (DCE)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y creciente: los diez primeros clientes fueron el 70 % de las ventas en 2023, el 76 % en 2024 y el 78 % en 2025 [1]. Dos superan el 10 %: el «cliente A» (19 % en 2025, 12 % en 2024 y menos del 10 % en 2023, el perfil de Nvidia) y el «cliente B» (17 % en 2025, 22 % en 2024 y 25 % en 2023, el de Apple); TSMC no publica los nombres [1]. El reparto geográfico es por la sede del cliente, no por destino del envío: Norteamérica pasó del 68 % en 2023 al 75 % en 2025 y China bajó del 12 % al 9 % por los controles de exportación [1]. No hay contratos de volumen a largo plazo: los pedidos son a corto plazo, pero algunos clientes pagan anticipos para reservar capacidad [1]. El poder de precios se ve en las cuentas: el margen bruto subió 10,3 puntos entre 2024 y el 3T26 pese a la dilución de Arizona y del 2 nm [1,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HPC en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HPC +22 % trimestral; 58 % en el conjunto de 2025 y 37 % en 2021 [1, 2, 6,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7 nm o menos en ingresos por obleas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nm 33 %, 5 nm 28 %, 7 nm 10 % en el 3T26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2 nm en ingresos por obleas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en volumen en 2025; la empresa espera una subida «empinada» en el 4T26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Obleas enviadas (miles, 12 pulgadas equivalentes)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4.476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trimestral; +9,6 %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en USD crecieron un 41,2 % interanual: casi todo es precio y mezcla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Dentro de la guía (65-67 %); guía del 4T26: 65-67 % con 31,8 TWD/USD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60,3 %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la guía (56-58 %); guía del 4T26: 56,5-58,5 %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inventario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días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de 427.750 M TWD; 74 días en el 3T25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mensuales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514.806 M TWD (agosto 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511.857 M TWD (septiembre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 mensual; +54,6 %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Enero-septiembre: 3.898.727 M TWD, +41,1 %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fabricación de chips por encargo. Hay dos medidas. La estricta, de TrendForce, suma las diez mayores fundiciones puras: 169.500 M USD en 2025 (+26,3 %) [23] y 53.490 M USD en el 2T26 (+11,5 % trimestral) [22]. La amplia, «Foundry 2.0» de Counterpoint (la definición que usa la propia TSMC), añade fabricantes integrados sin memoria, encapsulado y pruebas, y máscaras: 320.000 M USD en 2025 (+16 %) [24] y 96.600 M USD en el 2T26 (+25 % interanual) [25]. Usamos la estricta para la cuota (TSMC, 72,5 %) porque es donde compite con fábricas de obleas, y la amplia para la serie, porque es la única con previsión y porque TSMC gana cada vez más en encapsulado. Mercado mundial.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169.500 M USD en 2025 las diez mayores fundiciones (≈ 5,27 billones TWD a 31,11 TWD/USD) [1, 23]; 320.000 M USD en 2025 en la definición amplia «Foundry 2.0»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mercado «Foundry 2.0» (Counterpoint))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centros de datos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HPC pasó del 37 % de las ventas de TSMC en 2021 al 58 % en 2025 y al 68 % en el 3T26 [1, 2, 6]; TSMC prevé que sus ingresos por aceleradores de IA crezcan a una tasa anual del 55-59 % en 2024-2029 [31], y Wei dijo en el 3T26 que «probablemente será más»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a 3 y 2 nm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nodos de 7 nm o menos pasaron del 77 % al 79 % de los ingresos por obleas en un trimestre y el 2 nm del 3 % al 8 % [5, 8]; cada nodo nuevo se cobra más caro.</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Encapsulado avanzado (CoWoS)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Counterpoint estima que la demanda de CoWoS supera a la oferta de TSMC en ≈20 % en 2026 y en ≈10 % en 2027, y que la capacidad del sector crecerá ≈80 % en 2026 [24,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móviles y PC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 TSMC en móviles cayeron un 8 % en 2023 [2]; TrendForce avisa de que la subida del precio de la memoria puede frenar los aparatos de gama media en el 2S26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política industrial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del 25 % a ciertos chips avanzados importados (Sección 232, diciembre de 2025) y dos investigaciones de la Sección 301 que incluyen a Taiwán (marzo de 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Sustitución de importaciones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bajó del 12 % al 9 % de las ventas de TSMC entre 2023 y 2025 [1]; SMIC creció un 16 % en 2025 y un 36 % interanual en el 2T26 [24, 25].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 tiene el 72,5 % de los ingresos de las diez mayores y el segundo, Samsung, el 5,9 % [22]. Intel Foundry facturó solo 307 M USD a clientes externos en 2025 con un margen operativo del −58 % [30]. La rivalidad es real solo en nodos maduros.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diez primeros clientes son el 78 % de las ventas y dos de ellos el 36 % [1]; pero no tienen alternativa en nodos punteros: el margen bruto de TSMC subió 10,3 puntos entre 2024 y el 3T26 [1,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del equipo viene de muy pocos fabricantes y algunos materiales de un solo proveedor [1]; la litografía EUV tiene un solo fabricante. TSMC compensa con su tamaño de comprador y el desarrollo conjunto de equipos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 invirtió 40.895 M USD en 2025 y presupuesta 60.000-64.000 M USD en 2026 [1, 20]; Intel perdió 10.318 M USD en su fundición en 2025 intentándolo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al silicio avanzado a medio plazo. Sí aparecen alternativas en encapsulado (EMIB de Intel, adoptado para un TPU de Google; memoria apilada de Qualcomm) y las empresas de encapsulado se convierten en segunda fuente [25].</w:t>
            </w:r>
          </w:p>
        </w:tc>
      </w:tr>
    </w:tbl>
    <w:p>
      <w:pPr>
        <w:spacing w:after="160" w:before="0"/>
      </w:pPr>
    </w:p>
    <w:p>
      <w:pPr>
        <w:pStyle w:val="Heading2"/>
      </w:pPr>
      <w:r>
        <w:t xml:space="preserve">Ciclo</w:t>
      </w:r>
    </w:p>
    <w:p>
      <w:pPr>
        <w:spacing w:after="100"/>
      </w:pPr>
      <w:r>
        <w:t xml:space="preserve">Lo indican las ventas mensuales de TSMC (+54,6 % interanual en septiembre y +41,1 % en enero-septiembre) [7], el mercado «Foundry 2.0» (+23 % interanual en el 1T26 y +25 % en el 2T26) [25, 26] y unos días de inventario que bajan (de 87 a 82) [6]. En 2020 el sector creció (TSMC, +25,2 %) [4]; en 2022-23 el ajuste de inventarios recortó las ventas de TSMC un 4,5 % en 2023 [1]. No se ha verificado la caída de 2008-09 en fuentes primarias. Es el tercer año de expansión por la IA: el riesgo es un exceso de capacidad tras capex récord.</w:t>
      </w:r>
    </w:p>
    <w:p>
      <w:pPr>
        <w:pStyle w:val="Heading2"/>
      </w:pPr>
      <w:r>
        <w:t xml:space="preserve">Regulación</w:t>
      </w:r>
    </w:p>
    <w:p>
      <w:pPr>
        <w:spacing w:after="100"/>
      </w:pPr>
      <w:r>
        <w:t xml:space="preserve">En EE. UU., la Sección 232 terminó en diciembre de 2025 con un arancel del 25 % a ciertos chips avanzados importados salvo uso designado en el país, y anuncia aranceles más amplios con compensación para quien fabrique allí [1]. En enero de 2026, el acuerdo EE. UU.-Taiwán limitó el arancel recíproco al 15 % y dio trato preferente en la Sección 232 a quien invierta en EE. UU.; en marzo de 2026 se abrieron dos investigaciones de la Sección 301 que incluyen a Taiwán [1]. Los controles de exportación de 2022-2023 limitan la venta de nodos avanzados a China [1]. La ley CHIPS concede a TSMC Arizona hasta 6.600 M USD y préstamos de hasta 5.000 M USD [1]. En Taiwán, tasa de carbono desde 2026 [1].</w:t>
      </w:r>
    </w:p>
    <w:p>
      <w:pPr>
        <w:pStyle w:val="Heading2"/>
      </w:pPr>
      <w:r>
        <w:t xml:space="preserve">Tendencias y disrupción</w:t>
      </w:r>
    </w:p>
    <w:p>
      <w:pPr>
        <w:spacing w:after="100"/>
      </w:pPr>
      <w:r>
        <w:t xml:space="preserve">Tres. Primera, la demanda se concentra en aceleradores de IA, CPU de servidor y chips de red, todos en 3 y 2 nm, donde TSMC fabrica casi sola; los chips propios de los hiperescaladores también se fabrican en TSMC (MediaTek gana cuota en los TPU de Google) [26]. Segunda, el cuello de botella pasa al encapsulado: ASE y Amkor crecen más del 20 % como segunda fuente y aparecen alternativas al CoWoS [25]; TSMC gana con ello pero comparte parte del valor. Tercera, la geopolítica: más fábricas fuera de Taiwán, con un margen bruto que la propia TSMC ve diluirse ≈2 puntos en 2026 y 3-4 puntos en los próximos años [20], y China que se abastece en SMIC [24].</w:t>
      </w:r>
    </w:p>
    <w:p>
      <w:pPr>
        <w:pStyle w:val="Heading1"/>
      </w:pPr>
      <w:r>
        <w:t xml:space="preserve">4. Posición competitiva y foso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fabricación de chips por encargo: 72,5 % de los ingresos de las diez mayores fundiciones en el 2T26 (70,4 % en el 4T25) [22, 23] y ≈42 % del mercado amplio «Foundry 2.0» (38 % en 2025) [25]. En nodos de 3 y 2 nm es prácticamente el único fabricante de volumen.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Foundry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005930.KS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del mundo: 3.260 M USD en el 2T26 (+1,8 % trimestral) [22]. Samsung no publica las cuentas de la fundición por separado; TrendForce dice que volvió a beneficios en el 4T25 con el 2 nm y las bases de HBM4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0981.HK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290.157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9.326,8 M USD en 2025 (+16,2 %) y beneficio operativo de 1.109,9 M USD [29]. Crece con la sustitución de importaciones china (+36 % interanual en el 2T26) [25]; sin acceso a EUV.</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UMC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2303.TW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237.553 M TWD en 2025 y beneficio operativo de 43.949 M TWD [27]. Nodos maduros (28 nm y superiores); gana con chips de potencia y fotónica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GlobalFoundries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GFS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6.791 M USD en 2025 y beneficio operativo de 797 M USD [28]. Especialidad y nodos maduros; crece en fotónica de silicio para redes de IA, pero lo frenan automoción y móviles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Intel Foundry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554.567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17.826 M USD en 2025, casi todas a la propia Intel (externas, 307 M USD), y pérdida operativa de 10.318 M USD [30]. Intel reconoce a TSMC como su principal competidor en nodos punteros [30]; su encapsulado EMIB entra en un TPU de Google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Ecosistema de diseño (Open Innovation Platform desde 2008: bibliotecas, propiedad intelectual y herramientas de diseño para cada nodo) que se enriquece con cada cliente [2]; no es un efecto de red clásico.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nodo necesita su propia infraestructura de diseño [1]: cambiar de fábrica exige rediseñar el chip. Pese a sus 18A y a la ayuda pública, Intel solo facturó 307 M USD a terceros en 2025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 tecnologías de proceso en 2025 [3]; 2 nm en volumen desde 2025 y 16 Å (A16) en producción de riesgo en 2026 [1]. El saber hacer en rendimientos es lo que Samsung e Intel no igualan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50,8 % en 2025 [1] frente al 18,5 % de UMC, el 11,9 % de SMIC, el 11,7 % de GlobalFoundries y el −58 % de Intel Foundry [13-16].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17 millones de obleas de capacidad anual e inversión de 40.895 M USD en 2025 [1], más que las ventas de SMIC, UMC y GlobalFoundries juntas (≈23.700 M USD) [13-15].</w:t>
            </w:r>
          </w:p>
        </w:tc>
      </w:tr>
    </w:tbl>
    <w:p>
      <w:pPr>
        <w:spacing w:after="160" w:before="0"/>
      </w:pPr>
    </w:p>
    <w:p>
      <w:pPr>
        <w:pStyle w:val="Heading2"/>
      </w:pPr>
      <w:r>
        <w:t xml:space="preserve">Amenazas</w:t>
      </w:r>
    </w:p>
    <w:p>
      <w:pPr>
        <w:spacing w:after="100"/>
      </w:pPr>
      <w:r>
        <w:t xml:space="preserve">Tres, por probabilidad. Media: que la dilución de las fábricas en el extranjero pase de ≈2 a 3-4 puntos de margen bruto [20] y que la Sección 232 o la 301 obliguen a producir más en EE. UU. con menos margen [1]. Baja-media en cinco años: que Intel (18A/14A, encapsulado EMIB ya adoptado para un TPU de Google) o Samsung (2 nm) ganen un gran cliente que quiera diversificar [25, 30]; la concentración (dos clientes son el 36 % de las ventas) hace que un solo cambio pese [1]. Baja, con impacto extremo: un conflicto en el estrecho de Taiwán, donde está casi toda la capacidad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947.938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601.786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977.447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645.702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1.031.474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676.170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1.069.985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1.339.255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898.508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566.784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1.587.415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1.072.376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649.981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592.359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2.263.891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1.558.533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992.923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2.161.736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921.466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851.740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1.984.850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1.322.053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1.158.380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3.809.054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2.624.188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1.936.092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1.697.604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2016-2025: ingresos </w:t>
      </w:r>
      <w:r>
        <w:rPr>
          <w:b/>
          <w:bCs/>
        </w:rPr>
        <w:t xml:space="preserve">16,7 %</w:t>
      </w:r>
      <w:r>
        <w:t xml:space="preserve">, EBITDA </w:t>
      </w:r>
      <w:r>
        <w:rPr>
          <w:b/>
          <w:bCs/>
        </w:rPr>
        <w:t xml:space="preserve">17,8 %</w:t>
      </w:r>
      <w:r>
        <w:t xml:space="preserve">, BPA </w:t>
      </w:r>
      <w:r>
        <w:rPr>
          <w:b/>
          <w:bCs/>
        </w:rPr>
        <w:t xml:space="preserve">19,9 %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TW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1,59 a 3,81 billones TWD entre 2021 y 2025 (TCAC del 24 %), con un único tropiezo en 2023 (−4,5 %) por el ajuste de inventarios de móviles e IoT [1, 2]. Todo es orgánico: no hay compras relevantes. El margen EBITDA se ha movido entre el 67 % y el 69 % y el operativo pasó del 42,6 % de 2023 al 50,8 % de 2025 [1], y al 58-60 % en 2026 (58,7 % en el 3T26) [5, 8, 9] por precio (3 nm y ahora 2 nm), mezcla hacia HPC (58 % de las ventas en 2025, 68 % en el 3T26) [1, 6] y apalancamiento operativo, pese a la dilución de 2 nm y de las fábricas en el extranjero. En los doce meses a septiembre de 2026 las ventas fueron de 4,94 billones TWD (+30 % sobre 2025) y el BPA de 98,26 TWD en base TIFRS [5, 8, 9, 10]. La guía de 2026 es un crecimiento de en torno al 44 % en USD, y la del 4T26, ventas de 52.300-54.300 M USD con margen operativo del 56,5-58,5 % [5, 6].</w:t>
      </w:r>
    </w:p>
    <w:p>
      <w:pPr>
        <w:pStyle w:val="Heading2"/>
      </w:pPr>
      <w:r>
        <w:t xml:space="preserve">Ajustes y partidas no recurrentes</w:t>
      </w:r>
    </w:p>
    <w:p>
      <w:pPr>
        <w:spacing w:after="100"/>
      </w:pPr>
      <w:r>
        <w:t xml:space="preserve">Dos bases contables. Los ejercicios 2016-2025 son los del 20-F (NIIF del IASB) [1, 2, 3, 4]; los trimestres, el LTM y el consenso local van en NIIF de Taiwán (TIFRS). La diferencia es el impuesto del 5 % sobre beneficios no distribuidos: en el 20-F se registra el año en que se genera el beneficio y en TIFRS cuando la junta aprueba el reparto, al año siguiente [1]. En 2025: BPA de 65,47 TWD en el 20-F frente a 66,25 en TIFRS (beneficio neto de 1.697.604 frente a 1.717.883 M) [1, 17]; la diferencia es de ±1-2 % al año y cambia de signo (2024: 44,67 frente a 45,25). Para el objetivo a 12 meses, el BPA del consenso es TIFRS. </w:t>
      </w:r>
      <w:r>
        <w:rPr>
          <w:b/>
        </w:rPr>
        <w:t xml:space="preserve">No recurrente en el LTM</w:t>
      </w:r>
      <w:r>
        <w:t xml:space="preserve">: el 2T26 incluye una plusvalía de 63.202 M TWD antes de impuestos por la venta de acciones de Vanguard (VIS) y la revalorización del 19 % que conserva (en su mayor parte sin caja), por debajo del EBIT [15]: unos 2,4 TWD por acción antes de impuestos; el BPA recurrente del LTM ronda 96 TWD. El EBITDA LTM es estimación propia: la amortización del 3T26 (≈182.000 M) aún no se ha publicado y se toma igual a la media del 1S26 [15, 16].</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868.461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839.254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989.918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1.046.090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1.134.103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1.270.381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1.494.243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3T26 (15-oct) las ventas, 46.720 M USD, superaron el techo de la guía (44.600-45.800 M) y el margen operativo (58,7 %) también (guía 56-58 %); el margen bruto (66,4 %) cayó 1,3 puntos por el arranque de 2 nm, que ya es el 8 % de las obleas [5, 6]. El BPA de 29,43 TWD sube un 8 % sobre el 2T26, que llevaba la plusvalía de VIS [6, 15]. La dirección subió la guía de crecimiento de 2026 a «en torno al 44 %» en USD (en julio, «algo más del 40 %») y mantuvo el capex en 60.000-64.000 M USD [6, 20]. Guía del 4T26: 52.300-54.300 M USD (+12-16 % trimestral) con margen bruto del 65-67 % [5]. El director financiero cifra la dilución de las fábricas en el extranjero en cerca de 2 puntos en 2026 y en 3-4 puntos en los próximos años [20]. Las preguntas repetidas fueron la brecha entre oferta y demanda de IA en 2027, el capex de 2027-2028, los precios de 2027, Texas como nueva ubicación en EE. UU. y el encapsulado avanzado. La dirección no dio cifras de capex más allá de 2026, ni de aumento de capacidad, ni de subidas de precio, y no quiso decir si la escasez se cerrará en 2027 [20]. Frente a julio, el discurso pasa de «escasez» a «escasez y rampa de 2 nm».</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1.886.297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541.254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1.359.051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1.991.732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553.392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-339.424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1.493.747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2.090.031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1.660.429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2.264.725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1.613.706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2.760.601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243.846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1.834.811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3.725.302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1.064.990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732.868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2.149.260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4.964.459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1.342.814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858.410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-452.036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2.903.020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5.532.197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396.584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1.465.428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927.576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-506.359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3.429.522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6.691.765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2.127.627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1.018.287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-1.077.536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4.244.267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7.932.843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484.610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2.767.856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1.032.988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-1.699.441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5.355.039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creció de 0,18 billones TWD en 2019 a 0,73 en 2021 y a 1,03 en 2025, sobre todo con bonos verdes en TWD y bonos en USD emitidos con tipos bajos (coste medio del 1,2 % en 2025) para financiar el capex [1, 4]; desde 2024 apenas crece. La caja crece más deprisa: el efectivo pasó de 1,06 a 2,77 billones TWD entre 2021 y 2025 y la caja e inversiones líquidas llegaron a 4,02 billones en septiembre de 2026 [1, 6]: caja neta de unos 3 billones TWD. El circulante operativo es pequeño frente a las ventas (clientes y existencias de 911.000 M en septiembre, ≈18 % de las ventas de doce meses) y los anticipos de clientes lo reducen [1, 6]. Los días de inventario subieron a 87 en el 2T26 y bajaron a 82 en el 3T26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585.318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573.954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363.053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822.666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516.781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592.359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1.610.599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1.089.626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992.923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1.241.967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851.740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964.882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839.670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1.158.380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2.274.976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1.282.557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969.793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1.697.604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3.979.709</w:t>
      </w:r>
      <w:r>
        <w:t xml:space="preserve">, conversión </w:t>
      </w:r>
      <w:r>
        <w:rPr>
          <w:b/>
          <w:bCs/>
        </w:rPr>
        <w:t xml:space="preserve">55 %</w:t>
      </w:r>
      <w:r>
        <w:t xml:space="preserve"> del beneficio neto; adquisiciones 0, dividendos 2.735.723, recompras 3.089.</w:t>
      </w:r>
    </w:p>
    <w:p>
      <w:pPr>
        <w:spacing w:after="100"/>
      </w:pPr>
      <w:r>
        <w:t xml:space="preserve">El flujo operativo pasó de 1,11 billones TWD en 2021 a 2,27 billones en 2025 y supera al beneficio neto todos los años (134 % en 2025), porque la amortización (688.096 M) pesa más que el circulante [1, 4]. El capex (inmovilizado e intangibles) fue de 1,28 billones en 2025 (34 % de las ventas): flujo libre de ≈0,99 billones [1]. En los doce meses a septiembre de 2026 el flujo libre, según la definición de la empresa (flujo operativo menos capex), fue de ≈1,48 billones TWD (estimación propia con la presentación del 3T26 y los estados del 2T26 y del 3T25) [6, 15, 16]. Dos matices: los intereses cobrados (98.955 M en 2025) van en inversión y las subvenciones de capital recibidas (76.259 M en 2025, sobre todo de EE. UU. y Japón) también, así que el capex neto es algo menor [1]. La empresa no separa capex de mantenimiento; estimación propia: la amortización (≈18 % de las ventas) aproxima el mantenimiento, y el resto (≈15 % de las ventas en 2025) es crecimiento.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(Taiwán), PCAOB ID 1060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Opinión sin salvedades de Deloitte sobre las cuentas y sobre el control interno [1]. Dos bases contables: el 20-F (NIIF del IASB) registra el impuesto del 5 % sobre beneficios no distribuidos el año en que se generan; las cuentas de Taiwán (TIFRS), al año siguiente [1]. La diferencia es pequeña (BPA de 2025: 65,47 frente a 66,25 TWD) [1, 17], pero hay que comparar en la misma base. No se capitaliza I+D (246.427 M TWD de gasto en 2025, el 6,5 % de las ventas) [1]. Los pagos en acciones son mínimos (1.246 M) [1]; lo que pesa es el bonus de empleados en efectivo, 206.146 M TWD por 2025 (≈12 % del beneficio neto), que ya está en el gasto [17]. Los deterioros son irrelevantes (782 M de inmovilizado en 2025) [1]. El tipo efectivo subió del 13,1 % (2023) al 17,0 % (2025) en el 20-F [1]. El beneficio se convierte en caja (flujo operativo del 134 % del beneficio). Lo atípico: el 2T26 lleva una plusvalía de 63.202 M TWD por VIS, casi toda por revalorizar la participación que queda [15]. Lectura de Altman, Piotroski y Beneish: la hace el motor con el balance completo.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 no recurrente en el 2T26 (venta y revalorización de VIS)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63.202 M TWD antes de impuestos por debajo del EBIT, en su mayor parte sin caja; infla el BPA del 2T26 y del LTM en ≈2,4 TWD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Dos bases contables (20-F NIIF frente a TIFRS)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±1-2 % en el beneficio por el impuesto sobre beneficios no distribuidos; el consenso y los trimestres son TIFRS [1, 17].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Errata en el comunicado del 4T25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 un resultado operativo del 4T24 de 452.713 M TWD; el comunicado del 4T24 y el total anual dan 425.713 M (la variación publicada, +32,7 %, está calculada sobre 425.713) [10,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 de clientes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Diez primeros, 78 % de las ventas en 2025; dos clientes, el 36 %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1.067.754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1.111.388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1.219.386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1.317.738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1.448.470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1.693.857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2.154.148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2.706.652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3.074.621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3.449.257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5.891 M en 2025 (el 0 % del capital invertido medio); ha subido más de un 5 % en 0 de 2 años: sin compras. ROIC publicado 46,6 %; sin fondo de comercio, 46,7 %. Sin compras relevantes: el publicado ya es el ROIC del negocio.</w:t>
      </w:r>
    </w:p>
    <w:p>
      <w:pPr>
        <w:spacing w:after="100"/>
      </w:pPr>
      <w:r>
        <w:rPr>
          <w:b/>
          <w:bCs/>
        </w:rPr>
        <w:t xml:space="preserve">ROIC incremental</w:t>
      </w:r>
      <w:r>
        <w:t xml:space="preserve"> (variación del NOPAT sobre variación del capital invertido en el periodo): 53,9 % · </w:t>
      </w:r>
      <w:r>
        <w:rPr>
          <w:b/>
          <w:bCs/>
        </w:rPr>
        <w:t xml:space="preserve">WACC</w:t>
      </w:r>
      <w:r>
        <w:t xml:space="preserve">: 9,6 %.</w:t>
      </w:r>
    </w:p>
    <w:p>
      <w:pPr>
        <w:spacing w:after="100"/>
      </w:pPr>
      <w:r>
        <w:t xml:space="preserve">Crea valor con holgura: ROIC del 46,6 % en el último ejercicio frente a un WACC del 9,64 % y ROIC incremental histórico del 53,9 %. Lo mueve el margen, no la rotación: cada nodo nuevo sube el precio por oblea y el margen operativo pasó del 42,6 % en 2023 al 50,8 % en 2025 y al 58,7 % en el 3T26 [1, 5]. Supera con mucho a los demás fabricantes por encargo: margen operativo del 18,5 % en UMC, 11,9 % en SMIC, 11,7 % en GlobalFoundries y −58 % en Intel Foundry [27, 28, 29, 30].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-2.949.298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186.419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-2.762.879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31-dic-2025: efectivo de 2.767.856 M TWD más inversiones financieras corrientes (valor razonable 175.693 M y coste amortizado 124.946 M) [1]; sin préstamos a corto plazo y deuda a largo de 1.032.988 M, de la que 136.926 M vence en 2026 [1]. A 30-sep-2026 (TIFRS): caja e inversiones líquidas de 4.016.980 M TWD (39,9 % del activo), frente a 3.518.010 M en junio; deuda con interés a largo de 818.380 M (sin la porción corriente, que en junio era de 167.410 M) [6, 15]. El flujo libre del 3T26 fue de 476.560 M TWD [6]. Para el puente: caja e inversiones de septiembre y deuda ≈ 818.380 + porción corriente (no publicada a septiembre; 167.410 M en junio) [6,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AA- (S&amp;P Global Ratings) y Aa3 (Moody's), sin cambios frente a diciembre de 2024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Anticipos de clientes para reservar capacidad («temporary receipts»): 189.858 M TWD a dic-2025 (291.102 M un año antes), devolvibles o compensables con facturas según se acuerde [1]. Compromisos de compra de equipos y obras: 1.534.575 M TWD, 1.220.393 M a menos de un año [1]. Bonus de empleados devengado de 103.355 M y dividendos pendientes de pago de 285.258 M [1]. Pensiones de prestación definida pequeñas (6.012 M) [1]. Los préstamos bancarios japoneses (39.254 M) llevan covenants de deuda/EBITDA y patrimonio de la filial, holgados [1]. Arrendamientos de 35.428 M (sobre todo terrenos en Taiwán) [1]. Bonos con cupones del 0,41 % al 4,63 % y vencimientos hasta 35 años [1].</w:t>
      </w:r>
    </w:p>
    <w:p>
      <w:pPr>
        <w:pStyle w:val="Heading1"/>
      </w:pPr>
      <w:r>
        <w:t xml:space="preserve">12. Asignación de capital</w:t>
      </w:r>
    </w:p>
    <w:p>
      <w:pPr>
        <w:pStyle w:val="Confianza"/>
        <w:spacing w:after="100"/>
      </w:pPr>
      <w:r>
        <w:t xml:space="preserve">Confianza: Alta</w:t>
      </w:r>
    </w:p>
    <w:p>
      <w:pPr>
        <w:spacing w:after="100"/>
      </w:pPr>
      <w:r>
        <w:t xml:space="preserve">Dividendo trimestral en efectivo que no baja y sube con el flujo libre: 22 TWD por acción con cargo a 2025 (5, 5, 6 y 6) frente a 17 de 2024 y 13 de 2023 [1]; 7 TWD por acción en el 1T26 y en el 2T26 [18, 19]. La prioridad de la caja es el capex (60.000-64.000 M USD en 2026) [6, 20]; el consejo aprobó partidas de capital de 31.284 M USD en mayo y 29.443 M USD en agosto de 2026 [18, 19]. No hay recompras salvo las de 2024 para el plan de acciones de empleados (3.089 M TWD) [1]. Inversiones en participadas: empresa conjunta con Sony para sensores de imagen (hasta 282.000 M JPY, aprobada el 11-ago-2026) [19]; en mayo de 2026 vendió parte de VIS y bajó al 19 %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506.326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839.670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363.055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969.793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466.779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25.929,5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Buena asignadora de capital: crece con fábricas propias, sin compras relevantes ni dilución (las acciones diluidas se mantienen en ≈25.930 millones desde 2016) [1, 4]. Entre 2021 y 2025 invirtió 5,14 billones TWD en capex y pagó 1,67 billones en dividendos con un flujo operativo de 8,07 billones, y aun así la caja aumentó [1, 4]. El riesgo es el contrario: invertir 60.000-64.000 M USD al año en plena euforia de la IA; la dirección no da cifras de capex más allá de 2026 [20]. La empresa conjunta con Sony y las fábricas en Japón, Alemania y Arizona tienen rentabilidad menor que las de Taiwán (dilución de 3-4 puntos de margen bruto prevista) [20].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 C. Wei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TSMC desde 1998, tras ser vicepresidente sénior de tecnología en Chartered Semiconductor y directivo de STMicroelectronics; copresidente ejecutivo y presidente de 2013 a 2018, consejero delegado desde junio de 2018 y presidente del consejo desde junio de 2024, elegido por unanimidad [1, 41]. Con él como primer ejecutivo, las ventas pasaron de 1,03 a 3,81 billones TWD (2018-2025) y el beneficio neto, de 0,36 a 1,72 billones TWD [1,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Wendell Huang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de Finanzas, director financiero y portavoz</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1999 desde ING Barings (finanzas corporativas); director financiero desde septiembre de 2019 y vicepresidente sénior desde febrero de 2024 [1]. Da la guía trimestral: las ventas en USD de los siete trimestres de 1T25 a 3T26 han quedado dentro del rango o por encima de su máximo [5, 8, 9, 10, 11, 12, 13,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 P. Chyn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codirector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años en la empresa, siempre en producto, ingeniería y operaciones; dirigió Operaciones y la Oficina de Operaciones en el Extranjero (2020-2024), la etapa de las fábricas de Arizona, Japón y Alemania, antes de ser codirector de operaciones en 2024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 J. Mii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codirector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TSMC desde 1994; dirigió I+D de 2016 a 2024, el periodo de los nodos de 5, 3 y 2 nm, que en el 3T26 suman el 69 % de las ventas de obleas [1, 5]. Es, con Chyn, uno de los dos candidatos naturales a la sucesión operativa.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Kevin Zhang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sénior de Desarrollo de Negocio y Ventas Globales y codirector adjunto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Llegó en 2016 desde Intel (vicepresidente del grupo de tecnología y fabricación) y es vicepresidente sénior desde agosto de 2020; lleva la relación comercial con los clientes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44.600-45.800 M USD; margen bruto del 65-67 %; margen operativo del 56-58 %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46.720 M USD; margen bruto del 66,4 % y operativo del 58,7 %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39.000-40.200 M USD; margen bruto del 65,5-67,5 %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40.200 M USD; margen bruto del 67,7 %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34.600-35.800 M USD; margen bruto del 63-65 %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35.900 M USD; margen bruto del 66,2 %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USD: «cerca del 30 %» en enero, elevada a «en torno al 44 %» el 15-oct; inversión de 52.000-56.000 M USD en enero, reiterada en 60.000-64.000 M USD en octubre [33,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meses: 122.820 M USD, +38,5 % (suma de los tres trimestres publicados); guía del 4T26: 52.300-54.300 M USD [5, 8, 9, 11, 12,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Trimestres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1T 25.000-25.800; 2T 28.400-29.200; 3T 31.800-33.000; 4T 32.200-33.400 M USD. Margen bruto: 57-59 %, 57-59 %, 55,5-57,5 % y 59-61 % [11, 12, 13,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25.530, 30.070, 33.100 y 33.730 M USD; margen bruto del 58,8 %, 58,6 %, 59,5 % y 62,3 % [10, 11, 12,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USD: «cerca de mediados de los 20 %»; inversión de 38.000-42.000 M USD (enero de 2025) [35]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+35,9 % en USD (122.000 M USD); inversión de 40.895 M USD [1, 34]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USD: «entre bajos y medios 20 %»; inversión de 28.000-32.000 M USD (enero de 2024)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 en USD (90.000 M USD); inversión de 29.800 M USD [35]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la última guía del año era de unos 32.000 M USD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30.400 M USD: recortó la inversión por la incertidumbre; las ventas cayeron un 8,7 % en USD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en USD: crecimiento anual del 15-20 % «en los próximos años» (enero de 2022), cerca del 20 % en 2024-2029 (enero de 2025) y cerca del 25 % (enero de 2026); margen bruto del 56 % o más a lo largo del ciclo y ROE de alrededor del 28 % (enero de 2026) [34, 35,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 en 2024, +35,9 % en 2025 y ≈44 % previsto en 2026; margen bruto del 59,9 % en 2025 y del 66,4 % en el 3T26 [5, 33, 34, 35]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tiene mucha credibilidad. En los siete trimestres de 1T25 a 3T26, las ventas en dólares quedaron dentro del rango previsto o por encima de su máximo, y el margen bruto nunca quedó por debajo del mínimo. Las guías anuales de 2024 y 2025 se superaron por 5-10 puntos [5, 8, 9, 10, 11, 12, 13, 14, 34, 35, 36]. La previsión de 2026 ha pasado de «cerca del 30 %» a «en torno al 44 %» [33, 34]. La guía es conservadora por costumbre, de modo que superarla ya es lo esperado. El equipo es muy estable: los dos codirectores de operaciones llevan 32 y 39 años en la casa. Hay una sucesión preparada, con dos codirectores y dos adjuntos, y la comisión de remuneraciones la revisa formalmente desde 2023 [1]. El riesgo es la edad: Wei tiene 71-75 años y su mandato de consejero termina en 2027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 C. Wei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Gobierno Corporativo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 C. Tseng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(exvicepresidente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Chun-Hsien Yeh (representante del Fondo Nacional de Desarrollo)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Peter L. Bonfield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 Remuneración y Desarrollo de Personas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R. Splinter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Desarrollo de Personas (presidente);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Moshe N. Gavrielov</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 y Desarrollo de Personas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 Rafael Reif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Gobierno Corporativo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Ursula M. Burns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 y Desarrollo de Personas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Lynn L. Elsenhans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Gobierno Corporativo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Chuan 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Gobierno Corporativo y Sostenibilidad (presidente); Auditoría y Riesgos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71,80 / ventas 456,50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Nacional de Desarrollo (Yuan Ejecutivo de Taiwán)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de Taiwán; nombra un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1.653,7 M de acciones, estables (28-feb-2026)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Titulares de ADR (Citibank, depositario)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a través de la NYSE (1 ADR = 5 acciones); no es un único accionista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5.313,5 M de acciones en 1.062,7 M de ADR (28-feb-2026; estimación propia del porcentaje sobre 25.932,5 M de acciones)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(sin el Fondo)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60,2 M de acciones (28-feb-2026); suben cada año por las acciones del plan a largo plazo [1,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3,2 M de acciones recompradas en 2024 se amortizaron en septiembre de 2024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Arthur Chuang (vicepresidente, Instalaciones)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Lora Ho (vicepresidenta sénior; jubilada en abril de 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Ursula M. Burns (consejera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Z. Tien (vicepresidente, Fab 12B)</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 S. Lin (vicepresidente, I+D)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Lipen Yuan (vicepresidente, Desarrollo de Negocio)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Sylvia Fang (vicepresidenta sénior y secretaria general)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Geoffrey Yeap (vicepresidente sénior, I+D)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2.422,70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895,80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1.509,60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Wei devengó 2.422,7 M TWD (77,2 M USD). El 99 % es variable: 17,3 M de sueldo, 895,8 M de bonus y reparto de beneficios, 367,1 M en acciones restringidas y 1.142,5 M de «otras», que incluyen el nuevo bonus a largo plazo, además de pensión y coche [1]. Los estatutos fijan una bolsa: al menos el 1 % del beneficio para los empleados y como máximo un 0,3 % para los consejeros [1]. Las acciones restringidas de los directivos consolidan según el </w:t>
      </w:r>
      <w:r>
        <w:rPr>
          <w:b/>
        </w:rPr>
        <w:t xml:space="preserve">rendimiento total para el accionista de TSMC frente al índice S&amp;P 500 de tecnología</w:t>
      </w:r>
      <w:r>
        <w:t xml:space="preserve">. Al 50 % si empata, 2,5 puntos más o menos por cada punto de diferencia, con un ajuste de ±10 % por ESG [1]. El bonus a largo plazo de 2025 mide resultados financieros, ese mismo rendimiento relativo y ESG, y se invierte en acciones a través de un fideicomiso [1]. Hay política de recuperación (clawback) desde agosto de 2023 [1]. En Taiwán la remuneración no se vota: la junta solo recibe un informe de ella [40]. Ratio frente al empleado medio: unas 533 veces (estimación propia: 396.115 M TWD de gasto de personal entre 87.191 empleados medios, 4,54 M por empleado) [1].</w:t>
      </w:r>
    </w:p>
    <w:p>
      <w:pPr>
        <w:pStyle w:val="Heading2"/>
      </w:pPr>
      <w:r>
        <w:t xml:space="preserve">Operaciones vinculadas, estructura de control y defensas</w:t>
      </w:r>
    </w:p>
    <w:p>
      <w:pPr>
        <w:spacing w:after="100"/>
      </w:pPr>
      <w:r>
        <w:t xml:space="preserve">No hay accionista de control. El mayor es el Fondo Nacional de Desarrollo del Estado de Taiwán, con el 6,38 %. Nombra un consejero dominical: desde septiembre de 2025, Chun-Hsien Yeh, ministro del Consejo Nacional de Desarrollo [1]. El vínculo con el Gobierno es político, no de control. Siete de los diez consejeros son independientes, la mayoría antiguos primeros ejecutivos de Applied Materials, Xilinx, Xerox, BT y Sunoco, y el presidente lo elige el consejo [1, 41]. Hay una sola clase de acción y el Fondo vota igual que el resto [1]. No hay blindajes estatutarios ni pactos conocidos que puedan cambiar el control [1]. Las operaciones vinculadas son pequeñas y de negocio: ventas a GUC (0,8 % de los ingresos) y compras a VIS, SSMC y Xintec (0,1-0,4 % del coste) [1]. F. C. Tseng preside GUC y es vicepresidente de VIS. Cobró 19,9 M TWD de asesoría de TSMC, además de sus 13,2 M como consejero [1]. Puntos débiles: el presidente es ejecutivo, no hay consejero coordinador y la ley taiwanesa no permite que los independientes se reúnan sin los ejecutivos [1].</w:t>
      </w:r>
    </w:p>
    <w:p>
      <w:pPr>
        <w:pStyle w:val="Heading2"/>
      </w:pPr>
      <w:r>
        <w:t xml:space="preserve">Señales de alerta</w:t>
      </w:r>
    </w:p>
    <w:p>
      <w:pPr>
        <w:pStyle w:val="ListParagraph"/>
        <w:numPr>
          <w:ilvl w:val="0"/>
          <w:numId w:val="2"/>
        </w:numPr>
        <w:spacing w:after="60"/>
      </w:pPr>
      <w:r>
        <w:t xml:space="preserve">Presidente y consejero delegado en la misma persona desde junio de 2024, sin consejero independiente coordinador; la ley de Taiwán no permite reuniones de los independientes sin los ejecutivos [1].</w:t>
      </w:r>
    </w:p>
    <w:p>
      <w:pPr>
        <w:pStyle w:val="ListParagraph"/>
        <w:numPr>
          <w:ilvl w:val="0"/>
          <w:numId w:val="2"/>
        </w:numPr>
        <w:spacing w:after="60"/>
      </w:pPr>
      <w:r>
        <w:t xml:space="preserve">Venta en bolsa de 200.000 acciones (442 M TWD a 2.210 TWD) del vicepresidente Arthur Chuang el 19-may-2026, más 1.000.000 de acciones donadas en junio. Es la única venta relevante de un directivo en 12 meses; las compras en bolsa de seis consejeros y directivos suman unos 72 M TWD [37, 38, 39].</w:t>
      </w:r>
    </w:p>
    <w:p>
      <w:pPr>
        <w:pStyle w:val="ListParagraph"/>
        <w:numPr>
          <w:ilvl w:val="0"/>
          <w:numId w:val="2"/>
        </w:numPr>
        <w:spacing w:after="60"/>
      </w:pPr>
      <w:r>
        <w:t xml:space="preserve">Retiro de Lora Ho (vicepresidenta sénior de Estrategia) el 4-abr-2026. Cuatro ascensos a vicepresidente sénior en febrero de 2026: relevo ordenado, no rotación [1].</w:t>
      </w:r>
    </w:p>
    <w:p>
      <w:pPr>
        <w:pStyle w:val="ListParagraph"/>
        <w:numPr>
          <w:ilvl w:val="0"/>
          <w:numId w:val="2"/>
        </w:numPr>
        <w:spacing w:after="60"/>
      </w:pPr>
      <w:r>
        <w:t xml:space="preserve">Investigación de la Comisión de Comercio Internacional de EE. UU. (desde marzo de 2025) por cinco patentes de Longitude Licensing y Marlin Semiconductor contra TSMC y sus clientes; la empresa no puede estimar el pasivo [1].</w:t>
      </w:r>
    </w:p>
    <w:p>
      <w:pPr>
        <w:pStyle w:val="ListParagraph"/>
        <w:numPr>
          <w:ilvl w:val="0"/>
          <w:numId w:val="2"/>
        </w:numPr>
        <w:spacing w:after="60"/>
      </w:pPr>
      <w:r>
        <w:t xml:space="preserve">Remuneración del presidente de 2.423 M TWD (77 M USD), unas 533 veces el coste medio por empleado; en Taiwán la junta no la vota [1, 40].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Alta</w:t>
      </w:r>
    </w:p>
    <w:p>
      <w:pPr>
        <w:spacing w:after="100"/>
      </w:pPr>
      <w:r>
        <w:t xml:space="preserve">Con los resultados del 3T26 (15-oct-2026), TSMC espera para el 4T26 ventas de 52.300-54.300 M USD (entre +12 % y +16 % sobre los 46.720 M del 3T26), margen bruto del 65-67 % y margen operativo del 56,5-58,5 %, con un tipo de 31,8 TWD por dólar [5, 6]. Para todo 2026 prevé que las ventas crezcan </w:t>
      </w:r>
      <w:r>
        <w:rPr>
          <w:b/>
        </w:rPr>
        <w:t xml:space="preserve">en torno a un 44 % en dólares</w:t>
      </w:r>
      <w:r>
        <w:t xml:space="preserve"> [6]. El 3T26 superó su propia guía: 46.720 M USD frente a 44.600-45.800 M, margen bruto del 66,4 % (guía 65-67 %) y operativo del 58,7 % (guía 56-58 %) [6]. Con el punto medio de la guía, 2026 cerraría con unas ventas de ≈5,59 billones TWD (estimación propia: 3,90 billones de 1T-3T más 53.300 M USD a 31,8 TWD), un 0,4 % por encima del consenso. La dirección no da objetivo de ventas para 2027 hasta la conferencia de enero.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5.573.547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4.111.364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3.284.369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35 analistas, 20-oct-2026 [43]; S&amp;P Global (Stock Analysis), 41 analistas: ventas 5,56 billones y BPA 110,13 [44]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7.666.351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5.661.324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4.495.071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20-oct-2026 [43]; S&amp;P Global (Stock Analysis): ventas 7,65 billones y BPA 148,61 [44]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9.684.449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7.238.310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5.707.525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20-oct-2026 [43] (S&amp;P Global no publica 2028 gratis)</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5.595.501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5.573.547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4.028.761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4.111.364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7.386.061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7.666.351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5.207.173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5.661.324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9.010.994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9.684.449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6.307.696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7.238.310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3.387,00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2.650,00 – 5.000,00</w:t>
            </w:r>
          </w:p>
        </w:tc>
      </w:tr>
    </w:tbl>
    <w:p>
      <w:pPr>
        <w:spacing w:after="160" w:before="0"/>
      </w:pPr>
    </w:p>
    <w:p>
      <w:pPr>
        <w:pStyle w:val="Heading2"/>
      </w:pPr>
      <w:r>
        <w:t xml:space="preserve">Revisiones de estimaciones</w:t>
      </w:r>
    </w:p>
    <w:p>
      <w:pPr>
        <w:spacing w:after="100"/>
      </w:pPr>
      <w:r>
        <w:t xml:space="preserve">Las dos fuentes cuadran: ventas de 2026e de 5,57 y 5,56 billones TWD y BPA de 110,2 y 110,1 TWD [43, 44]; el objetivo medio es 3.387-3.390 TWD (mediana 3.300) con 35 analistas, de los que 34 recomiendan comprar (25 «compra fuerte» y 9 «compra») y uno mantener [43, 44]. El reparto apenas ha cambiado en seis meses (33-35 analistas, siempre un solo «mantener») [44]. Las revisiones van al alza: el consenso de ventas de 2026e que usó el análisis del 14-oct (5,42 billones, otro proveedor) queda un 3 % por debajo del actual, y el de 2027e (7,28 billones) un 5 %; el 3T26 por encima de la guía y la previsión de +44 % en dólares para 2026 explican la subida. No hay serie gratuita de revisiones del BPA a 3 y 12 meses: la comparación es entre proveedores distintos y solo indica la dirección.</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diez años TSMC ha ganado un 29,1 % anual frente al 17,6 % del TAIEX y casi lo mismo que el índice de semiconductores SOXX (29,8 %) [42]. La ventaja se concentra en 2019-2020 y en 2024-2025, cuando el ciclo de la IA llevó la acción a subir un 81 % y un 44 % [42]. En 2026 va algo por detrás del TAIEX (+56 % frente a +62 %) [42]. La beta mensual de cinco años frente al TAIEX es 1,21 (semanal de dos años 1,08) [42] y la peor caída fue del −44,8 % entre enero y octubre de 2022, con el ajuste de inventarios de los chips. Rentabilidades de precio: Yahoo no da la total del TAIEX y no se mezclan bases.</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 +0,4 % / +19,5 % / +72,9 %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 +76,0 %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1.760 TWD (31-mar) a 2.275 (4-may): el mercado taiwanés marcó máximos con la esperanza de un alto el fuego entre EE. UU. e Irán y TSMC batió su récord de cierre el 14-abr (2.055 TWD) [42, 45]; siguieron los resultados del 1T26 (16-abr) y nuevos máximos a finales de abril (2.265 TWD el 27-abr)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Cayó 180 TWD hasta 2.290 el día siguiente a los resultados del 2T26: previó márgenes más bajos para el 3T26 y coincidió con una venta general de valores de IA que hundió el TAIEX un 6,47 %, la mayor caída en puntos de su historia [47]. El 31-jul ya había recuperado los 2.425 TWD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por encima de su guía (46.720 M USD; margen bruto del 66,4 %); sube la previsión de crecimiento de 2026 en dólares de «algo más del 40 %» al 44 % y mantiene el capex de 2026 en 60.000-64.000 M USD [5, 6, 48]. La acción cedió un 2 % ese día (2.440 TWD) y acumula −6,4 % desde el máximo del 6-oct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35 analistas: 34 comprar y 1 mantener; objetivo medio de 3.387-3.390 TWD (mínimo 2.650, máximo 5.000) [43, 44]. Sin cambios de recomendación a la baja localizados tras los resultados.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histórico de cierre (2.585 TWD) con el TAIEX en 49.823 puntos, a la espera de la conferencia del 15-oct; recogida de beneficios al acercarse a los 50.000 puntos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aprueba un dividendo de 7,00 TWD por el 2T26 (ex dividendo el 10-dic-2026, pago el 7-ene-2027) y una sociedad conjunta con Sony Semiconductor Solutions para sensores de imagen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2T26: récord de ventas y beneficio, pero guía de margen más baja para el 3T26 [47]; en julio la previsión de crecimiento de 2026 era de «algo más del 40 %» en dólares [48]; la acción cayó un 7,3 % al día siguiente.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6,4 % por debajo de su máximo (2.585 TWD de cierre el 6-oct) y un 12 % por encima de su media de 200 sesiones: tendencia alcista sin avisos P1-P5 [42]. El retroceso tras el 3T26 no lo explica el beneficio, que superó la guía, sino el capex sin cambios y un margen del 4T26 algo inferior al del 3T26, con el mercado más atento a la caja que a las ventas [48]. No hay colocaciones, convertibles ni ventas anunciadas de accionistas de referencia (el Fondo Nacional de Desarrollo tiene el 6,38 % [1]). Los resultados del 4T26 llegan a mediados de enero de 2027 (fecha aún sin anunciar), a más de 15 días: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beneficio que de verdad llegó después, TSMC ha cotizado barata: al cierre de cada año de 2021 a 2025 pagaba entre 13,1x y 15,7x el BPA del año siguiente (13,9x de mediana), y en ocho años solo superó las 17x al cierre de 2020 (23x), en plena escasez de chips [1, 42]. Hoy cotiza a ≈16x el BPA de 2027e del consenso [43]: por encima de esa mediana. La diferencia con otros años no es el tipo de interés (el bono taiwanés a 10 años está en el 2,0 % [60], 0,76 puntos más que hace un año), sino que el mercado paga ahora por un crecimiento del beneficio del 30-40 % anual que en el pasado siempre sorprendió al alza. Precios de cierre de Yahoo Finance [42]; los múltiplos los calcula el informe con el mismo criterio que el actual.</w:t>
      </w:r>
    </w:p>
    <w:p>
      <w:pPr>
        <w:pStyle w:val="Heading1"/>
      </w:pPr>
      <w:r>
        <w:t xml:space="preserve">18. Comparables cotizados</w:t>
      </w:r>
    </w:p>
    <w:p>
      <w:pPr>
        <w:pStyle w:val="Confianza"/>
        <w:spacing w:after="100"/>
      </w:pPr>
      <w:r>
        <w:t xml:space="preserve">Confianza: Media</w:t>
      </w:r>
    </w:p>
    <w:p>
      <w:pPr>
        <w:spacing w:after="100"/>
      </w:pPr>
      <w:r>
        <w:t xml:space="preserve">Ocho cotizadas en tres grupos, todas con datos de S&amp;P Global (Stock Analysis) del 20-21-oct-2026 [44, 49, 50, 51, 52, 53, 54, 55, 56]: fundiciones (UMC, GlobalFoundries, SMIC), que venden lo mismo con tecnología de varias generaciones atrás; sus grandes clientes de IA (Nvidia, Broadcom, AMD), cuyo ciclo de demanda comparte TSMC; y proveedores de equipos (ASML, Applied Materials), con la misma exposición al capex de los chips. Fuera: Samsung Electronics (la memoria domina su beneficio y su PER adelantado de 3,4x no es comparable) e Intel (pérdidas en los últimos 12 meses). Capitalizaciones en TWD a 32,39 TWD/USD y 4,134 TWD/HKD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TSMC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62.755.440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Nvidia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169.420.620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Broadcom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51.830.400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28.278.342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20.342.136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10.411.108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GlobalFoundries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835.765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SMIC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2.473.262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3.575.018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 / 28,5x / 31,9x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4.509,60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 / 22,3x / 28,3x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4.944.817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 / 12,0x / 17,5x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1.662,08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2.398,60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3.434,01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 mediana del PER de los próximos 12 meses de los ocho es de 22,3x y TSMC cotiza a ≈17x el BPA de los próximos 12 meses del consenso [44], con el margen EBITDA más alto del grupo salvo Nvidia (73 % frente a 66 %) [44, 49] y un ROIC del 60 % [44]. El descuento no se explica por el crecimiento: el consenso espera que TSMC venda un 37 % más en 2027 [44], por encima de las fundiciones (16-34 %) y de ASML (22 %), aunque por debajo de sus clientes de IA (93-103 %), cuyas cifras de los próximos 12 meses descuentan una demanda que pasa precisamente por las fábricas de TSMC. Lo explican el riesgo geopolítico de Taiwán y la intensidad de capital: TSMC invierte ≈1,65 billones TWD al año [44] y su rentabilidad por FCF (2,4 %) es parecida a la de Nvidia y Broadcom (2,4-2,5 %) pese al múltiplo más bajo. Los EV/EBITDA de los próximos 12 meses no se dan: el proveedor gratuito no publica EBITDA estimado de todos y mezclar fuentes desvirtúa el salto. Usaríamos el PER: la mediana de las fundiciones (21,7x) coincide con la del grupo, pero SMIC (36x) y AMD (48x) la inflan; sin ellos, la mediana es de 21,1x.</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(+46,9 %) está casi cerrado: 3,90 billones TWD en nueve meses y un 4T guiado de 52.300-54.300 M USD, con una previsión anual de ≈ +44 % en USD [5]. Para 2027e suponemos +32 % y para 2028e +22 %, por debajo del consenso (+37 % y +26 %) [43], porque el gasto de los hiperescaladores no puede crecer indefinidamente al ritmo de 2026. Después +14 %, +10 % y convergencia al 3,5 % en 2035e: una TCAC 2025-2035e del ≈ 15 %, frente al 24 % de 2021-2025 [1, 4].</w:t>
      </w:r>
    </w:p>
    <w:p>
      <w:pPr>
        <w:keepNext/>
        <w:spacing w:after="100"/>
      </w:pPr>
      <w:r>
        <w:rPr>
          <w:b/>
          <w:bCs/>
        </w:rPr>
        <w:t xml:space="preserve">Márgenes.</w:t>
      </w:r>
    </w:p>
    <w:p>
      <w:pPr>
        <w:spacing w:after="100"/>
      </w:pPr>
      <w:r>
        <w:t xml:space="preserve">Margen EBITDA del 72 % en 2026e (72,3 % en los últimos 12 meses [5, 15]) que baja al 67,5 % en 2035e: la dirección prevé que las fábricas del extranjero diluyan el margen bruto ≈ 2 puntos en 2026 y 3-4 puntos en los años siguientes, y el 2 nm lo diluye al arrancar (margen bruto del 67,7 % en el 2T26 al 66,4 % en el 3T26) [5, 20].</w:t>
      </w:r>
    </w:p>
    <w:p>
      <w:pPr>
        <w:keepNext/>
        <w:spacing w:after="100"/>
      </w:pPr>
      <w:r>
        <w:rPr>
          <w:b/>
          <w:bCs/>
        </w:rPr>
        <w:t xml:space="preserve">Inversión y circulante.</w:t>
      </w:r>
    </w:p>
    <w:p>
      <w:pPr>
        <w:spacing w:after="100"/>
      </w:pPr>
      <w:r>
        <w:t xml:space="preserve">Capex del 35 % de las ventas en 2026e (60.000-64.000 M USD) [5] y del 38 % en 2027e («significativamente superior» en 2026-2028, según la dirección) [33], bajando al 22,5 % en 2035e, siempre por encima de la amortización (13 % → 20 %). Circulante del 12,5 % de las ventas, el de 2025.</w:t>
      </w:r>
    </w:p>
    <w:p>
      <w:pPr>
        <w:keepNext/>
        <w:spacing w:after="100"/>
      </w:pPr>
      <w:r>
        <w:rPr>
          <w:b/>
          <w:bCs/>
        </w:rPr>
        <w:t xml:space="preserve">Coste del capital.</w:t>
      </w:r>
    </w:p>
    <w:p>
      <w:pPr>
        <w:spacing w:after="100"/>
      </w:pPr>
      <w:r>
        <w:t xml:space="preserve">Tasa libre del bono taiwanés a 10 años (2,01 % el 21-oct) [60]; beta de 1,14 (mensual de cinco años frente al TAIEX, 1,21, ajustada hacia 1) [42]; prima de mercado del 5,5 % y 1,5 puntos de prima adicional (0,78 de riesgo país de Damodaran y 0,7 por el riesgo de bloqueo en el estrecho) [59]. Deuda del 1,7 % del valor al 1,85 %. WACC del 9,64 %.</w:t>
      </w:r>
    </w:p>
    <w:p>
      <w:pPr>
        <w:keepNext/>
        <w:spacing w:after="100"/>
      </w:pPr>
      <w:r>
        <w:rPr>
          <w:b/>
          <w:bCs/>
        </w:rPr>
        <w:t xml:space="preserve">Valor terminal.</w:t>
      </w:r>
    </w:p>
    <w:p>
      <w:pPr>
        <w:spacing w:after="100"/>
      </w:pPr>
      <w:r>
        <w:t xml:space="preserve">Gordon con un 1,5 %: la tasa libre menos medio punto (2,01 − 0,5); con un bono al 2 %, un terminal del 2,5 % como el de una empresa en dólares sería incoherente. El valor terminal pesa un 60 % del total.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5.595.501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4.028.761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7.386.061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5.207.173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1.034.049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709.431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1.375.490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9.010.994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6.307.696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1.351.649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842.528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1.649.402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10.272.534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7.139.411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1.694.968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925.555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1.998.963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11.299.787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7.796.853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2.033.962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979.692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3.615.932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3.072.823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2.185.585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12.203.770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8.359.582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2.318.716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1.026.947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2.308.644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13.058.034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8.879.463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1.076.635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2.391.713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13.776.226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9.367.834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3.581.819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4.572.101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2.467.251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14.396.156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9.717.405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2.879.231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1.162.490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5.022.347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2.472.084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14.900.021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10.057.514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2.980.004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1.203.177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3.352.505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5.438.850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2.441.870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67.819.884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19.540.355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29.100.429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48.640.783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2.949.298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51.379.835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1.981,33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1.803,00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1.868,12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2.205,29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2.343,40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13.970.907 M (30 %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 (ROIC 46,6 %)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 frente al 15,3 %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 (histórico: 53,9 %)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48,2 % (hoy: 72,5 %)</w:t>
            </w:r>
          </w:p>
        </w:tc>
      </w:tr>
    </w:tbl>
    <w:p>
      <w:pPr>
        <w:spacing w:after="160" w:before="0"/>
      </w:pPr>
    </w:p>
    <w:p>
      <w:pPr>
        <w:spacing w:after="100"/>
      </w:pPr>
      <w:r>
        <w:t xml:space="preserve">La proyección reinvierte el 30 % del NOPAT. Con el ROIC del último ejercicio (46,6 %), eso financia un crecimiento del 13,9 % anual, frente al 15,3 % de ingresos proyectado. Supone que el capital nuevo rinde un 30,5 %, frente a un ROIC incremental histórico del 53,9 %; la cuota de mercado pasaría al 48,2 % desde el 72,5 %.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y 5 nm llenos y rampa del 2 nm (8 % de las obleas en el 3T26); precio: subidas en nodos avanzados y CoWoS; otros: mezcla [5,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 la nueva capacidad de 2 nm, Arizona y Kumamoto; precio con la mezcla hacia 2 y 3 nm.</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 el capex de 2026-2027; precio más moderado.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crecimiento del gasto en 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cercano al del mercado de fabricación por encargo.</w:t>
            </w:r>
          </w:p>
        </w:tc>
      </w:tr>
    </w:tbl>
    <w:p>
      <w:pPr>
        <w:spacing w:after="160" w:before="0"/>
      </w:pPr>
    </w:p>
    <w:p>
      <w:pPr>
        <w:spacing w:after="100"/>
      </w:pPr>
      <w:r>
        <w:t xml:space="preserve">Sí. El foso (72,5 % de las diez mayores fundiciones en el 2T26 y prácticamente el único fabricante a escala de 2-3 nm) [22] y el poder de precios sostienen el crecimiento proyectado (15,3 % anual), menor que el histórico (16,7 %). Con el capex que proyectamos, la reinversión financia al ROIC actual (46,6 %) un 13,9 % anual: la diferencia (1,4 puntos) entra en la tolerancia del motor, el capital nuevo rinde un 30,5 % frente a un ROIC incremental histórico del 53,9 % y la cuota del mercado amplio «Foundry 2.0» pasaría del ≈ 42 % al 48 % en 2035e [25].</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15,1 % (base: 11,8 %)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76,8 % (base: 67,5 %)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9,6 %)</w:t>
            </w:r>
          </w:p>
        </w:tc>
      </w:tr>
    </w:tbl>
    <w:p>
      <w:pPr>
        <w:spacing w:after="160" w:before="0"/>
      </w:pPr>
    </w:p>
    <w:p>
      <w:pPr>
        <w:spacing w:after="100"/>
      </w:pPr>
      <w:r>
        <w:t xml:space="preserve">El DCF da 1.981,33 TWD por acción, un 18,1 % por debajo del precio, con un WACC del 9,64 % y un valor terminal que pesa el 60 %. El DCF inverso dice que el precio de 2.420 TWD descuenta un crecimiento del 15,1 % anual en 2027e-2035e frente al 11,8 % de nuestro base, o una rentabilidad implícita del 8,3 %, algo más de un punto por debajo de nuestro WACC y casi igual a la que pide hoy el mercado (8,2 %). Con esa prima del mercado el DCF sube a 2.457,81 TWD: el precio está entre las dos lecturas.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IA se frena en 2027 como el de las telecomunicaciones en 2001: el crecimiento se queda 8 puntos por debajo del base y el margen baja 4 puntos por capacidad ociosa y fábricas caras en el extranjero, como en 2023 (ventas −8,7 % en TWD) [4].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sigue creciendo, pero a menos ritmo: +32 % en 2027 y +22 % en 2028 y convergencia gradual; margen EBITDA del 72 % al 67,5 % con la dilución del extranjero.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2.616,47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hiperescaladores mantienen el ritmo de 2026 y TSMC sube precios en 2 nm: 4 puntos más de crecimiento y 1,5 de margen, cerca del consenso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TWD) · precio actual 2.42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1.924,40 TWD (-20,5 %).</w:t>
      </w:r>
    </w:p>
    <w:p>
      <w:pPr>
        <w:spacing w:after="100"/>
      </w:pPr>
      <w:r>
        <w:t xml:space="preserve">La asimetría del valor intrínseco es mala: el alcista (2.616,47 TWD) apenas supera el precio y el bajista (1.118,48) pierde más de la mitad, porque el precio ya descuenta más crecimiento que nuestro base. A 12 meses la asimetría mejora (bajista −37 %, alcista +59 %), porque el PER de hoy (17,6 veces nuestro BPA de 2027e) no es caro para el crecimiento del beneficio.</w:t>
      </w:r>
    </w:p>
    <w:p>
      <w:pPr>
        <w:pStyle w:val="Heading1"/>
      </w:pPr>
      <w:r>
        <w:t xml:space="preserve">22. Suma de partes</w:t>
      </w:r>
    </w:p>
    <w:p>
      <w:pPr>
        <w:pStyle w:val="Confianza"/>
        <w:spacing w:after="100"/>
      </w:pPr>
      <w:r>
        <w:t xml:space="preserve">Confianza: Alta</w:t>
      </w:r>
    </w:p>
    <w:p>
      <w:pPr>
        <w:spacing w:after="100"/>
      </w:pPr>
      <w:r>
        <w:t xml:space="preserve">TSMC reporta un único segmento (fabricación por encargo) y todas sus plataformas comparten fábricas, tecnología y clientes: no hay negocios con perfiles distintos que valorar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TWD) · precio actual 2.42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2.432,10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2.196,92 TWD (-9,2 % sobre 2.420,00).</w:t>
      </w:r>
    </w:p>
    <w:p>
      <w:pPr>
        <w:spacing w:after="100"/>
      </w:pPr>
      <w:r>
        <w:t xml:space="preserve">Pesamos el DCF al 50 %, los escenarios al 30 % y los comparables al 20 %. El DCF es el método más fiable para un negocio con un capex tan alto, porque los múltiplos de Nvidia o Broadcom no cobran ese capex; los comparables suben el valor porque el sector cotiza a 22,3 veces el beneficio de los próximos 12 meses frente a 17,2 de TSMC [49, 50, 51, 52, 53, 54, 55, 56]. No hay transacciones comparables. La síntesis da 2.196,92 TWD, un 9,2 % por debajo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(17.6x) ÷ 1.1 (tope: la mediana de 5 años, 14.2x,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3.843,50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+59,9 %</w:t>
            </w:r>
          </w:p>
        </w:tc>
      </w:tr>
    </w:tbl>
    <w:p>
      <w:pPr>
        <w:spacing w:after="160" w:before="0"/>
      </w:pPr>
    </w:p>
    <w:p>
      <w:pPr>
        <w:spacing w:after="100"/>
      </w:pPr>
      <w:r>
        <w:rPr>
          <w:b/>
          <w:bCs/>
        </w:rPr>
        <w:t xml:space="preserve">Objetivo a 12 meses (ponderado):</w:t>
      </w:r>
      <w:r>
        <w:t xml:space="preserve"> 2.646,48 TWD · rentabilidad +10,4 % (base +9,0 %) · señal Mantener.</w:t>
      </w:r>
    </w:p>
    <w:p>
      <w:pPr>
        <w:spacing w:after="100"/>
      </w:pPr>
      <w:r>
        <w:t xml:space="preserve">Para comparar, con la regla v2 (historia al cierre, mismo precio): 11,4x / 17,6x / 22,3x, 15,4 % Mantener; con el tope anterior del base (×1,3, 14-oct mediodía): 9,0 %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(109,51 TWD) coincide con el consenso (110,2), pero el de 2027e (137,85) queda un 7 % por debajo (148,1) y el de 2028e (163,20) un 13 % (188,2) [43]. La diferencia es el margen: el consenso no recoge la dilución de 3-4 puntos de las fábricas del extranjero que anunció la dirección [20]. Además, nuestro PER base (16,0x) es menor que el que implica el objetivo medio de los analistas (3.387 TWD, 35 analistas) [43]. No acercamos la cifra.</w:t>
      </w:r>
    </w:p>
    <w:p>
      <w:pPr>
        <w:keepNext/>
        <w:spacing w:after="100"/>
      </w:pPr>
      <w:r>
        <w:rPr>
          <w:b/>
          <w:bCs/>
        </w:rPr>
        <w:t xml:space="preserve">Del valor intrínseco al objetivo a 12 meses.</w:t>
      </w:r>
    </w:p>
    <w:p>
      <w:pPr>
        <w:spacing w:after="100"/>
      </w:pPr>
      <w:r>
        <w:t xml:space="preserve">Objetivo ponderado de 2.646,48 TWD: +10,4 % con dividendo, por debajo del 15 % que exigimos. El BPA base crece un 35,6 % anual desde el de 2025 porque 2026 ya está casi cerrado (+67 %); de 2026e a 2028e el crecimiento es del 22 % anual. El PER base (16,0x) queda a mitad de camino entre el actual (17,6x) y la mediana adelantada (14,2x): a un año, el beneficio sube y el múltiplo baja. El valor intrínseco (2.196,92 TWD) queda por debajo del precio: para comprar haría falta las dos cosas.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 (crecimiento, capex, margen)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BPA de 2027 y la dilución de margen del extranjero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financieros del 3T26 (amortización, deuda corriente)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el EBITDA y el puente de este informe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Mensual (día 10)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indicador de desaceleración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a chips importados (Sección 232)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Podría encarecer la producción en Taiwán o forzar más inversión en Arizona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Rampa del 2 nm y del A16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precio por oblea; diluye el margen al principio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gasto en IA de los hiperescaladores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(bajista del DCF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por clientes y nodos; móviles y PC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con crecimiento interanual por debajo del 20 % [7]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PER de una operación concurrida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si vuelve al mínimo adelantado de 5 años (13,1x)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creciente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Foros locales decepcionados con resultados récord [61]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o bloqueo en el estrecho de Taiwán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o más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en Arizona, Japón y Alemania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Maniobras militares y sanciones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del margen por las fábricas del extranjero y el 2 nm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2 puntos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62 % [5]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Exceso de capacidad tras un capex récord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reservada con anticipos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inventario por encima de 95 (82 en el 3T26) [5]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Ventaja de rendimientos y ecosistema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diez primeros clientes son el 78 % de las ventas; el mayor, el 19 % [1]</w:t>
            </w:r>
          </w:p>
        </w:tc>
      </w:tr>
    </w:tbl>
    <w:p>
      <w:pPr>
        <w:spacing w:after="160" w:before="0"/>
      </w:pPr>
    </w:p>
    <w:p>
      <w:pPr>
        <w:pStyle w:val="Heading2"/>
      </w:pPr>
      <w:r>
        <w:t xml:space="preserve">Pre-mortem</w:t>
      </w:r>
    </w:p>
    <w:p>
      <w:pPr>
        <w:spacing w:after="100"/>
      </w:pPr>
      <w:r>
        <w:t xml:space="preserve">Es octubre de 2029 y TSMC ha perdido un 40 %. La historia más probable: en 2027 los hiperescaladores recortaron el crecimiento del gasto en centros de datos tras dos años sin rentabilizar la IA; los pedidos de 3 y 2 nm se frenaron justo cuando entraba la capacidad del capex récord de 2026-2028. Las ventas crecieron un 8 % en 2028, el margen bruto volvió al 55 % con fábricas a medio llenar y la amortización disparada, y el BPA se quedó plano; el PER volvió a su mínimo. Las señales: ventas mensuales por debajo del +20 %, días de inventario por encima de 95 y una guía de capex de 2027 que no sube.</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son la energía, el agua y el carbono en Taiwán. Una fábrica puntera consume muchísima electricidad y agua; la empresa avisa de cortes de luz, sequías y subidas de tarifas que encarecen el coste [1]. Desde 2026 paga la tasa de carbono taiwanesa por las emisiones de 2025, porque cada fábrica supera el umbral [1]. En 2025 usó o compró 5.780 GWh de renovables, certificados y créditos (2.795 GWh para que las plantas del extranjero funcionen al 100 % con energía limpia) y tiene contratos por 7,3 GW de renovables, equivalentes a 7,5 millones de toneladas de CO₂ al año [1]. Prepara la información según las normas NIIF S1 y S2 [1].</w:t>
      </w:r>
    </w:p>
    <w:p>
      <w:pPr>
        <w:pStyle w:val="Heading2"/>
      </w:pPr>
      <w:r>
        <w:t xml:space="preserve">Controversias</w:t>
      </w:r>
    </w:p>
    <w:p>
      <w:pPr>
        <w:spacing w:after="100"/>
      </w:pPr>
      <w:r>
        <w:t xml:space="preserve">Sin sanciones conocidas a 31-dic-2025. En octubre de 2024 TSMC avisó a las autoridades de EE. UU. y Taiwán de que un chip fabricado para un cliente podía haber acabado en una entidad sancionada, y colabora con la investigación, que sigue abierta [1]. En febrero de 2025 Marlin la demandó por patentes ante la Comisión de Comercio Internacional de EE. UU.; la empresa no puede estimar la contingencia [1]. Además soporta un escrutinio antimonopolio creciente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diluyen en 2027 el 2 nm y las fábricas del extranjero el margen bruto y cuánto compensan las subidas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BPA y el del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2027-2028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es «significativamente superior» y qué parte tiene contratos?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riesgo de exceso de capacidad.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exención consigue TSMC en la Sección 232 y a qué coste en Arizona?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regulatorio con fecha incierta.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tipo efectivo deja el impuesto mínimo global a partir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Proyectamos el 17 %; cada punto mueve ≈ 1 % el BPA.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foro Stock (Taiwán): hilo del comunicado del 3T26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400 comentarios el día de resultados: la mayoría lee las cifras como decepción (el BPA del trimestre no llega a 30 TWD y el margen bruto baja frente al 2T) y espera caída al día siguiente; una minoría recuerda que el trimestre es récord y que lo que cae no es el negocio sino el mercado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foro Stock: hilos de la semana posterior (objetivos de las casas extranjeras y frase del presidente)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Ironía general: las subidas de precio objetivo se leen como «dicen comprar mientras venden»; la broma del presidente («ya sabía que la acción podía bajar») se convierte en meme bajista. Algún comentario aislado pregunta por qué el mercado paga tan poco PER a una fábrica [62,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foro Stock: accidente laboral en la obra de la F22 de Kaohsiung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obreros muertos en la obra de la fábrica de 2 nm de Kaohsiung el 20-oct; los foreros lo ven como un problema de seguridad y de reputación, no de cotización, y debaten si habrá paralización de obras [64,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(TSM, ADR)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los últimos 30 mensajes (20-21 oct), la mitad marcados como alcistas y ninguno bajista: rebote del sector tras los resultados de SpaceX y la idea de que el PER adelantado está en mínimos; mucho ruido de opciones y objetivos de precio sin fundamento [66].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(titulares de autores, 12-20 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unos 15 artículos de autor en torno a los resultados, la mayoría alcistas («compra tras la caída», «el auge de la IA es mayor y más largo»), pero aparecen tres bajistas o de cautela: «puede que se vea un techo», «el dinero fácil ya se ha hecho» y una rebaja por el capex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(EE. UU.)</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día de resultados por el castigo al conjunto de la IA (tipos al alza, financiación circular, competencia china) y por la advertencia sobre los segmentos de consumo sensibles al precio; mantiene la recomendación de compra [68].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Business Today / 今周刊 (prensa taiwanesa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de la conferencia, la pregunta del inversor particular era si «perseguir» la acción en máximos; las casas extranjeras subían objetivos (Morgan Stanley, Goldman, Citi, Macquarie) y alimentaban la idea de un «nuevo techo» [69].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Reacción a los resultados: «buenas cifras, mala acción»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taiwanés castiga un trimestre que la propia empresa describe con margen operativo del 58,7 % (por encima de su guía del 56-58 %) y beneficio neto +68,7 % interanual; el BPA de 29,43 TWD y el margen bruto del 66,4 % (−1,3 puntos frente al 2T por el arranque del 2 nm) no son una decepción de negocio, sino de expectativas [70]. La acción cierra en 2.420 TWD, un 6,6 % por debajo del máximo del 6-oct [42]: la gente exagera el deterioro, pero acierta en que la expectativa estaba muy alta.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Burbuja de la IA y gasto de los hiperescaladores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la demanda de IA sigue «muy por encima» de su capacidad de suministro y sube la guía de 2026 a un crecimiento del 44 % en dólares; para el 4T espera 52.300-54.300 M USD [70]. Nada en las cifras de TSMC muestra desaceleración: el riesgo de la tesis bajista está en 2027-2028 (gasto de los clientes y financiación circular), que el trimestre no puede confirmar ni descartar.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a la baja por el 2 nm y las fábricas en el extranjero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tema mejor fundado del foro: el director financiero prevé que la dilución de las fábricas en el extranjero pase de cerca del 2 % a un 3-4 % en los próximos años y la guía del 4T (65-67 %) no recupera el 67,7 % del 2T [70]. Conviene que el escenario base no extrapole el margen del 2T.</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y expansión en EE. UU. (Texas, Terafab)</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reitera un capex de 60.000-64.000 M USD en 2026, dice que el de 2026-2028 será «aún más significativamente superior» al de los tres años anteriores y confirma que estudia Texas y el uso de capacidad de Terafab [70]. Los alcistas lo leen como visibilidad de demanda; los bajistas, como presión sobre el flujo de caja libre y el margen.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objetivo de las casas extranjeras «que no compran»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escepticismo de los particulares taiwaneses hacia los objetivos (hasta 3.850 TWD tras la conferencia según la prensa [62]) es una señal de desconfianza en el consenso, no un dato: los objetivos se comprueban en la sección de consenso, no aquí.</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Seguridad laboral en las obras (Kaohsiung)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muertos en la obra de la F22 el 20-oct [64]. No hay indicio de impacto en el calendario de producción; es un riesgo de reputación y de inspecciones que el análisis debe vigilar, no cuantificar.</w:t>
            </w:r>
          </w:p>
        </w:tc>
      </w:tr>
    </w:tbl>
    <w:p>
      <w:pPr>
        <w:spacing w:after="160" w:before="0"/>
      </w:pPr>
    </w:p>
    <w:p>
      <w:pPr>
        <w:spacing w:after="100"/>
      </w:pPr>
      <w:r>
        <w:t xml:space="preserve">El sentimiento se ha partido tras los resultados. En el foro taiwanés (PTT) domina la decepción y la ironía: se esperaba un BPA por encima de 30 TWD y un margen bruto récord, y la acción ha caído pese a un trimestre récord. En EE. UU. (Stocktwits, Seeking Alpha, Motley Fool) el tono sigue alcista y se ve la caída como ocasión de compra. No es euforia ni capitulación: es cansancio con la IA tras subir un 56 % en el año [42]. Lo útil para la decisión es el tema del margen: el foro acierta en que la guía del 4T no recupera el 67,7 % del 2T y la empresa anticipa más dilución exterior [70]. El particular taiwanés va contra el consenso de analistas, que sube objetivos: señal de expectativas ya altas, no un dato que cambie la valoración.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70 (35 primarias); citas distintas en el texto: 70.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30,5 % frente a un ROIC de 46,6 % y un incremental histórico de 53,9 %: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48,2 % en 2035e frente al 72,5 %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12,5 % frente a 12,7 % real: genera una variación de circulante de 214.828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1.563.160 M de flujo libre medio en sus tres primeros años, frente a 691.961 M de media real en los tres últimos: justifica el salto (circulante, inversión, márgenes) o ajusta los supuestos. Explicación: El salto es real y ya se ve: el flujo libre de los últimos 12 meses ronda 1,48 billones TWD [5, 15], el doble de la media de 2023-2025, porque las ventas crecen un 47 % en 2026 con un margen EBITDA del 72 % [5]. El capex proyectado (35-38 % de las ventas en 2026-2027) está por encima del de 2025 (34 %)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(163,20) supone un 35,6 % anual desde 65,47 (2025): explícalo en valoracion.objetivo_12m.comentario o la confianza es baja. Explicación: Desde 2025 el BPA de 2026e ya está casi hecho: 78,76 TWD en nueve meses [5, 8, 9] más el 4T con la guía dan ≈ 110 (+67 %). De 2026e a 2028e el crecimiento es del 22 % anual, por debajo del consenso (31 %) [43].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fuentes (35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4T24-2T25 y de 1T26-3T26, y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y presentaciones trimestrales en EDGAR (sin amortización trimestral); 2) estados financieros semestrales y de nueve meses (6-K: solo acumulados; el 1T26 no está en EDGAR y los del 3T26 salen en noviembre); 3) informe de gestión en investor.tsmc.com (403 desde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 y vencimientos año 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18 del 20-F de 2025 (lista de emisiones sin total por año); 2) tabla de obligaciones contractuales del Item 5 (por tramos y con intereses); 3) tabla de liquidez de la nota 33 (igual)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vencimientos solo 2026 (porción corriente) y resto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Item 16C del 20-F de 2025 (honorarios, sin antigüedad); 2) informe del auditor en el 20-F; 3) búsqueda en el texto del 20-F de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5-8 años y TCAC histórico y previsto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TrendForce: solo trimestres y el total de 2025 (169.500 M USD, +26,3 %), del que se deriva 2024; 2) Counterpoint: 2025 (320.000 M USD, +16 %) y trimestres de 2026, sin años anteriores ni previsión a cinco años (la página del 1T25 da 403); 3) TSMC: previsión de +14 % para «Foundry 2.0» en 2026 y TCAC de ≈25 % de sus propios ingresos en 2024-2029, que no es del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tres puntos (2024 derivado de la tasa de 2025; 2026e = 2025 × 1,14 con la previsión de TSMC, estimación propia); TCAC omitidos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Samsung Foundry; cuota de Intel Foundry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Samsung Electronics (la fundición va dentro de DS con System LSI, sin desglose); 2) TrendForce (solo ingresos trimestrales: 3.260 M USD en el 2T26); 3) Counterpoint (cuota ≈4 %, sin margen); Intel Foundry no aparece en el ranking de fundiciones puras porque casi todo es venta interna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 S&amp;P Global)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y resumen de reconocimientos en esg.tsmc.com (403 con descarga, curl y WebFetch); 2) página de Sustainalytics de TSMC (redirige a la portada); 3) búsqueda de MSCI y CDP (solo agregadores no oficiales y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voto_cupula_pct (porcentaje a favor en la elección de C. C. Wei como consejero, junta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6-K de las juntas de 2024 y 2026 en EDGAR: solo resoluciones, sin recuento; 2) informe anual de 2024 (página del consejo en investor.tsmc.com): sin recuento, y el acta de la junta da 403; 3) búsqueda en chino del número de votos («當選權數») en el acta: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 y 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orden del día de la junta de 2026 (6-K del 17-abr-2026): la remuneración de los consejeros es un punto informativo, no una votación; 2) 20-F de 2025, Item 6 y 16G: no hay voto consultivo sobre la remuneración en Taiwán; 3) 6-K de resultados de la junta de 2026: solo cuentas y estatutos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fundiciones con cambio de control 2019-2026: la única relevante (Intel-Tower, 5.400 M USD) se canceló en 2023 sin cerrarse; 2) operaciones de semiconductores con múltiplo publicado (AMD-Xilinx, ADI-Maxim, Renesas-Dialog): diseñadores sin fábricas, otro modelo de negocio; 3) participaciones minoritarias de TSMC (sociedades conjuntas de Japón, Alemania y Sony) sin precio de control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«n/a» [44]; 2) TWSE (préstamo de valores y ventas en descubierto): la web no abre sin JavaScript; 3) MarketScreener: no la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los próximos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ventas y BPA estimados; 2) MarketScreener: EBITDA estimado por empresa, pero exige una consulta por comparable y otro proveedor que el de los últimos 12 meses; 3) derivarlo de las ventas estimadas mezclaría definiciones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del 3T26: no da fecha [6]; 2) Stock Analysis: solo la fecha pasada (15-oct) [44]; 3) web de inversores de TSMC: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texto de los artículos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búsqueda de Reddit (r/stocks, último mes): 403; 2) páginas de tres artículos de Seeking Alpha posteriores a los resultados: 403 (solo se leen los titulares del RSS); 3) sustituido por PTT (foro taiwanés, abre sin bloqueo), Stocktwits por API y Motley Fool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on Form 20-F for the fiscal year ended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https://www.sec.gov/Archives/edgar/data/1046179/000162828026025362/tsm-20251231.htm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on Form 20-F for the fiscal year ended December 31,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https://www.sec.gov/Archives/edgar/data/1046179/000119312524099840/d592628d20f.htm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for the fiscal year ended December 31,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https://www.sec.gov/Archives/edgar/data/1046179/000119312521118512/d94821d20f.htm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de los 20-F de 2015-2024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https://data.sec.gov/api/xbrl/companyfacts/CIK0001046179.json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Reports Third Quarter EPS of NT$29.43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https://www.sec.gov/Archives/edgar/data/1046179/000104617926000726/a3q26e_withguidancexfinal.htm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Third Quarter Earnings Conference, presentación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https://www.sec.gov/Archives/edgar/data/1046179/000104617926000726/a3q26presentatione.htm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September 2026 Revenue Report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https://www.sec.gov/Archives/edgar/data/1046179/000104617926000680/tsm-revenue20261008.htm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Reports Second Quarter EPS of NT$27.25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https://www.sec.gov/Archives/edgar/data/1046179/000104617926000451/a2q26e_withguidancexfinal.htm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Reports First Quarter EPS of NT$22.08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https://www.sec.gov/Archives/edgar/data/1046179/000104617926000199/a1q26e_withguidancexfinal.htm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Reports Fourth Quarter EPS of NT$19.50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https://www.sec.gov/Archives/edgar/data/1046179/000104617926000008/a4q25e_withguidancexfinal.htm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Reports Third Quarter EPS of NT$17.44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https://www.sec.gov/Archives/edgar/data/1046179/000104617925000116/a3q25e_withguidancexfinal.htm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Reports Second Quarter EPS of NT$15.36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https://www.sec.gov/Archives/edgar/data/1046179/000104617925000082/a2q25e_withguidancexfinal.htm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Reports First Quarter EPS of NT$13.94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https://www.sec.gov/Archives/edgar/data/1046179/000104617925000035/a1q25e_withguidancexfinal.htm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Reports Fourth Quarter EPS of NT$14.45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https://www.sec.gov/Archives/edgar/data/1046179/000104617925000004/a4q24e_withguidancexfinal.htm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six months ended June 30, 2026 and 2025, con informe de revisión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https://www.sec.gov/Archives/edgar/data/1046179/000104617926000541/a2026q2consolidatedreport-.htm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nine months ended September 30, 2025 and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https://www.sec.gov/Archives/edgar/data/1046179/000104617925000128/a2025q3consolidatedreport-.htm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Board of Directors Meeting Resolutions, 10-feb-2026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https://www.sec.gov/Archives/edgar/data/1046179/000104617926000017/tsm-boardx20260210x6k.htm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Board of Directors Meeting Resolutions, 12-may-2026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https://www.sec.gov/Archives/edgar/data/1046179/000104617926000274/tsm-boardx20260512.htm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Board of Directors Meeting Resolutions, 11-ago-2026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https://www.sec.gov/Archives/edgar/data/1046179/000104617926000536/tsm-boardx20260811.htm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Semiconductor Reports Q3 2026 Results: Full Earnings Call Transcript (transcripción automática)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https://www.webull.com/news/15751044230423552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Second Quarter Earnings Conference, presentación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https://www.sec.gov/Archives/edgar/data/1046179/000104617926000451/a2q26presentatione.htm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Foundry Revenue Approaches US$53.49 Billion in 2Q26 as SMIC Narrows Market Share Gap with Samsung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https://www.trendforce.com/presscenter/news/20260909-13225.html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Demand Drives 4Q25 Global Top 10 Foundries Revenue Up 2.6% QoQ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https://www.trendforce.com/presscenter/news/20260312-12965.html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‘Foundry 2.0’ Market Climb to a Record $320 Billion in Revenues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Counterpoint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https://counterpointresearch.com/cn/insights/Global-Foundry-2.0-Market-Climb-to-a-Record-320-Billion-in-Revenues-in-2025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Foundry 2.0 Revenue Rises 25% YoY to a Record $96.6 Billion in Q2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Counterpoint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https://counterpointresearch.com/en/insights/global-foundry-20-revenue-rises-25-yoy-to-a-record-966-billion-in-as-advanced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Foundry 2.0 Revenue Rises 23% YoY in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Counterpoint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https://counterpointresearch.com/en/insights/global-foundry-revenue-rises-q1-2-206-ai-demand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UMC, Annual Report on Form 20-F 2025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https://www.sec.gov/Archives/edgar/data/1033767/000119312526193757/0001193125-26-193757-index.htm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GlobalFoundries, Annual Report on Form 20-F 2025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GlobalFoundries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https://www.sec.gov/Archives/edgar/data/1709048/000170904826000022/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SMIC 2025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SMIC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https://www.hkexnews.hk/listedco/listconews/sehk/2026/0408/2026040801181.pdf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Intel Corporation,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https://www.sec.gov/Archives/edgar/data/50863/000005086326000011/intc-20251227.htm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(TSM.US) Q4 2025 Earnings Call Full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https://www.itiger.com/hans/news/1163623376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Shareholders' Meeting Resolutions (junta de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https://www.sec.gov/Archives/edgar/data/1046179/000104617926000302/tsm-agmx20260604x6k.htm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(LSEG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https://investor.tsmc.com/english/encrypt/files/encrypt_file/reports/2026-10/eba4fac72873bf546b669bd2b5d973df5c93215d/TSMC%203Q26%20Transcript.pdf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(LSEG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https://investor.tsmc.com/english/encrypt/files/encrypt_file/reports/2026-01/51d09df96cd89ac19d65af39032b038dc2896a24/TSMC%204Q25%20Transcript.pdf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(Refinitiv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https://investor.tsmc.com/english/encrypt/files/encrypt_file/reports/2025-01/84aeb15bbe33894365d33f52e027c5268ba95dcf/TSMC%204Q24%20Transcript.pdf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(Refinitiv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https://investor.tsmc.com/english/encrypt/files/encrypt_file/reports/2024-03/1979f7d585d258f1026b753e4b8a98a046bc81d3/TSMC%204Q23%20Transcript.pdf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6-K mensuales: cambios en las participaciones de consejeros y directivos (informes de octubre de 2025 a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https://www.sec.gov/Archives/edgar/data/1046179/000104617926000660/tsm-monthend6kx20260924.htm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TSMC (presentados desde marzo de 2026; venta de Arthur Chuang del 19-may-2026)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https://www.sec.gov/Archives/edgar/data/1046179/000104617926000286/wk-form4_1779186503.xml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Ursula M. Burns (compra de 1.000 ADR)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https://www.sec.gov/Archives/edgar/data/1046179/000104617926000132/wk-form4_1775040313.xml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the revision to the agenda for 2026 Annual Shareholders' Meeting,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https://www.sec.gov/Archives/edgar/data/1046179/000104617926000203/tsm-boardx20260417x6k.htm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Shareholders Elect Board of Directors; Board of Directors Unanimously Elects Dr. C.C. Wei as Chairman and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https://pr.tsmc.com/english/news/3148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2330.TW, ^TWII y SOXX (precio, rango de 52 semanas, volumen, rentabilidades, beta y cierres de ejercicio) hasta 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https://finance.yahoo.com/quote/2330.TW/history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(2330): Financial Data, Forecasts, Estimates (estimaciones 2026-2028) y Target Price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https://www.marketscreener.com/quote/stock/TSMC-TAIWAN-SEMICONDUCTOR-6492349/finances/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TPE:2330 Stock Forecast &amp; Price Targets y Statistics &amp; Valuation Metrics (datos de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https://stockanalysis.com/quote/tpe/2330/forecast/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Taiex ends at fresh high as TSMC smashes closing records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Focus Taiwan (CNA)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https://focustaiwan.tw/cross-strait/202604140012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shares close at record high but fall short of 50,000 points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Focus Taiwan (CNA)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https://focustaiwan.tw/business/202610060015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Taiex suffers biggest single-day point drop in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Focus Taiwan (CNA)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https://focustaiwan.tw/business/202607170015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raises 2026 sales growth forecast to 44%, leaves capex unchanged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Focus Taiwan (CNA)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https://focustaiwan.tw/business/202610150018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Statistics &amp; Valuation Metrics y Stock Forecast (datos de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https://stockanalysis.com/stocks/nvda/statistics/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Statistics &amp; Valuation Metrics y Stock Forecast (datos de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https://stockanalysis.com/stocks/avgo/statistics/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AMD: Statistics &amp; Valuation Metrics y Stock Forecast (datos de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Statistics &amp; Valuation Metrics y Stock Forecast (datos de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https://stockanalysis.com/stocks/asml/statistics/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Materials: Statistics &amp; Valuation Metrics y Stock Forecast (datos de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https://stockanalysis.com/stocks/amat/statistics/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GlobalFoundries: Statistics &amp; Valuation Metrics y Stock Forecast (datos de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https://stockanalysis.com/stocks/gfs/statistics/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UMC (TPE:2303): Statistics &amp; Valuation Metrics y Stock Forecast (datos de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https://stockanalysis.com/quote/tpe/2303/statistics/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SMIC (HKG:0981): Statistics &amp; Valuation Metrics y Stock Forecast (datos de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https://stockanalysis.com/quote/hkg/0981/statistics/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USD/TWD (32,394) y HKD/TWD (4,134), cierre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https://finance.yahoo.com/quote/TWD=X/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(Taiwán: Aa3, prima de riesgo país 0,78 %)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10Y Bond Yield (2,01 % el 21-oct-2026; cotizaciones interbancarias del mercado no organizado)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https://tradingeconomics.com/taiwan/government-bond-yield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[情報] 2330台積電 Q3 29.43 (hilo de resultados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foro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https://www.ptt.cc/bbs/Stock/M.1792042262.A.74F.html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[新聞] 台積電法說會好消息不斷！4大外資上修目標價</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foro Stock (noticia de Liberty Times con comentarios)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https://www.ptt.cc/bbs/Stock/M.1792114476.A.806.html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[新聞] 魏哲家「台積電法說會後」吐心聲：早就知道股票會跌</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foro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https://www.ptt.cc/bbs/Stock/M.1792141306.A.53E.html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[新聞] 台積電高雄廠工安意外傷者搶救無效 死亡增至4人</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foro Stock (noticia de Liberty Times con comentarios)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https://www.ptt.cc/bbs/Stock/M.1792551973.A.729.html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[新聞] 台積電高雄廠爆工安意外 4工人焊接鋼梁重摔</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foro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https://www.ptt.cc/bbs/Stock/M.1792496200.A.D53.html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 flujo de mensajes (API pública)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https://api.stocktwits.com/api/2/streams/symbol/TSM.json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 canal de artículos y noticias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https://seekingalpha.com/api/sa/combined/TSM.xml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Just Posted Record Profit for the Sixth Straight Quarter. Why Did the Stock Fall?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https://www.fool.com/investing/2026/10/15/tsmc-just-posted-record-profit-for-the-sixth-straight-quarter-why-did-the-stock-fall/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台積電法說會時間10/15！9月營收次高…股價2550元能追？</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 (今周刊)</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https://www.businesstoday.com.tw/article/category/183008/post/202610080023/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(TSM) Q3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TSMC (transcripción de 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https://www.fool.com/earnings/call-transcripts/2026/10/15/tsmc-tsm-q3-2026-earnings-call-transcript/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83,0 %</w:t>
      </w:r>
      <w:r>
        <w:t xml:space="preserve"> · Secciones con menos del 60 % de campos cubiertos: </w:t>
      </w:r>
      <w:r>
        <w:rPr>
          <w:b/>
          <w:bCs/>
        </w:rPr>
        <w:t xml:space="preserve">capital, transacciones, riesgos</w:t>
      </w:r>
      <w:r>
        <w:t xml:space="preserve"> · Generado el 21 oct 2026.</w:t>
      </w:r>
    </w:p>
    <w:p>
      <w:pPr>
        <w:pStyle w:val="Nota"/>
        <w:spacing w:after="100"/>
      </w:pPr>
      <w:r>
        <w:t xml:space="preserve">Línea elegida: la acción local 2330 de la Bolsa de Taiwán, en TWD (el ADR TSM de la NYSE equivale a 5 acciones). Cuentas anuales del XBRL de los 20-F (2015-2024) y del 20-F de 2025 [1, 4], en NIIF del IASB; los trimestres, los últimos 12 meses y el consenso local van en TIFRS (el BPA de 2025 es 65,47 TWD en el 20-F y 66,25 en TIFRS por el momento en que se registra el impuesto del 5 % sobre beneficios no distribuidos) [1, 10]. La web de inversores de TSMC da error desde la nube: los documentos salen de EDGAR (6-K y 20-F). La amortización del 3T26 y la porción corriente de la deuda a 30-sep no se publican hasta los estados del 3T26 (mediados de noviembre): el EBITDA de los últimos 12 meses y la deuda del puente son estimaciones propias [15]. El precio es el cierre del 21-oct-2026 (2.420 TWD) [42].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Taiwan Semiconductor Manufacturing Company Limited (TSMC) (2330.TW)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2.420,00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(1.375,00 – 2.590,00)</c:v>
                </c:pt>
                <c:pt idx="1">
                  <c:v>Precio objetivo de los analistas (2.650,00 – 5.000,00)</c:v>
                </c:pt>
                <c:pt idx="2">
                  <c:v>Comparables: PER NTM (2.837,88 – 3.977,46)</c:v>
                </c:pt>
                <c:pt idx="3">
                  <c:v>DCF (WACC y g ± 0,5) (1.795,85 – 2.217,59)</c:v>
                </c:pt>
                <c:pt idx="4">
                  <c:v>Escenarios (bajista – alcista) (1.118,48 – 2.616,47)</c:v>
                </c:pt>
                <c:pt idx="5">
                  <c:v>DCF con la prima implícita del mercado (4,2 %)</c:v>
                </c:pt>
                <c:pt idx="6">
                  <c:v>Precio actual (2.420,00)</c:v>
                </c:pt>
              </c:strCache>
            </c:strRef>
          </c:cat>
          <c:val>
            <c:numRef>
              <c:f>Hoja1!$B$2:$B$8</c:f>
              <c:numCache>
                <c:formatCode>#,##0</c:formatCode>
                <c:ptCount val="7"/>
                <c:pt idx="0">
                  <c:v>1375</c:v>
                </c:pt>
                <c:pt idx="1">
                  <c:v>2650</c:v>
                </c:pt>
                <c:pt idx="2">
                  <c:v>2837.88</c:v>
                </c:pt>
                <c:pt idx="3">
                  <c:v>1795.85</c:v>
                </c:pt>
                <c:pt idx="4">
                  <c:v>1118.48</c:v>
                </c:pt>
                <c:pt idx="5">
                  <c:v>2271.75</c:v>
                </c:pt>
                <c:pt idx="6">
                  <c:v>2407.9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(1.375,00 – 2.590,00)</c:v>
                </c:pt>
                <c:pt idx="1">
                  <c:v>Precio objetivo de los analistas (2.650,00 – 5.000,00)</c:v>
                </c:pt>
                <c:pt idx="2">
                  <c:v>Comparables: PER NTM (2.837,88 – 3.977,46)</c:v>
                </c:pt>
                <c:pt idx="3">
                  <c:v>DCF (WACC y g ± 0,5) (1.795,85 – 2.217,59)</c:v>
                </c:pt>
                <c:pt idx="4">
                  <c:v>Escenarios (bajista – alcista) (1.118,48 – 2.616,47)</c:v>
                </c:pt>
                <c:pt idx="5">
                  <c:v>DCF con la prima implícita del mercado (4,2 %)</c:v>
                </c:pt>
                <c:pt idx="6">
                  <c:v>Precio actual (2.420,00)</c:v>
                </c:pt>
              </c:strCache>
            </c:strRef>
          </c:cat>
          <c:val>
            <c:numRef>
              <c:f>Hoja1!$C$2:$C$8</c:f>
              <c:numCache>
                <c:formatCode>#,##0</c:formatCode>
                <c:ptCount val="7"/>
                <c:pt idx="0">
                  <c:v>1215</c:v>
                </c:pt>
                <c:pt idx="1">
                  <c:v>2350</c:v>
                </c:pt>
                <c:pt idx="2">
                  <c:v>1139.58</c:v>
                </c:pt>
                <c:pt idx="3">
                  <c:v>421.74000000000024</c:v>
                </c:pt>
                <c:pt idx="4">
                  <c:v>1497.9899999999998</c:v>
                </c:pt>
                <c:pt idx="5">
                  <c:v>403.1700000000001</c:v>
                </c:pt>
                <c:pt idx="6">
                  <c:v>24.199999999999818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(TWD, millones)</a:t>
            </a:r>
          </a:p>
        </c:rich>
      </c:tx>
      <c:overlay val="0"/>
    </c:title>
    <c:autoTitleDeleted val="0"/>
    <c:plotArea>
      <c:layout/>
      <c:barChart>
        <c:barDir val="col"/>
        <c:grouping val="stacked"/>
        <c:varyColors val="0"/>
        <c:ser>
          <c:idx val="0"/>
          <c:order val="0"/>
          <c:tx>
            <c:strRef>
              <c:f>Hoja1!$B$1</c:f>
              <c:strCache>
                <c:ptCount val="1"/>
                <c:pt idx="0">
                  <c:v>Computación de alto rendimiento (HPC)</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587780</c:v>
                </c:pt>
                <c:pt idx="1">
                  <c:v>932384</c:v>
                </c:pt>
                <c:pt idx="2">
                  <c:v>934769</c:v>
                </c:pt>
                <c:pt idx="3">
                  <c:v>1476891</c:v>
                </c:pt>
                <c:pt idx="4">
                  <c:v>2192931</c:v>
                </c:pt>
              </c:numCache>
            </c:numRef>
          </c:val>
        </c:ser>
        <c:ser>
          <c:idx val="1"/>
          <c:order val="1"/>
          <c:tx>
            <c:strRef>
              <c:f>Hoja1!$C$1</c:f>
              <c:strCache>
                <c:ptCount val="1"/>
                <c:pt idx="0">
                  <c:v>Smartphone</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695091</c:v>
                </c:pt>
                <c:pt idx="1">
                  <c:v>888879</c:v>
                </c:pt>
                <c:pt idx="2">
                  <c:v>814914</c:v>
                </c:pt>
                <c:pt idx="3">
                  <c:v>1005130</c:v>
                </c:pt>
                <c:pt idx="4">
                  <c:v>1110816</c:v>
                </c:pt>
              </c:numCache>
            </c:numRef>
          </c:val>
        </c:ser>
        <c:ser>
          <c:idx val="2"/>
          <c:order val="2"/>
          <c:tx>
            <c:strRef>
              <c:f>Hoja1!$D$1</c:f>
              <c:strCache>
                <c:ptCount val="1"/>
                <c:pt idx="0">
                  <c:v>Internet de las cosas (IoT)</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133006</c:v>
                </c:pt>
                <c:pt idx="1">
                  <c:v>196115</c:v>
                </c:pt>
                <c:pt idx="2">
                  <c:v>161917</c:v>
                </c:pt>
                <c:pt idx="3">
                  <c:v>165516</c:v>
                </c:pt>
                <c:pt idx="4">
                  <c:v>191047</c:v>
                </c:pt>
              </c:numCache>
            </c:numRef>
          </c:val>
        </c:ser>
        <c:ser>
          <c:idx val="3"/>
          <c:order val="3"/>
          <c:tx>
            <c:strRef>
              <c:f>Hoja1!$E$1</c:f>
              <c:strCache>
                <c:ptCount val="1"/>
                <c:pt idx="0">
                  <c:v>Automoción</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67077</c:v>
                </c:pt>
                <c:pt idx="1">
                  <c:v>116381</c:v>
                </c:pt>
                <c:pt idx="2">
                  <c:v>133654</c:v>
                </c:pt>
                <c:pt idx="3">
                  <c:v>139323</c:v>
                </c:pt>
                <c:pt idx="4">
                  <c:v>186667</c:v>
                </c:pt>
              </c:numCache>
            </c:numRef>
          </c:val>
        </c:ser>
        <c:ser>
          <c:idx val="4"/>
          <c:order val="4"/>
          <c:tx>
            <c:strRef>
              <c:f>Hoja1!$F$1</c:f>
              <c:strCache>
                <c:ptCount val="1"/>
                <c:pt idx="0">
                  <c:v>Electrónica de consumo digital (DCE)</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55577</c:v>
                </c:pt>
                <c:pt idx="1">
                  <c:v>56159</c:v>
                </c:pt>
                <c:pt idx="2">
                  <c:v>47000</c:v>
                </c:pt>
                <c:pt idx="3">
                  <c:v>47961</c:v>
                </c:pt>
                <c:pt idx="4">
                  <c:v>47997</c:v>
                </c:pt>
              </c:numCache>
            </c:numRef>
          </c:val>
        </c:ser>
        <c:ser>
          <c:idx val="5"/>
          <c:order val="5"/>
          <c:tx>
            <c:strRef>
              <c:f>Hoja1!$G$1</c:f>
              <c:strCache>
                <c:ptCount val="1"/>
                <c:pt idx="0">
                  <c:v>Otros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48884</c:v>
                </c:pt>
                <c:pt idx="1">
                  <c:v>73973</c:v>
                </c:pt>
                <c:pt idx="2">
                  <c:v>69482</c:v>
                </c:pt>
                <c:pt idx="3">
                  <c:v>59487</c:v>
                </c:pt>
                <c:pt idx="4">
                  <c:v>79596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Computación de alto rendimiento (HPC)</c:v>
                </c:pt>
                <c:pt idx="1">
                  <c:v>Smartphone</c:v>
                </c:pt>
                <c:pt idx="2">
                  <c:v>Internet de las cosas (IoT)</c:v>
                </c:pt>
                <c:pt idx="3">
                  <c:v>Automoción</c:v>
                </c:pt>
                <c:pt idx="4">
                  <c:v>Electrónica de consumo digital (DCE)</c:v>
                </c:pt>
                <c:pt idx="5">
                  <c:v>Otros</c:v>
                </c:pt>
              </c:strCache>
            </c:strRef>
          </c:cat>
          <c:val>
            <c:numRef>
              <c:f>Hoja1!$B$2:$B$7</c:f>
              <c:numCache>
                <c:formatCode>General</c:formatCode>
                <c:ptCount val="6"/>
                <c:pt idx="0">
                  <c:v>57.6</c:v>
                </c:pt>
                <c:pt idx="1">
                  <c:v>29.2</c:v>
                </c:pt>
                <c:pt idx="2">
                  <c:v>5</c:v>
                </c:pt>
                <c:pt idx="3">
                  <c:v>4.9</c:v>
                </c:pt>
                <c:pt idx="4">
                  <c:v>1.3</c:v>
                </c:pt>
                <c:pt idx="5">
                  <c:v>2.1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Norteamérica</c:v>
                </c:pt>
                <c:pt idx="1">
                  <c:v>Asia-Pacífico (sin China ni Japón)</c:v>
                </c:pt>
                <c:pt idx="2">
                  <c:v>China</c:v>
                </c:pt>
                <c:pt idx="3">
                  <c:v>Japón</c:v>
                </c:pt>
                <c:pt idx="4">
                  <c:v>EMEA</c:v>
                </c:pt>
              </c:strCache>
            </c:strRef>
          </c:cat>
          <c:val>
            <c:numRef>
              <c:f>Hoja1!$B$2:$B$6</c:f>
              <c:numCache>
                <c:formatCode>0"%"</c:formatCode>
                <c:ptCount val="5"/>
                <c:pt idx="0">
                  <c:v>75.5</c:v>
                </c:pt>
                <c:pt idx="1">
                  <c:v>8.6</c:v>
                </c:pt>
                <c:pt idx="2">
                  <c:v>8.6</c:v>
                </c:pt>
                <c:pt idx="3">
                  <c:v>4</c:v>
                </c:pt>
                <c:pt idx="4">
                  <c:v>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mercado «Foundry 2.0» (Counterpoint))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2024</c:v>
                </c:pt>
                <c:pt idx="1">
                  <c:v>2025</c:v>
                </c:pt>
                <c:pt idx="2">
                  <c:v>2026e</c:v>
                </c:pt>
              </c:strCache>
            </c:strRef>
          </c:cat>
          <c:val>
            <c:numRef>
              <c:f>Hoja1!$B$2:$B$4</c:f>
              <c:numCache>
                <c:formatCode>#,##0</c:formatCode>
                <c:ptCount val="3"/>
                <c:pt idx="0">
                  <c:v>275.9</c:v>
                </c:pt>
                <c:pt idx="1">
                  <c:v>320</c:v>
                </c:pt>
                <c:pt idx="2">
                  <c:v>364.8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TSMC</c:v>
                </c:pt>
                <c:pt idx="1">
                  <c:v>Samsung Foundry</c:v>
                </c:pt>
                <c:pt idx="2">
                  <c:v>SMIC</c:v>
                </c:pt>
                <c:pt idx="3">
                  <c:v>UMC</c:v>
                </c:pt>
                <c:pt idx="4">
                  <c:v>GlobalFoundries</c:v>
                </c:pt>
                <c:pt idx="5">
                  <c:v>Intel Foundry</c:v>
                </c:pt>
              </c:strCache>
            </c:strRef>
          </c:cat>
          <c:val>
            <c:numRef>
              <c:f>Hoja1!$B$2:$B$7</c:f>
              <c:numCache>
                <c:formatCode>0.0"%"</c:formatCode>
                <c:ptCount val="6"/>
                <c:pt idx="0">
                  <c:v>50.8</c:v>
                </c:pt>
                <c:pt idx="2">
                  <c:v>11.9</c:v>
                </c:pt>
                <c:pt idx="3">
                  <c:v>18.5</c:v>
                </c:pt>
                <c:pt idx="4">
                  <c:v>11.7</c:v>
                </c:pt>
                <c:pt idx="5">
                  <c:v>-57.9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4</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(TWD,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947938.3</c:v>
                </c:pt>
                <c:pt idx="1">
                  <c:v>977447.2</c:v>
                </c:pt>
                <c:pt idx="2">
                  <c:v>1031473.6</c:v>
                </c:pt>
                <c:pt idx="3">
                  <c:v>1069985.4</c:v>
                </c:pt>
                <c:pt idx="4">
                  <c:v>1339254.8</c:v>
                </c:pt>
                <c:pt idx="5">
                  <c:v>1587415</c:v>
                </c:pt>
                <c:pt idx="6">
                  <c:v>2263891.3</c:v>
                </c:pt>
                <c:pt idx="7">
                  <c:v>2161735.8</c:v>
                </c:pt>
                <c:pt idx="8">
                  <c:v>2894307.7</c:v>
                </c:pt>
                <c:pt idx="9">
                  <c:v>3809054.3</c:v>
                </c:pt>
                <c:pt idx="10">
                  <c:v>5595501</c:v>
                </c:pt>
                <c:pt idx="11">
                  <c:v>7386061</c:v>
                </c:pt>
                <c:pt idx="12">
                  <c:v>9010994</c:v>
                </c:pt>
                <c:pt idx="13">
                  <c:v>10272534</c:v>
                </c:pt>
                <c:pt idx="14">
                  <c:v>11299787</c:v>
                </c:pt>
                <c:pt idx="15">
                  <c:v>12203770</c:v>
                </c:pt>
                <c:pt idx="16">
                  <c:v>13058034</c:v>
                </c:pt>
                <c:pt idx="17">
                  <c:v>13776226</c:v>
                </c:pt>
                <c:pt idx="18">
                  <c:v>14396156</c:v>
                </c:pt>
                <c:pt idx="19">
                  <c:v>14900021</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601786.2</c:v>
                </c:pt>
                <c:pt idx="1">
                  <c:v>645701.9</c:v>
                </c:pt>
                <c:pt idx="2">
                  <c:v>676169.8</c:v>
                </c:pt>
                <c:pt idx="3">
                  <c:v>659585.3</c:v>
                </c:pt>
                <c:pt idx="4">
                  <c:v>898508.3</c:v>
                </c:pt>
                <c:pt idx="5">
                  <c:v>1072375.8</c:v>
                </c:pt>
                <c:pt idx="6">
                  <c:v>1558533.2</c:v>
                </c:pt>
                <c:pt idx="7">
                  <c:v>1453656.5</c:v>
                </c:pt>
                <c:pt idx="8">
                  <c:v>1984849.6</c:v>
                </c:pt>
                <c:pt idx="9">
                  <c:v>2624188.1</c:v>
                </c:pt>
                <c:pt idx="10">
                  <c:v>4028761</c:v>
                </c:pt>
                <c:pt idx="11">
                  <c:v>5207173</c:v>
                </c:pt>
                <c:pt idx="12">
                  <c:v>6307696</c:v>
                </c:pt>
                <c:pt idx="13">
                  <c:v>7139411</c:v>
                </c:pt>
                <c:pt idx="14">
                  <c:v>7796853</c:v>
                </c:pt>
                <c:pt idx="15">
                  <c:v>8359582</c:v>
                </c:pt>
                <c:pt idx="16">
                  <c:v>8879463</c:v>
                </c:pt>
                <c:pt idx="17">
                  <c:v>9367834</c:v>
                </c:pt>
                <c:pt idx="18">
                  <c:v>9717405</c:v>
                </c:pt>
                <c:pt idx="19">
                  <c:v>10057514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50.1</c:v>
                </c:pt>
                <c:pt idx="1">
                  <c:v>50.6</c:v>
                </c:pt>
                <c:pt idx="2">
                  <c:v>48.3</c:v>
                </c:pt>
                <c:pt idx="3">
                  <c:v>46</c:v>
                </c:pt>
                <c:pt idx="4">
                  <c:v>53.1</c:v>
                </c:pt>
                <c:pt idx="5">
                  <c:v>51.6</c:v>
                </c:pt>
                <c:pt idx="6">
                  <c:v>59.6</c:v>
                </c:pt>
                <c:pt idx="7">
                  <c:v>54.4</c:v>
                </c:pt>
                <c:pt idx="8">
                  <c:v>56.1</c:v>
                </c:pt>
                <c:pt idx="9">
                  <c:v>59.9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63.5</c:v>
                </c:pt>
                <c:pt idx="1">
                  <c:v>66.1</c:v>
                </c:pt>
                <c:pt idx="2">
                  <c:v>65.6</c:v>
                </c:pt>
                <c:pt idx="3">
                  <c:v>61.6</c:v>
                </c:pt>
                <c:pt idx="4">
                  <c:v>67.1</c:v>
                </c:pt>
                <c:pt idx="5">
                  <c:v>67.6</c:v>
                </c:pt>
                <c:pt idx="6">
                  <c:v>68.8</c:v>
                </c:pt>
                <c:pt idx="7">
                  <c:v>67.2</c:v>
                </c:pt>
                <c:pt idx="8">
                  <c:v>68.6</c:v>
                </c:pt>
                <c:pt idx="9">
                  <c:v>68.9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39.9</c:v>
                </c:pt>
                <c:pt idx="1">
                  <c:v>39.4</c:v>
                </c:pt>
                <c:pt idx="2">
                  <c:v>37.2</c:v>
                </c:pt>
                <c:pt idx="3">
                  <c:v>34.8</c:v>
                </c:pt>
                <c:pt idx="4">
                  <c:v>42.3</c:v>
                </c:pt>
                <c:pt idx="5">
                  <c:v>40.9</c:v>
                </c:pt>
                <c:pt idx="6">
                  <c:v>49.5</c:v>
                </c:pt>
                <c:pt idx="7">
                  <c:v>42.6</c:v>
                </c:pt>
                <c:pt idx="8">
                  <c:v>45.7</c:v>
                </c:pt>
                <c:pt idx="9">
                  <c:v>50.8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35</c:v>
                </c:pt>
                <c:pt idx="1">
                  <c:v>35.3</c:v>
                </c:pt>
                <c:pt idx="2">
                  <c:v>35.2</c:v>
                </c:pt>
                <c:pt idx="3">
                  <c:v>33.1</c:v>
                </c:pt>
                <c:pt idx="4">
                  <c:v>38.1</c:v>
                </c:pt>
                <c:pt idx="5">
                  <c:v>37.3</c:v>
                </c:pt>
                <c:pt idx="6">
                  <c:v>43.9</c:v>
                </c:pt>
                <c:pt idx="7">
                  <c:v>39.4</c:v>
                </c:pt>
                <c:pt idx="8">
                  <c:v>40</c:v>
                </c:pt>
                <c:pt idx="9">
                  <c:v>44.6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38.8</c:v>
                </c:pt>
                <c:pt idx="1">
                  <c:v>41.6</c:v>
                </c:pt>
                <c:pt idx="2">
                  <c:v>38.6</c:v>
                </c:pt>
                <c:pt idx="3">
                  <c:v>30.3</c:v>
                </c:pt>
                <c:pt idx="4">
                  <c:v>20.5</c:v>
                </c:pt>
                <c:pt idx="5">
                  <c:v>35.1</c:v>
                </c:pt>
                <c:pt idx="6">
                  <c:v>36</c:v>
                </c:pt>
                <c:pt idx="7">
                  <c:v>50.9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49</c:v>
                </c:pt>
                <c:pt idx="1">
                  <c:v>45</c:v>
                </c:pt>
                <c:pt idx="2">
                  <c:v>46</c:v>
                </c:pt>
                <c:pt idx="3">
                  <c:v>47</c:v>
                </c:pt>
                <c:pt idx="4">
                  <c:v>40</c:v>
                </c:pt>
                <c:pt idx="5">
                  <c:v>45</c:v>
                </c:pt>
                <c:pt idx="6">
                  <c:v>37</c:v>
                </c:pt>
                <c:pt idx="7">
                  <c:v>34</c:v>
                </c:pt>
                <c:pt idx="8">
                  <c:v>34</c:v>
                </c:pt>
                <c:pt idx="9">
                  <c:v>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38</c:v>
                </c:pt>
                <c:pt idx="1">
                  <c:v>56</c:v>
                </c:pt>
                <c:pt idx="2">
                  <c:v>71</c:v>
                </c:pt>
                <c:pt idx="3">
                  <c:v>52</c:v>
                </c:pt>
                <c:pt idx="4">
                  <c:v>80</c:v>
                </c:pt>
                <c:pt idx="5">
                  <c:v>92</c:v>
                </c:pt>
                <c:pt idx="6">
                  <c:v>88</c:v>
                </c:pt>
                <c:pt idx="7">
                  <c:v>93</c:v>
                </c:pt>
                <c:pt idx="8">
                  <c:v>83</c:v>
                </c:pt>
                <c:pt idx="9">
                  <c:v>69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20</c:v>
                </c:pt>
                <c:pt idx="1">
                  <c:v>21</c:v>
                </c:pt>
                <c:pt idx="2">
                  <c:v>23</c:v>
                </c:pt>
                <c:pt idx="3">
                  <c:v>25</c:v>
                </c:pt>
                <c:pt idx="4">
                  <c:v>23</c:v>
                </c:pt>
                <c:pt idx="5">
                  <c:v>22</c:v>
                </c:pt>
                <c:pt idx="6">
                  <c:v>22</c:v>
                </c:pt>
                <c:pt idx="7">
                  <c:v>21</c:v>
                </c:pt>
                <c:pt idx="8">
                  <c:v>21</c:v>
                </c:pt>
                <c:pt idx="9">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(TWD,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204243.79999999996</c:v>
                </c:pt>
                <c:pt idx="1">
                  <c:v>246766.69999999995</c:v>
                </c:pt>
                <c:pt idx="2">
                  <c:v>248038.70000000004</c:v>
                </c:pt>
                <c:pt idx="3">
                  <c:v>138858.89999999997</c:v>
                </c:pt>
                <c:pt idx="4">
                  <c:v>301488.3</c:v>
                </c:pt>
                <c:pt idx="5">
                  <c:v>258105.39999999994</c:v>
                </c:pt>
                <c:pt idx="6">
                  <c:v>506325.9000000001</c:v>
                </c:pt>
                <c:pt idx="7">
                  <c:v>266418.8000000001</c:v>
                </c:pt>
                <c:pt idx="8">
                  <c:v>839670.0000000002</c:v>
                </c:pt>
                <c:pt idx="9">
                  <c:v>969792.9000000001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331713.7</c:v>
                </c:pt>
                <c:pt idx="1">
                  <c:v>344998.3</c:v>
                </c:pt>
                <c:pt idx="2">
                  <c:v>363052.7</c:v>
                </c:pt>
                <c:pt idx="3">
                  <c:v>353948</c:v>
                </c:pt>
                <c:pt idx="4">
                  <c:v>510744</c:v>
                </c:pt>
                <c:pt idx="5">
                  <c:v>592359.2</c:v>
                </c:pt>
                <c:pt idx="6">
                  <c:v>992923.4</c:v>
                </c:pt>
                <c:pt idx="7">
                  <c:v>851740</c:v>
                </c:pt>
                <c:pt idx="8">
                  <c:v>1158380.2</c:v>
                </c:pt>
                <c:pt idx="9">
                  <c:v>1697604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30.4</c:v>
                </c:pt>
                <c:pt idx="1">
                  <c:v>30.2</c:v>
                </c:pt>
                <c:pt idx="2">
                  <c:v>28.7</c:v>
                </c:pt>
                <c:pt idx="3">
                  <c:v>25.7</c:v>
                </c:pt>
                <c:pt idx="4">
                  <c:v>34.2</c:v>
                </c:pt>
                <c:pt idx="5">
                  <c:v>34.3</c:v>
                </c:pt>
                <c:pt idx="6">
                  <c:v>45.2</c:v>
                </c:pt>
                <c:pt idx="7">
                  <c:v>29.6</c:v>
                </c:pt>
                <c:pt idx="8">
                  <c:v>35.4</c:v>
                </c:pt>
                <c:pt idx="9">
                  <c:v>46.6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9.6</c:v>
                </c:pt>
                <c:pt idx="1">
                  <c:v>9.6</c:v>
                </c:pt>
                <c:pt idx="2">
                  <c:v>9.6</c:v>
                </c:pt>
                <c:pt idx="3">
                  <c:v>9.6</c:v>
                </c:pt>
                <c:pt idx="4">
                  <c:v>9.6</c:v>
                </c:pt>
                <c:pt idx="5">
                  <c:v>9.6</c:v>
                </c:pt>
                <c:pt idx="6">
                  <c:v>9.6</c:v>
                </c:pt>
                <c:pt idx="7">
                  <c:v>9.6</c:v>
                </c:pt>
                <c:pt idx="8">
                  <c:v>9.6</c:v>
                </c:pt>
                <c:pt idx="9">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24.4</c:v>
                </c:pt>
                <c:pt idx="1">
                  <c:v>24.2</c:v>
                </c:pt>
                <c:pt idx="2">
                  <c:v>23</c:v>
                </c:pt>
                <c:pt idx="3">
                  <c:v>21.6</c:v>
                </c:pt>
                <c:pt idx="4">
                  <c:v>29.6</c:v>
                </c:pt>
                <c:pt idx="5">
                  <c:v>29.7</c:v>
                </c:pt>
                <c:pt idx="6">
                  <c:v>39.3</c:v>
                </c:pt>
                <c:pt idx="7">
                  <c:v>26.9</c:v>
                </c:pt>
                <c:pt idx="8">
                  <c:v>30.2</c:v>
                </c:pt>
                <c:pt idx="9">
                  <c:v>35.4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-0.49</c:v>
                </c:pt>
                <c:pt idx="1">
                  <c:v>-0.53</c:v>
                </c:pt>
                <c:pt idx="2">
                  <c:v>-0.56</c:v>
                </c:pt>
                <c:pt idx="3">
                  <c:v>-0.4</c:v>
                </c:pt>
                <c:pt idx="4">
                  <c:v>-0.32</c:v>
                </c:pt>
                <c:pt idx="5">
                  <c:v>-0.29</c:v>
                </c:pt>
                <c:pt idx="6">
                  <c:v>-0.29</c:v>
                </c:pt>
                <c:pt idx="7">
                  <c:v>-0.35</c:v>
                </c:pt>
                <c:pt idx="8">
                  <c:v>-0.54</c:v>
                </c:pt>
                <c:pt idx="9">
                  <c:v>-0.65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(TWD,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136926</c:v>
                </c:pt>
                <c:pt idx="1">
                  <c:v>896062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(TWD,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155582.3</c:v>
                </c:pt>
                <c:pt idx="1">
                  <c:v>181512.7</c:v>
                </c:pt>
                <c:pt idx="2">
                  <c:v>207443</c:v>
                </c:pt>
                <c:pt idx="3">
                  <c:v>259303.8</c:v>
                </c:pt>
                <c:pt idx="4">
                  <c:v>259303.8</c:v>
                </c:pt>
                <c:pt idx="5">
                  <c:v>265786.4</c:v>
                </c:pt>
                <c:pt idx="6">
                  <c:v>285234.2</c:v>
                </c:pt>
                <c:pt idx="7">
                  <c:v>291721.9</c:v>
                </c:pt>
                <c:pt idx="8">
                  <c:v>363055.2</c:v>
                </c:pt>
                <c:pt idx="9">
                  <c:v>466779.2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0</c:v>
                </c:pt>
                <c:pt idx="6">
                  <c:v>0</c:v>
                </c:pt>
                <c:pt idx="7">
                  <c:v>0</c:v>
                </c:pt>
                <c:pt idx="8">
                  <c:v>3089.2</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Otro externo</c:v>
                </c:pt>
                <c:pt idx="2">
                  <c:v>Dominical</c:v>
                </c:pt>
                <c:pt idx="3">
                  <c:v>Independiente</c:v>
                </c:pt>
              </c:strCache>
            </c:strRef>
          </c:cat>
          <c:val>
            <c:numRef>
              <c:f>Hoja1!$B$2:$B$5</c:f>
              <c:numCache>
                <c:formatCode>0</c:formatCode>
                <c:ptCount val="4"/>
                <c:pt idx="0">
                  <c:v>1</c:v>
                </c:pt>
                <c:pt idx="1">
                  <c:v>1</c:v>
                </c:pt>
                <c:pt idx="2">
                  <c:v>1</c:v>
                </c:pt>
                <c:pt idx="3">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Fondo Nacional de Desarrollo (Yuan Ejecutivo de Taiwán)</c:v>
                </c:pt>
                <c:pt idx="1">
                  <c:v>Titulares de ADR (Citibank, depositario)</c:v>
                </c:pt>
                <c:pt idx="2">
                  <c:v>Consejeros y directivos (sin el Fondo)</c:v>
                </c:pt>
                <c:pt idx="3">
                  <c:v>Autocartera</c:v>
                </c:pt>
              </c:strCache>
            </c:strRef>
          </c:cat>
          <c:val>
            <c:numRef>
              <c:f>Hoja1!$B$2:$B$5</c:f>
              <c:numCache>
                <c:formatCode>0.0"%"</c:formatCode>
                <c:ptCount val="4"/>
                <c:pt idx="0">
                  <c:v>6.38</c:v>
                </c:pt>
                <c:pt idx="1">
                  <c:v>20.49</c:v>
                </c:pt>
                <c:pt idx="2">
                  <c:v>0.23</c:v>
                </c:pt>
                <c:pt idx="3">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26.9</c:v>
                </c:pt>
                <c:pt idx="1">
                  <c:v>26.4</c:v>
                </c:pt>
                <c:pt idx="2">
                  <c:v>-1.7</c:v>
                </c:pt>
                <c:pt idx="3">
                  <c:v>46.8</c:v>
                </c:pt>
                <c:pt idx="4">
                  <c:v>60.1</c:v>
                </c:pt>
                <c:pt idx="5">
                  <c:v>16</c:v>
                </c:pt>
                <c:pt idx="6">
                  <c:v>-27.1</c:v>
                </c:pt>
                <c:pt idx="7">
                  <c:v>32.2</c:v>
                </c:pt>
                <c:pt idx="8">
                  <c:v>81.3</c:v>
                </c:pt>
                <c:pt idx="9">
                  <c:v>44.2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c:v>
                </c:pt>
                <c:pt idx="1">
                  <c:v>15</c:v>
                </c:pt>
                <c:pt idx="2">
                  <c:v>-8.6</c:v>
                </c:pt>
                <c:pt idx="3">
                  <c:v>23.3</c:v>
                </c:pt>
                <c:pt idx="4">
                  <c:v>22.8</c:v>
                </c:pt>
                <c:pt idx="5">
                  <c:v>23.7</c:v>
                </c:pt>
                <c:pt idx="6">
                  <c:v>-22.4</c:v>
                </c:pt>
                <c:pt idx="7">
                  <c:v>26.8</c:v>
                </c:pt>
                <c:pt idx="8">
                  <c:v>28.5</c:v>
                </c:pt>
                <c:pt idx="9">
                  <c:v>25.7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14.6</c:v>
                </c:pt>
                <c:pt idx="1">
                  <c:v>7.2</c:v>
                </c:pt>
                <c:pt idx="2">
                  <c:v>10.2</c:v>
                </c:pt>
                <c:pt idx="3">
                  <c:v>13.5</c:v>
                </c:pt>
                <c:pt idx="4">
                  <c:v>14.7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13.5</c:v>
                </c:pt>
                <c:pt idx="1">
                  <c:v>13.5</c:v>
                </c:pt>
                <c:pt idx="2">
                  <c:v>13.5</c:v>
                </c:pt>
                <c:pt idx="3">
                  <c:v>13.5</c:v>
                </c:pt>
                <c:pt idx="4">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TSMC</c:v>
                </c:pt>
                <c:pt idx="1">
                  <c:v>Nvidia</c:v>
                </c:pt>
                <c:pt idx="2">
                  <c:v>Broadcom</c:v>
                </c:pt>
                <c:pt idx="3">
                  <c:v>AMD</c:v>
                </c:pt>
                <c:pt idx="4">
                  <c:v>ASML</c:v>
                </c:pt>
                <c:pt idx="5">
                  <c:v>Applied Materials</c:v>
                </c:pt>
                <c:pt idx="6">
                  <c:v>GlobalFoundries</c:v>
                </c:pt>
                <c:pt idx="7">
                  <c:v>UMC</c:v>
                </c:pt>
                <c:pt idx="8">
                  <c:v>SMIC</c:v>
                </c:pt>
              </c:strCache>
            </c:strRef>
          </c:cat>
          <c:val>
            <c:numRef>
              <c:f>Hoja1!$B$2:$B$10</c:f>
              <c:numCache>
                <c:formatCode>0.0"x"</c:formatCode>
                <c:ptCount val="9"/>
                <c:pt idx="0">
                  <c:v>11.2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(TWD,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1294278</c:v>
                </c:pt>
                <c:pt idx="1">
                  <c:v>1467219</c:v>
                </c:pt>
                <c:pt idx="2">
                  <c:v>1927984</c:v>
                </c:pt>
                <c:pt idx="3">
                  <c:v>2563502</c:v>
                </c:pt>
                <c:pt idx="4">
                  <c:v>3072823</c:v>
                </c:pt>
                <c:pt idx="5">
                  <c:v>3558506</c:v>
                </c:pt>
                <c:pt idx="6">
                  <c:v>4039796</c:v>
                </c:pt>
                <c:pt idx="7">
                  <c:v>4572101</c:v>
                </c:pt>
                <c:pt idx="8">
                  <c:v>5022347</c:v>
                </c:pt>
                <c:pt idx="9">
                  <c:v>5438850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(TWD,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19540355</c:v>
                </c:pt>
                <c:pt idx="1">
                  <c:v>29100429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(TWD) · precio actual 2.420,00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1118.48</c:v>
                </c:pt>
                <c:pt idx="1">
                  <c:v>1981.33</c:v>
                </c:pt>
                <c:pt idx="2">
                  <c:v>2616.47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2.420,00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(1.375,00 – 2.590,00)</c:v>
                </c:pt>
                <c:pt idx="1">
                  <c:v>Precio objetivo de los analistas (2.650,00 – 5.000,00)</c:v>
                </c:pt>
                <c:pt idx="2">
                  <c:v>Comparables: PER NTM (2.837,88 – 3.977,46)</c:v>
                </c:pt>
                <c:pt idx="3">
                  <c:v>DCF (WACC y g ± 0,5) (1.795,85 – 2.217,59)</c:v>
                </c:pt>
                <c:pt idx="4">
                  <c:v>Escenarios (bajista – alcista) (1.118,48 – 2.616,47)</c:v>
                </c:pt>
                <c:pt idx="5">
                  <c:v>DCF con la prima implícita del mercado (4,2 %)</c:v>
                </c:pt>
                <c:pt idx="6">
                  <c:v>Precio actual (2.420,00)</c:v>
                </c:pt>
              </c:strCache>
            </c:strRef>
          </c:cat>
          <c:val>
            <c:numRef>
              <c:f>Hoja1!$B$2:$B$8</c:f>
              <c:numCache>
                <c:formatCode>#,##0</c:formatCode>
                <c:ptCount val="7"/>
                <c:pt idx="0">
                  <c:v>1375</c:v>
                </c:pt>
                <c:pt idx="1">
                  <c:v>2650</c:v>
                </c:pt>
                <c:pt idx="2">
                  <c:v>2837.88</c:v>
                </c:pt>
                <c:pt idx="3">
                  <c:v>1795.85</c:v>
                </c:pt>
                <c:pt idx="4">
                  <c:v>1118.48</c:v>
                </c:pt>
                <c:pt idx="5">
                  <c:v>2271.75</c:v>
                </c:pt>
                <c:pt idx="6">
                  <c:v>2407.9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(1.375,00 – 2.590,00)</c:v>
                </c:pt>
                <c:pt idx="1">
                  <c:v>Precio objetivo de los analistas (2.650,00 – 5.000,00)</c:v>
                </c:pt>
                <c:pt idx="2">
                  <c:v>Comparables: PER NTM (2.837,88 – 3.977,46)</c:v>
                </c:pt>
                <c:pt idx="3">
                  <c:v>DCF (WACC y g ± 0,5) (1.795,85 – 2.217,59)</c:v>
                </c:pt>
                <c:pt idx="4">
                  <c:v>Escenarios (bajista – alcista) (1.118,48 – 2.616,47)</c:v>
                </c:pt>
                <c:pt idx="5">
                  <c:v>DCF con la prima implícita del mercado (4,2 %)</c:v>
                </c:pt>
                <c:pt idx="6">
                  <c:v>Precio actual (2.420,00)</c:v>
                </c:pt>
              </c:strCache>
            </c:strRef>
          </c:cat>
          <c:val>
            <c:numRef>
              <c:f>Hoja1!$C$2:$C$8</c:f>
              <c:numCache>
                <c:formatCode>#,##0</c:formatCode>
                <c:ptCount val="7"/>
                <c:pt idx="0">
                  <c:v>1215</c:v>
                </c:pt>
                <c:pt idx="1">
                  <c:v>2350</c:v>
                </c:pt>
                <c:pt idx="2">
                  <c:v>1139.58</c:v>
                </c:pt>
                <c:pt idx="3">
                  <c:v>421.74000000000024</c:v>
                </c:pt>
                <c:pt idx="4">
                  <c:v>1497.9899999999998</c:v>
                </c:pt>
                <c:pt idx="5">
                  <c:v>403.1700000000001</c:v>
                </c:pt>
                <c:pt idx="6">
                  <c:v>24.199999999999818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