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ExlService Holdings, Inc.</w:t>
      </w:r>
    </w:p>
    <w:p>
      <w:pPr>
        <w:spacing w:after="60"/>
        <w:rPr>
          <w:color w:val="52514E"/>
          <w:sz w:val="22"/>
          <w:szCs w:val="22"/>
        </w:rPr>
      </w:pPr>
      <w:r>
        <w:rPr>
          <w:color w:val="52514E"/>
          <w:sz w:val="22"/>
          <w:szCs w:val="22"/>
        </w:rPr>
        <w:t xml:space="preserve">EXLS · Nasdaq Global Select Market · ISIN US3020811044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39,76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49,28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+23,9 % (base +22,8 %)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26,16 USD · mercado 30,48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6.040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ExlService Holdings,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EXLS / US3020811044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MidCap 400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Servicios de TI y de procesos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1999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https://www.exlservice.com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39,76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24,85 – 43,88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6.040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6.372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78,5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49,28 USD</w:t>
      </w:r>
      <w:r>
        <w:t xml:space="preserve"> frente a 39,76 · Rentabilidad a 12 meses </w:t>
      </w:r>
      <w:r>
        <w:rPr>
          <w:b/>
          <w:bCs/>
        </w:rPr>
        <w:t xml:space="preserve">+23,9 % (base +22,8 %)</w:t>
      </w:r>
      <w:r>
        <w:t xml:space="preserve"> · Valor intrínseco 26,16 USD · con la prima implícita del mercado: 30,48 (-23,3 %) · Alcista / bajista -20,4 % / -55,2 %</w:t>
      </w:r>
    </w:p>
    <w:p>
      <w:pPr>
        <w:spacing w:after="100"/>
      </w:pPr>
      <w:r>
        <w:rPr>
          <w:b/>
        </w:rPr>
        <w:t xml:space="preserve">La recomendación y por qué.</w:t>
      </w:r>
      <w:r>
        <w:t xml:space="preserve"> Mantener, con convicción media. La regla a 12 meses da un objetivo de 49,28 USD (nuestro BPA con pagos en acciones de 2028e × el PER de la regla común), un +23,9 % ponderado y un +22,8 % en el caso base frente a un precio de 39,76 USD (cierre del 19-oct-2026). Pero el valor intrínseco (26,16 USD) queda un 34,2 % bajo el precio, y la regla exige que lo cubra: no es Comprar. El objetivo medio de los analistas (45,13) queda entre los dos. La razón: EXL es un negocio de calidad (ROIC del 28 %) que vuelve a crecer al 15 %, pero el precio ya descuenta un crecimiento del 16 % anual hasta 2033 o el margen sin pagos en acciones, y la IA generativa amenaza el 45 % de sus ventas. La convicción es media: las dos reglas del valor intrínseco (con nuestro WACC y con la prima del mercado) coinciden y el precio está lejos de los dos umbrales, pero la regla a 12 meses sí daría Comprar por rentabilidad. Subiría la convicción en el Mantener una guía de 2027 de dos cifras con margen GAAP al alza; la bajaría ver datos e IA por debajo del 15 %. Compraríamos por debajo de 26,16 USD.</w:t>
      </w:r>
    </w:p>
    <w:p>
      <w:pPr>
        <w:spacing w:after="100"/>
      </w:pPr>
      <w:r>
        <w:rPr>
          <w:b/>
        </w:rPr>
        <w:t xml:space="preserve">El negocio.</w:t>
      </w:r>
      <w:r>
        <w:t xml:space="preserve"> EXL hace para aseguradoras, sanidad y bancos de EE. UU. y Reino Unido trabajo de datos, analítica e IA (61 % de las ventas en el 2T26) y procesos externalizados (siniestros, pólizas, cobros, integridad de pagos), con más de 65.000 empleados, sobre todo en la India [1, 13]. Seguros es el 39,8 % de las ventas y salud el 25,6 %; los diez primeros clientes, el 34 %. El ROIC es del 28,4 %, ≈ 18 puntos sobre el WACC: calidad «Sí». La sostenibilidad del crecimiento es «Sí»: proyectamos un 8,1 % anual, menos que el histórico (13,2 %), sin capital.</w:t>
      </w:r>
    </w:p>
    <w:p>
      <w:pPr>
        <w:spacing w:after="100"/>
      </w:pPr>
      <w:r>
        <w:rPr>
          <w:b/>
        </w:rPr>
        <w:t xml:space="preserve">Finanzas.</w:t>
      </w:r>
      <w:r>
        <w:t xml:space="preserve"> Ingresos de 2.088 M USD en 2025 (+13,6 %) y 1.165 M en el primer semestre de 2026 (+14,7 %); margen EBITDA GAAP del 17,9 % (21,7 % ajustado, sin los 79,5 M de pagos en acciones) [1, 3]. Guía de 2026: 2.390-2.415 M y 2,25-2,29 USD de BPA ajustado. Deuda neta casi nula (381 M de deuda y 290 M de caja e inversiones en junio, más 170 M de iMerit en agosto) y flujo libre de 298 M en 2025, casi todo a recompras (329 M) [2].</w:t>
      </w:r>
    </w:p>
    <w:p>
      <w:pPr>
        <w:spacing w:after="100"/>
      </w:pPr>
      <w:r>
        <w:rPr>
          <w:b/>
        </w:rPr>
        <w:t xml:space="preserve">Equipo y gobierno.</w:t>
      </w:r>
      <w:r>
        <w:t xml:space="preserve"> Rohit Kapoor, cofundador y consejero delegado desde 2008, ha batido la guía cuatro años seguidos [3]. Debilidades: presidente y consejero delegado a la vez, la recompra a Orogen (ligada al consejero coordinador) y la salida de Vivek Jetley, responsable del 60 % de las ventas, el 26-oct [12, 24].</w:t>
      </w:r>
    </w:p>
    <w:p>
      <w:pPr>
        <w:spacing w:after="100"/>
      </w:pPr>
      <w:r>
        <w:rPr>
          <w:b/>
        </w:rPr>
        <w:t xml:space="preserve">Valoración.</w:t>
      </w:r>
      <w:r>
        <w:t xml:space="preserve"> El DCF da 27,36 USD (−31 %) con un WACC del 10,46 %; el DCF inverso descuenta un crecimiento del 16 % anual o un margen del 24 %. Con la prima del mercado (4,2 %) vale 32,60 USD, aún un 18 % bajo el precio. La regla a 12 meses sube el PER de 20,1 a 22,1 veces (mediana de cinco años 27,7; tope de ×1,1); el bajista (17,7 veces sobre un BPA un 17 % menor) vale 32,39 USD.</w:t>
      </w:r>
    </w:p>
    <w:p>
      <w:pPr>
        <w:spacing w:after="100"/>
      </w:pPr>
      <w:r>
        <w:rPr>
          <w:b/>
        </w:rPr>
        <w:t xml:space="preserve">Riesgos y catalizadores.</w:t>
      </w:r>
      <w:r>
        <w:t xml:space="preserve"> El riesgo central es la IA (exposición alta): sustituye el trabajo por horas que EXL vende; las operaciones digitales ya caen un 1,5 %. Después, la concentración en seguros, la rupia (31 % de los gastos), los pagos en acciones y el precio tras subir un 45 % en tres meses. Catalizador: resultados del 3T26 el 27-oct-2026.</w:t>
      </w:r>
    </w:p>
    <w:p>
      <w:pPr>
        <w:spacing w:after="100"/>
      </w:pPr>
      <w:r>
        <w:rPr>
          <w:b/>
        </w:rPr>
        <w:t xml:space="preserve">Qué cambiaría la decisión.</w:t>
      </w:r>
      <w:r>
        <w:t xml:space="preserve"> Comprar por debajo de 26,16 USD; Mantener entre 26,16 y 54,75; vender por encima de 54,75. Una guía de 2027 de dos cifras con margen GAAP subiendo y operaciones digitales estables mejoraría el valor intrínseco; datos e IA frenando por debajo del 15 % lo empeoraría.</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49,28 USD</w:t>
      </w:r>
      <w:r>
        <w:t xml:space="preserve"> (rentabilidad +23,9 % (base +22,8 %)) · Valor intrínseco: 26,16 USD (-34,2 % sobre 39,76) · con la prima implícita del mercado: 30,48 (-23,3 %)</w:t>
      </w:r>
    </w:p>
    <w:p>
      <w:pPr>
        <w:spacing w:after="100"/>
      </w:pPr>
      <w:r>
        <w:t xml:space="preserve">EXL es la empresa de procesos externalizados que mejor ha girado hacia los datos y la IA: el 61 % de sus ventas ya viene de ahí y crece al 30 %, con un ROIC del 28 % y caja casi neta. Vende a aseguradoras y sanidad de EE. UU. trabajo crítico (siniestros, integridad de pagos) en el que conoce los datos y los procesos de sus clientes [1, 13].</w:t>
      </w:r>
    </w:p>
    <w:p>
      <w:pPr>
        <w:spacing w:after="100"/>
      </w:pPr>
      <w:r>
        <w:t xml:space="preserve">El precio descuenta mucho: un crecimiento del 16 % anual hasta 2033, o el margen sin pagos en acciones, según el DCF inverso; el valor intrínseco, con los pagos en acciones como coste y un WACC del 10,5 %, es de 26,16 USD. A la vez, el PER (20,1 veces) está por debajo de su historia (27,7) porque el mercado duda de que la IA deje en pie el trabajo por horas.</w:t>
      </w:r>
    </w:p>
    <w:p>
      <w:pPr>
        <w:spacing w:after="100"/>
      </w:pPr>
      <w:r>
        <w:t xml:space="preserve">Para invertir hay que creer que EXL gana la transición a la IA y crece a dos cifras durante años. Es posible, pero no es el caso base, y el precio no deja margen si falla.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 × 1,83 = 32,39 · 22,1x × 2,21 = 48,84 · 27,7x × 2,42 = 67,03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23,9 % / 22,8 %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45,13 (nuestro base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 / -55,2 %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frente a 10,5 % y 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30,48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 frente a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(8,1 %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26,16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26,16 y 54,75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54,75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26,16 USD: Comprar (ponderada ≥ 15 %, base ≥ 12 % y valor intrínseco por encima).</w:t>
      </w:r>
    </w:p>
    <w:p>
      <w:pPr>
        <w:pStyle w:val="ListParagraph"/>
        <w:numPr>
          <w:ilvl w:val="0"/>
          <w:numId w:val="2"/>
        </w:numPr>
        <w:spacing w:after="60"/>
      </w:pPr>
      <w:r>
        <w:t xml:space="preserve">Precio entre 26,16 y 54,75 USD: Mantener.</w:t>
      </w:r>
    </w:p>
    <w:p>
      <w:pPr>
        <w:pStyle w:val="ListParagraph"/>
        <w:numPr>
          <w:ilvl w:val="0"/>
          <w:numId w:val="2"/>
        </w:numPr>
        <w:spacing w:after="60"/>
      </w:pPr>
      <w:r>
        <w:t xml:space="preserve">Guía de 2027 (febrero) por encima del 12 % con margen GAAP al alza: revisar el valor intrínseco al alza.</w:t>
      </w:r>
    </w:p>
    <w:p>
      <w:pPr>
        <w:pStyle w:val="ListParagraph"/>
        <w:numPr>
          <w:ilvl w:val="0"/>
          <w:numId w:val="2"/>
        </w:numPr>
        <w:spacing w:after="60"/>
      </w:pPr>
      <w:r>
        <w:t xml:space="preserve">Datos e IA por debajo del 15 % o pérdida de un cliente de los diez primeros: rebajar.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EXL es ganadora de la IA y crece a dos cifras con margen ajustado del 21-22 %; los analistas esperan 45 USD (+13,5 %), todos con compra.</w:t>
      </w:r>
    </w:p>
    <w:p>
      <w:pPr>
        <w:keepNext/>
        <w:spacing w:after="100"/>
      </w:pPr>
      <w:r>
        <w:rPr>
          <w:b/>
          <w:bCs/>
        </w:rPr>
        <w:t xml:space="preserve">Lo que creemos nosotros.</w:t>
      </w:r>
    </w:p>
    <w:p>
      <w:pPr>
        <w:spacing w:after="100"/>
      </w:pPr>
      <w:r>
        <w:t xml:space="preserve">Compartimos el crecimiento de 2026 y casi el de 2027, pero no que dure: la IA abarata el trabajo que vende y lo pasa a contratos por resultado. Y contamos los pagos en acciones como coste: el BPA real es un 20 % menor que el ajustado.</w:t>
      </w:r>
    </w:p>
    <w:p>
      <w:pPr>
        <w:keepNext/>
        <w:spacing w:after="100"/>
      </w:pPr>
      <w:r>
        <w:rPr>
          <w:b/>
          <w:bCs/>
        </w:rPr>
        <w:t xml:space="preserve">Por qué podemos tener razón.</w:t>
      </w:r>
    </w:p>
    <w:p>
      <w:pPr>
        <w:spacing w:after="100"/>
      </w:pPr>
      <w:r>
        <w:t xml:space="preserve">Las operaciones digitales ya caen; el 30 % de crecimiento de datos e IA incluye reclasificaciones, y la caída del 3-feb-2026 mostró lo rápido que el mercado cambia de opinión.</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3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ROIC del 28 %</w:t>
      </w:r>
      <w:r>
        <w:t xml:space="preserve">: ≈ 18 puntos sobre el WACC, con caja casi neta.</w:t>
      </w:r>
    </w:p>
    <w:p>
      <w:pPr>
        <w:pStyle w:val="ListParagraph"/>
        <w:numPr>
          <w:ilvl w:val="0"/>
          <w:numId w:val="2"/>
        </w:numPr>
        <w:spacing w:after="60"/>
      </w:pPr>
      <w:r>
        <w:rPr>
          <w:b/>
        </w:rPr>
        <w:t xml:space="preserve">Datos e IA</w:t>
      </w:r>
      <w:r>
        <w:t xml:space="preserve">: el 61 % de las ventas, creciendo un 30 % en el 2T26.</w:t>
      </w:r>
    </w:p>
    <w:p>
      <w:pPr>
        <w:pStyle w:val="ListParagraph"/>
        <w:numPr>
          <w:ilvl w:val="0"/>
          <w:numId w:val="2"/>
        </w:numPr>
        <w:spacing w:after="60"/>
      </w:pPr>
      <w:r>
        <w:rPr>
          <w:b/>
        </w:rPr>
        <w:t xml:space="preserve">Guía cumplida</w:t>
      </w:r>
      <w:r>
        <w:t xml:space="preserve">: cuatro años batiendo y subiendo la guía; 2026 subida dos veces.</w:t>
      </w:r>
    </w:p>
    <w:p>
      <w:pPr>
        <w:pStyle w:val="ListParagraph"/>
        <w:numPr>
          <w:ilvl w:val="0"/>
          <w:numId w:val="2"/>
        </w:numPr>
        <w:spacing w:after="60"/>
      </w:pPr>
      <w:r>
        <w:rPr>
          <w:b/>
        </w:rPr>
        <w:t xml:space="preserve">PER bajo para su historia</w:t>
      </w:r>
      <w:r>
        <w:t xml:space="preserve">: 20,1 veces frente a una mediana de 27,7.</w:t>
      </w:r>
    </w:p>
    <w:p>
      <w:pPr>
        <w:pStyle w:val="ListParagraph"/>
        <w:numPr>
          <w:ilvl w:val="0"/>
          <w:numId w:val="2"/>
        </w:numPr>
        <w:spacing w:after="60"/>
      </w:pPr>
      <w:r>
        <w:rPr>
          <w:b/>
        </w:rPr>
        <w:t xml:space="preserve">Recompras</w:t>
      </w:r>
      <w:r>
        <w:t xml:space="preserve">: 329 M USD en 2025 y 350 M disponibles.</w:t>
      </w:r>
    </w:p>
    <w:p>
      <w:pPr>
        <w:pStyle w:val="Heading2"/>
      </w:pPr>
      <w:r>
        <w:t xml:space="preserve">En contra</w:t>
      </w:r>
    </w:p>
    <w:p>
      <w:pPr>
        <w:pStyle w:val="ListParagraph"/>
        <w:numPr>
          <w:ilvl w:val="0"/>
          <w:numId w:val="2"/>
        </w:numPr>
        <w:spacing w:after="60"/>
      </w:pPr>
      <w:r>
        <w:rPr>
          <w:b/>
        </w:rPr>
        <w:t xml:space="preserve">Riesgo de IA</w:t>
      </w:r>
      <w:r>
        <w:t xml:space="preserve">: el 45 % de las ventas es trabajo por horas que la IA puede sustituir.</w:t>
      </w:r>
    </w:p>
    <w:p>
      <w:pPr>
        <w:pStyle w:val="ListParagraph"/>
        <w:numPr>
          <w:ilvl w:val="0"/>
          <w:numId w:val="2"/>
        </w:numPr>
        <w:spacing w:after="60"/>
      </w:pPr>
      <w:r>
        <w:rPr>
          <w:b/>
        </w:rPr>
        <w:t xml:space="preserve">Valor intrínseco bajo el precio</w:t>
      </w:r>
      <w:r>
        <w:t xml:space="preserve">: 26,16 USD, −34 %.</w:t>
      </w:r>
    </w:p>
    <w:p>
      <w:pPr>
        <w:pStyle w:val="ListParagraph"/>
        <w:numPr>
          <w:ilvl w:val="0"/>
          <w:numId w:val="2"/>
        </w:numPr>
        <w:spacing w:after="60"/>
      </w:pPr>
      <w:r>
        <w:rPr>
          <w:b/>
        </w:rPr>
        <w:t xml:space="preserve">Pagos en acciones</w:t>
      </w:r>
      <w:r>
        <w:t xml:space="preserve">: 3,8-4,1 % de las ventas, fuera del BPA ajustado.</w:t>
      </w:r>
    </w:p>
    <w:p>
      <w:pPr>
        <w:pStyle w:val="ListParagraph"/>
        <w:numPr>
          <w:ilvl w:val="0"/>
          <w:numId w:val="2"/>
        </w:numPr>
        <w:spacing w:after="60"/>
      </w:pPr>
      <w:r>
        <w:rPr>
          <w:b/>
        </w:rPr>
        <w:t xml:space="preserve">Concentración</w:t>
      </w:r>
      <w:r>
        <w:t xml:space="preserve">: seguros 40 % y salud 26 %; tres clientes, el 17,8 %.</w:t>
      </w:r>
    </w:p>
    <w:p>
      <w:pPr>
        <w:pStyle w:val="ListParagraph"/>
        <w:numPr>
          <w:ilvl w:val="0"/>
          <w:numId w:val="2"/>
        </w:numPr>
        <w:spacing w:after="60"/>
      </w:pPr>
      <w:r>
        <w:rPr>
          <w:b/>
        </w:rPr>
        <w:t xml:space="preserve">Rupia y salida de Jetley</w:t>
      </w:r>
      <w:r>
        <w:t xml:space="preserve">: 31 % de los gastos en rupias; responsable del 60 % de las ventas se va.</w:t>
      </w:r>
    </w:p>
    <w:p>
      <w:pPr>
        <w:pStyle w:val="Heading2"/>
      </w:pPr>
      <w:r>
        <w:t xml:space="preserve">Qué tiene que pasar para que la tesis funcione</w:t>
      </w:r>
    </w:p>
    <w:p>
      <w:pPr>
        <w:spacing w:after="100"/>
      </w:pPr>
      <w:r>
        <w:t xml:space="preserve">La tesis depende de que datos e IA sigan creciendo más del 15 % mientras las operaciones digitales caen despacio, y de que el margen GAAP suba. La señal en contra sería datos e IA por debajo del 15 % o una salida de cliente grande tras la marcha de Jetley.</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 datos e 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motor de la tesis.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digitales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sustitución por la IA.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GAAP</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 (LTM)</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16,5 %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los pagos en acciones como coste.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el BPA ajustado y el real.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Rupias por dólar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 95 (guía)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&lt; 88</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 de los gastos en rupias.</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25,2x / 15,7x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EXL nace en 1999 en Nueva York como proveedor de procesos externalizados desde la India, con Rohit Kapoor como cofundador; se constituye en Delaware en 2002 y cotiza en el Nasdaq desde 2006 [1, 21]. Durante quince años fue sobre todo una empresa de externalización de procesos (BPO) para aseguradoras y bancos, con la analítica como segunda pata. Kapoor, consejero delegado desde 2008, la fue girando hacia los datos: SCIO Health Analytics (2018, integridad de pagos sanitarios), Clairvoyant (2021, ingeniería de datos) e ITI Data (2024) [1]. En 2023 desdobló la acción 5×1 y en 2024 reorganizó la empresa por clientes (seguros, salud, banca e internacional). Desde 2025 se presenta como una empresa «de datos e IA»: el 55 % de las ventas de 2025 y el 61 % en el 2T26 [1, 13]. En 2026 compró iMerit (datos para entrenar modelos de IA) y firmó un crédito de 1.000 M USD [10,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Nueva York; centros de operaciones en Noida (India).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el Nasdaq.</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Rohit Kapoor, cofundador, consejero delegado (presidente del consejo desde 2024) [21].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SCIO Health Analytics (232 M USD): base del negocio de integridad de pagos sanitarios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Clairvoyant (77 M): ingeniería y gestión de datos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Desdoblamiento 5×1 de la acción.</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e IA superan el 55 % de las ventas; recompras de 329 M USD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del sector por la IA en febrero; día del inversor (13-may); compra de iMerit (hasta 310 M); salida de Vivek Jetley [11, 24].</w:t>
            </w:r>
          </w:p>
        </w:tc>
      </w:tr>
    </w:tbl>
    <w:p>
      <w:pPr>
        <w:spacing w:after="160" w:before="0"/>
      </w:pPr>
    </w:p>
    <w:p>
      <w:pPr>
        <w:pStyle w:val="Heading1"/>
      </w:pPr>
      <w:r>
        <w:t xml:space="preserve">2. Modelo de negocio</w:t>
      </w:r>
    </w:p>
    <w:p>
      <w:pPr>
        <w:spacing w:after="100"/>
      </w:pPr>
      <w:r>
        <w:t xml:space="preserve">ExlService (EXL) es una empresa de servicios de datos, IA y gestión de procesos con sede en Nueva York, fundada en 1999, con 68.000 empleados a agosto de 2026, el 95,5 % fuera de EE. UU., sobre todo en la India y Filipinas [1]. Vende dos cosas: soluciones de datos e IA (55 % de las ventas de 2025: analítica, gestión y modernización de datos, ingeniería digital, integridad de pagos sanitarios, modelos de lenguaje del sector) y operaciones digitales (45 %: gestión externalizada de siniestros, suscripción, administración de pólizas, cobros, atención al cliente y contabilidad) [1]. Los clientes son grandes aseguradoras, aseguradoras de salud, bancos y empresas de servicios, el 82,7 % en Norteamérica. Se organiza en cuatro unidades: seguros (34 % de las ventas), salud (25,5 %), banca e industrias diversas (23,1 %) y mercados internacionales (17,4 %).</w:t>
      </w:r>
    </w:p>
    <w:p>
      <w:pPr>
        <w:pStyle w:val="Heading2"/>
      </w:pPr>
      <w:r>
        <w:t xml:space="preserve">Cómo gana dinero</w:t>
      </w:r>
    </w:p>
    <w:p>
      <w:pPr>
        <w:spacing w:after="100"/>
      </w:pPr>
      <w:r>
        <w:t xml:space="preserve">Cobra por tiempo y materiales, por persona dedicada, por transacción, por resultados (más del 30 % de las ventas) y por suscripción [1, 14]. Más de tres cuartas partes de los ingresos son recurrentes (contratos de un año o más) [14]. El margen depende del coste de la plantilla en la India y Filipinas (salarios con subidas anuales en abril, rotación del 23,6 %), de la utilización y del tipo de cambio: la rupia es el 31,1 % de los gastos, frente a ingresos casi todos en dólares, y un 10 % de subida de la rupia sube los gastos en 55 M USD antes de coberturas [1]. Hay apalancamiento operativo en los contratos largos: los primeros 12-18 meses tienen margen bajo y luego sube. Sin estacionalidad fuerte salvo la subida salarial del 2T.</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bruto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ciencias de la vida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bruto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mercados de capitales e industrias diversas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Beneficio bruto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Mercados internacionales de crecimiento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Beneficio bruto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Salud y ciencias de la vida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Banca, mercados de capitales e industrias diversas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Mercados internacionales de crecimiento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Unos 590 clientes de más de 50.000 USD al año; los tres primeros son el 17,8 % de las ventas, los cinco primeros el 23,9 % y los diez primeros el 34,0 %, sin ninguno por encima del 10 % [1]. La concentración sectorial pesa más: las aseguradoras son el 39,8 % de las ventas por vertical (829,9 M en 2025) y la salud el 25,6 % [1]. Los contratos son marcos de servicios con órdenes de trabajo; la antigüedad media de los clientes pasa de 10 años y la retención neta de ingresos supera 1,1 [14]. Poder de precios: muchos contratos llevan revisión anual por inflación, que compensa en parte las subidas salariales; el margen bruto subió de 37,6 % a 38,4 % en 2025 [1], pero la tendencia del sector es pasar del pago por persona al pago por resultado, que traslada al cliente parte de la productividad de la IA.</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datos e IA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 (2025); 61 %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 en 2025; +30 %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1.155 M frente a 980 M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operaciones digitales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858,6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932,3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 en 2025; −1,5 %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parte expuesta a la IA que sustituye trabajo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(más de 50.000 USD al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 clientes nuevos en 2025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diez primeros clientes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primeros: 17,8 %; ninguno pasa del 10 %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de la plantilla (más de 180 días)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19,4 % (2T25 19,6 %)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pagos en acciones ni amortización de compras [3].</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los servicios de TI y de procesos para empresas (análisis y gestión de datos, ingeniería digital, implantación de IA y gestión de procesos externalizada) en las verticales de EXL: seguros, salud y banca, sobre todo en EE. UU. No hay una estadística pública de ese perímetro exacto: se usa como envolvente el gasto mundial en servicios de TI de Gartner [16] (1,72 billones de USD en 2025), del que EXL es el 0,12 %, y como contraste la demanda de contratos gestionados del índice ISG [17]. La cuota relevante no es la del total, sino la de nichos como la subrogación de seguros o la integridad de pagos sanitarios, donde EXL dice ser líder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1.715.650 M USD de gasto mundial en servicios de TI en 2025 y 1.870.197 M en 2026 (+9,0 %) [16]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gasto mundial en servicios de TI))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Adopción de IA en procesos (de pilotos a producción)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 datos e IA de EXL crecen un 30 % en el 2T26 y son el 61 % del total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 trabajo por IA generativa y agentes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operaciones digitales de EXL caen un 1,5 % en el 2T26 [13]; la herramienta de Anthropic de feb-2026 hundió el sector [19,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Presión de costes de las aseguradoras y de las aseguradoras de salud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Salud +23,7 % en 2025 por la integridad de pagos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laboral en la India y tipo de cambio de la rupia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rupia es el 31,1 % de los gastos de EXL; la guía de 2026 supone 95 rupias por dólar frente a 87,5 en la de 2025 [1,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 de servicios gestionados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índice ISG de EMEA del 3T26 muestra crecimiento de dos cifras en servicios gestionados, liderado por la externalización de procesos [17].</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Compiten Cognizant, Genpact, Infosys, TCS, Accenture y NTT Data, con ventas de 5 a 75 veces las de EXL [1, 18]; los grandes crecen un 3-7 %.</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aseguradoras y bancos; diez clientes son el 34,0 % de las ventas y presionan para pasar de cobrar por persona a cobrar por resultados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talento: rotación del 23,6 % y subidas salariales anuales en la India [1]; los proveedores de modelos (OpenAI, Anthropic) son socios y a la vez competidores potenciales.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Barreras moderadas: conocimiento del proceso y datos del cliente; nuevas empresas de IA nativas y los propios proveedores de modelos entran en flujos de trabajo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IA generativa puede hacer dentro de la empresa el trabajo que hoy se externaliza por horas; es la fuerza que más ha cambiado en 2026 [19, 20].</w:t>
            </w:r>
          </w:p>
        </w:tc>
      </w:tr>
    </w:tbl>
    <w:p>
      <w:pPr>
        <w:spacing w:after="160" w:before="0"/>
      </w:pPr>
    </w:p>
    <w:p>
      <w:pPr>
        <w:pStyle w:val="Heading2"/>
      </w:pPr>
      <w:r>
        <w:t xml:space="preserve">Ciclo</w:t>
      </w:r>
    </w:p>
    <w:p>
      <w:pPr>
        <w:spacing w:after="100"/>
      </w:pPr>
      <w:r>
        <w:t xml:space="preserve">El gasto en servicios de TI vuelve a acelerar en 2026 (+9,0 % frente a +6,2 %) [16], pero la demanda se desplaza de servicios por persona a infraestructura y modelos de IA [17]. EXL creció en todos los baches recientes: −3,3 % en 2020 (pandemia; su único año de caída), +25,8 % en 2022 y +15,5 % en 2023, cuando el sector frenaba. El riesgo de ciclo es menor que el estructural.</w:t>
      </w:r>
    </w:p>
    <w:p>
      <w:pPr>
        <w:pStyle w:val="Heading2"/>
      </w:pPr>
      <w:r>
        <w:t xml:space="preserve">Regulación</w:t>
      </w:r>
    </w:p>
    <w:p>
      <w:pPr>
        <w:spacing w:after="100"/>
      </w:pPr>
      <w:r>
        <w:t xml:space="preserve">Las normas que tocan las cifras son las de protección de datos sanitarios y financieros en EE. UU. (HIPAA, normas de seguros estatales) y Europa (RGPD), las reglas de la India para las zonas económicas especiales y los nuevos códigos laborales indios, que en 2025-2026 obligaron a reconocer un coste del pasado en las indemnizaciones [1]. En EE. UU. hay propuestas para gravar o limitar la externalización al extranjero, sin ley aprobada a la fecha de corte; la reforma fiscal de julio de 2025 (OBBBA) baja la caja fiscal de EXL en EE. UU. [1].</w:t>
      </w:r>
    </w:p>
    <w:p>
      <w:pPr>
        <w:pStyle w:val="Heading2"/>
      </w:pPr>
      <w:r>
        <w:t xml:space="preserve">Tendencias y disrupción</w:t>
      </w:r>
    </w:p>
    <w:p>
      <w:pPr>
        <w:spacing w:after="100"/>
      </w:pPr>
      <w:r>
        <w:t xml:space="preserve">Tres cambios en 2026: los clientes llevan la IA de los pilotos a producción, lo que aumenta la demanda de datos limpios y de integración, donde EXL crece un 30 % [13]; los agentes de IA reducen el trabajo manual, que es la parte de operaciones digitales de EXL (−1,5 %) [13]; y el mercado castiga a todo el sector de servicios: la herramienta de automatización de Anthropic del 3-feb-2026 desató una venta de 285.000 M de USD en software y servicios [20], y EXL cayó ese día con el sector [19]. EXL responde comprando iMerit (evaluación y entrenamiento de modelos) y con asociaciones con OpenAI, Anthropic, NVIDIA, Databricks y Snowflake [11,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Proveedor mediano y especializado: 0,12 % del gasto mundial en servicios de TI [16]; en sus verticales compite con Genpact, Cognizant y las indias. Dice ser líder en subrogación de seguros (Subrosource) y uno de los primeros en integridad de pagos sanitarios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UU./Bermudas</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más parecido: procesos y analítica; crece un 7 % frente al 15 % de EXL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Cognizant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CTSH</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 integrador con presencia fuerte en seguros y salud (TriZetto); crece un 4,5 %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Consultoría e integración; el gran competidor en transformación con IA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20.299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Integrador indio con negocio de procesos (Infosys BPM); margen operativo del 21 %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EPAM Systems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EPAM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Ingeniería digital; compite en datos e IA [18].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Concentrix</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CNXC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9.970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Atención al cliente; el modelo más expuesto a la sustitución por IA [18].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Algo de efecto de datos en integridad de pagos y subrogación (más clientes, más patrones), sin red de usuarios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Procesos críticos integrados en los sistemas del cliente; antigüedad media de los clientes de más de 10 años y retención neta de ingresos por encima de 1,1 [B6].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Plataformas propias (LifePRO, Subrosource, modelo de lenguaje de seguros, EXLerate.ai) y patente de Xtrakto.AI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Entrega desde la India y Filipinas con 95,5 % de la plantilla fuera de EE. UU.; margen operativo ajustado del 19,7 % frente al 15 % de Genpact [B1, B4].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Nichos de seguros y salud donde la experiencia de 25 años pesa, pero sin barreras de escala frente a los grandes [B1].</w:t>
            </w:r>
          </w:p>
        </w:tc>
      </w:tr>
    </w:tbl>
    <w:p>
      <w:pPr>
        <w:spacing w:after="160" w:before="0"/>
      </w:pPr>
    </w:p>
    <w:p>
      <w:pPr>
        <w:pStyle w:val="Heading2"/>
      </w:pPr>
      <w:r>
        <w:t xml:space="preserve">Amenazas</w:t>
      </w:r>
    </w:p>
    <w:p>
      <w:pPr>
        <w:spacing w:after="100"/>
      </w:pPr>
      <w:r>
        <w:t xml:space="preserve">La amenaza principal es la IA que hace el trabajo: el 45 % de las ventas de 2025 son operaciones digitales, que ya caen [13], y los propios clientes o los proveedores de modelos podrían llevar dentro la parte de datos e IA (probabilidad media a cinco años). La segunda, la presión de precio de los grandes integradores que crecen poco y defienden volumen. La tercera, la salida de directivos clave: el jefe de seguros y salud (dos tercios de las ventas) se va en octubre de 2026 [1]. EXL compensa con costes de cambio altos y crecimiento del 15 %, el más alto de su grupo [18].</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t xml:space="preserve">Crecimiento anual compuesto 2016-2025: ingresos </w:t>
      </w:r>
      <w:r>
        <w:rPr>
          <w:b/>
          <w:bCs/>
        </w:rPr>
        <w:t xml:space="preserve">13,2 %</w:t>
      </w:r>
      <w:r>
        <w:t xml:space="preserve">, EBITDA </w:t>
      </w:r>
      <w:r>
        <w:rPr>
          <w:b/>
          <w:bCs/>
        </w:rPr>
        <w:t xml:space="preserve">15,9 %</w:t>
      </w:r>
      <w:r>
        <w:t xml:space="preserve">, BPA </w:t>
      </w:r>
      <w:r>
        <w:rPr>
          <w:b/>
          <w:bCs/>
        </w:rPr>
        <w:t xml:space="preserve">17,5 %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958 M USD en 2020 a 2.088 M en 2025 (+16,9 % anual compuesto), con un crecimiento orgánico que la empresa sitúa en el 10-11 % en 2025 (clientes existentes +10,6 puntos; clientes nuevos y la compra de ITI Data +3,0) [1]. El año más fuerte fue 2022 (+25,8 %, con Clairvoyant). En el primer semestre de 2026 los ingresos crecen un 14,7 % (2T26 +15,6 %, +15,9 % a divisa constante) [3]. El margen bruto (sin amortizaciones) sube de 37,6 % en 2024 a 38,4 % en 2025 [1] por la mezcla hacia datos e IA, que ya es el 61 % de las ventas y crece un 30 % mientras las operaciones digitales caen un 1,5 % [13]. El margen operativo GAAP pasa del 11,5 % de 2020 al 15,0 % de 2025; en el 2T26 baja al 14,7 % por la inversión comercial (gastos comerciales y generales +170 pb, hasta el 20,9 % de las ventas) y por los pagos en acciones (24,6 M en el trimestre, 4,1 % de las ventas) [3, 13]. Ningún año del periodo trae deterioros ni cambios de perímetro grandes; las compras (SCIO en 2018, Clairvoyant en 2021, ITI Data en 2024) son pequeñas frente a las ventas.</w:t>
      </w:r>
    </w:p>
    <w:p>
      <w:pPr>
        <w:pStyle w:val="Heading2"/>
      </w:pPr>
      <w:r>
        <w:t xml:space="preserve">Ajustes y partidas no recurrentes</w:t>
      </w:r>
    </w:p>
    <w:p>
      <w:pPr>
        <w:spacing w:after="100"/>
      </w:pPr>
      <w:r>
        <w:t xml:space="preserve">La empresa publica un BPA ajustado que excluye los pagos en acciones (79,5 M USD en 2025; 3,8 % de las ventas), la amortización de intangibles comprados (13,1 M), los costes de compras y la amortización del coste del pasado por los nuevos códigos laborales de la India [3, 5]. En 2025 el ajustado fue 1,95 USD frente a 1,54 publicado [5]. Este informe usa una tercera medida, el «BPA con pagos en acciones»: el publicado más la amortización de intangibles comprados y los costes de compras, netos de impuestos (2025: 1,61 USD), porque los pagos en acciones son un coste recurrente y creciente (19,8 M en 2016, 79,5 M en 2025) [7]. En 2024 hubo 3,1 M de reestructuración y litigios no recurrentes dentro del EBITDA [1]; en el LTM, 1,9 M de costes de la compra de iMerit [3].</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98"/>
        <w:gridCol w:w="1220"/>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y BPA de la tabla son los AJUSTADOS de la empresa (sin pagos en acciones) [3, 4, 5, 6]; el crecimiento orgánico es a divisa constante (sin compras relevantes en el periodo salvo ITI Data, desde agosto de 2024). Frente al consenso, el BPA ajustado batió en 0,03 USD en el 4T25 y en 0,04 en el 1T26 y el 2T26 [15]. En la conferencia del 2T26 (29-jul-2026) el discurso cambió de «resistimos a la IA» a «la IA acelera»: los ingresos de datos e IA aceleraron cuatro trimestres seguidos (18 %, 21 %, 28 % y 30 %) y ya son el 61 % del total, mientras las operaciones digitales caen un 1,5 %, una caída que la dirección llama «por diseño» porque el trabajo con IA incorporada pasa a la otra categoría; las operaciones en total crecen un 10 % [13]. Subió la guía de 2026 a 2.390-2.415 M USD (+13-14 % orgánico) y el BPA ajustado a 2,25-2,29 USD, con iMerit restando 0,01 [3, 13]. Los analistas preguntaron por la durabilidad del crecimiento por encima del 20 % en datos e IA (TD Cowen), por si los clientes externalizan menos por dudas sobre el retorno de la IA (JPMorgan) y por qué la guía implica frenar en el segundo semestre (Stifel): la dirección habló de macro «inestable», de la integración de iMerit y de prudencia, sin cuantificar la desaceleración. Tampoco cuantificó cuánto ingreso de operaciones canibaliza la IA ni el peso de la facturación por persona (solo que más del 30 % de los ingresos es por resultados, dato del día del inversor) [14].</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neta era casi nula hasta 2025 (deuda 299 M frente a 328 M de caja e inversiones a corto) [1]; en 2026 sube porque la empresa compra acciones con deuda: 179 M de recompras en el semestre, con la recompra acelerada de 125 M financiada en parte con el revolving [2, 9], y a 30-jun-2026 la deuda neta es de 91 M (97 M según la dirección) [13]. Tras iMerit (170 M) queda en torno a 0,7 veces el EBITDA. El circulante sube: los clientes pasan de 343 M a 434 M en seis meses (73 días de ventas frente a 60), en parte estacional por la facturación del semestre y en parte por iMerit no (aún no consolidado), lo que explica que el flujo operativo del semestre caiga a 90 M frente a 113 M un año antes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1.440</w:t>
      </w:r>
      <w:r>
        <w:t xml:space="preserve">, conversión </w:t>
      </w:r>
      <w:r>
        <w:rPr>
          <w:b/>
          <w:bCs/>
        </w:rPr>
        <w:t xml:space="preserve">118 %</w:t>
      </w:r>
      <w:r>
        <w:t xml:space="preserve"> del beneficio neto; adquisiciones 389, dividendos 0, recompras 1.085.</w:t>
      </w:r>
    </w:p>
    <w:p>
      <w:pPr>
        <w:spacing w:after="100"/>
      </w:pPr>
      <w:r>
        <w:t xml:space="preserve">La conversión es buena y mejora: el flujo operativo pasa de 203 M (2020) a 351 M (2025), y el flujo libre (operativo menos inversión) de 161 M a 298 M, el 119 % del beneficio neto de 2025 [1]. La inversión es baja y casi toda de mantenimiento y equipos para la plantilla: 52,6 M en 2025 (2,5 % de las ventas) y una guía de 58-62 M para 2026 [2]; estimación propia: un 2,0-2,2 % de las ventas es mantenimiento y el resto, desarrollo de plataformas de IA. El uso de la caja está sesgado a recompras: 329 M en 2025 y 186 M en el primer semestre de 2026, más que el flujo libre, sin dividendo [1, 2]. El primer semestre de 2026 es flojo en caja (operativo 90 M) por el aumento de clientes; la empresa no ha cambiado su guía de caja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Deloitte audita desde 2018 [1]. Lo más relevante es la remuneración en acciones: 79,5 M USD en 2025, el 3,8 % de las ventas y el 32 % del beneficio neto, y sube al 4,1 % en el primer semestre de 2026 (46,7 M) [2, 7]. El BPA ajustado la excluye, de modo que el múltiplo «oficial» (15,3 veces el BPA ajustado de 2027 del consenso) es un 20-25 % más bajo que el que paga el accionista en beneficio con ese coste; las recompras (329 M en 2025) sirven en gran parte para compensar la dilución. El reconocimiento de ingresos es lineal en contratos por tiempo, por transacción o por persona; en los de precio fijo se usa el grado de avance [1]. No hay deterioros del fondo de comercio en el periodo. Las disputas fiscales de la India (44,4 M) no están provisionadas [2]. Los clientes crecen más que las ventas en el semestre (73 días de ventas). Lectura de los indicadores del motor: un Altman alto refleja poca deuda y mucho beneficio retenido; el Piotroski y el Beneish se leen en el anexo y no apuntan a manipulación en un negocio de servicios sin existencias.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altos y crecientes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79,5 M en 2025 (3,8 % de las ventas; 19,8 M en 2016) y 4,1 % en el 1S26 [2, 7]. Se tratan como coste en el DCF y en el BPA de este informe.</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al alza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343 M a 434 M en seis meses (60 → 73 días de ventas); el flujo operativo del semestre cae a 90 M [2]. Vigilar en el 3T26.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Disputas fiscales en la India sin provisión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44,4 M reclamados por precios de transferencia, 7,4 M depositados [2].</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85"/>
        <w:gridCol w:w="985"/>
        <w:gridCol w:w="985"/>
        <w:gridCol w:w="985"/>
        <w:gridCol w:w="1095"/>
        <w:gridCol w:w="1095"/>
        <w:gridCol w:w="1095"/>
        <w:gridCol w:w="1204"/>
        <w:gridCol w:w="1209"/>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c>
          <w:tcPr>
            <w:tcW w:type="dxa" w:w="12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 sin f. de comercio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882</w:t>
            </w:r>
          </w:p>
        </w:tc>
        <w:tc>
          <w:tcPr>
            <w:tcW w:type="dxa" w:w="12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420 M en 2025 (el 48 % del capital invertido medio); ha subido más de un 5 % en 3 de 9 años: comprador en serie. ROIC publicado 28,4 %; sin fondo de comercio, 54,2 %. En un comprador en serie el fondo de comercio es el precio de su crecimiento: juzga el publicado.</w:t>
      </w:r>
    </w:p>
    <w:p>
      <w:pPr>
        <w:spacing w:after="100"/>
      </w:pPr>
      <w:r>
        <w:rPr>
          <w:b/>
          <w:bCs/>
        </w:rPr>
        <w:t xml:space="preserve">ROIC incremental</w:t>
      </w:r>
      <w:r>
        <w:t xml:space="preserve"> (variación del NOPAT sobre variación del capital invertido en el periodo): 38,9 % · </w:t>
      </w:r>
      <w:r>
        <w:rPr>
          <w:b/>
          <w:bCs/>
        </w:rPr>
        <w:t xml:space="preserve">WACC</w:t>
      </w:r>
      <w:r>
        <w:t xml:space="preserve">: 10,5 %.</w:t>
      </w:r>
    </w:p>
    <w:p>
      <w:pPr>
        <w:spacing w:after="100"/>
      </w:pPr>
      <w:r>
        <w:t xml:space="preserve">EXL rinde mucho sobre su capital: un ROIC del 28,4 % en 2025 con el beneficio operativo GAAP después de impuestos (con los pagos en acciones como coste) sobre 883 M USD de capital invertido, frente a un WACC del 10,5 %: ≈ +18 puntos. Sin el fondo de comercio llega al 54 %. La tendencia es al alza: del 9-15 % de 2016-2020 (con la compra de SCIO y el margen operativo del 8-11 %) al 21-28 % desde 2021, porque el margen operativo GAAP pasó del 11,5 % al 15,0 % mientras el capital crecía poco: es un negocio de personas con un inmovilizado del 5 % de las ventas [1]. Lo que más capital consume es el circulante: clientes y activos de contrato de ≈ 16-17 % de las ventas (73 días en el semestre) [2]. El ROIC incremental histórico (≈ 39 %) es aún más alto. Riesgo: las compras con IA (iMerit, 4,4 veces las ventas con todo el pago [38]) bajan el rendimiento si no crecen lo prometido. Calidad: pasa con holgura.</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126,7 M + inversiones a corto 157,1 M + a largo 6,4 M a 30-jun-2026 [2]; desde el 18-ago-2026, crédito de 1.000 M (préstamo de 400 M y revolving de 600 M) hasta agosto de 2031, que refinancia los 381 M dispuestos y paga los 170 M de iMerit [10]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Deuda bancaria garantizada (revolving 290 M y préstamo 91 M a 30-jun-2026) con covenants cumplidos [2]; refinanciada el 18-ago-2026 con vencimiento en 2031 [10]. Compra de iMerit: 170 M en caja al cierre (3-ago-2026) y hasta 140 M en incentivos y pagos aplazados en dos años según hitos [2, 11]. Litigios fiscales en la India por precios de transferencia: 44,4 M reclamados (7,4 M ya depositados o avalados), sin provisión porque la empresa cree que ganará [2]; además 4,9 M de IVA e impuesto de servicios y 5,2 M de devoluciones de GST rechazadas. Plan de indemnización por cese (gratuity) de la India, parcialmente dotado. Coberturas de divisa por 1.134,8 M de nominal a diciembre de 2025, con una pérdida latente de 19,3 M [1]. Arrendamientos operativos de 105 M (US GAAP: su coste ya está en el EBITDA).</w:t>
      </w:r>
    </w:p>
    <w:p>
      <w:pPr>
        <w:pStyle w:val="Heading1"/>
      </w:pPr>
      <w:r>
        <w:t xml:space="preserve">12. Asignación de capital</w:t>
      </w:r>
    </w:p>
    <w:p>
      <w:pPr>
        <w:pStyle w:val="Confianza"/>
        <w:spacing w:after="100"/>
      </w:pPr>
      <w:r>
        <w:t xml:space="preserve">Confianza: Alta</w:t>
      </w:r>
    </w:p>
    <w:p>
      <w:pPr>
        <w:spacing w:after="100"/>
      </w:pPr>
      <w:r>
        <w:t xml:space="preserve">No reparte dividendo. La caja va a recompras y compras de empresas: programa de 500 M USD aprobado en febrero de 2026 hasta febrero de 2028 (sustituye al de 2024), con 350 M disponibles a 30-jun-2026 [2]; en 2025 recompró 329 M y en el 1S26 186 M, incluida una recompra acelerada de 125 M a 30,10 USD de media [2, 9]. En diciembre de 2025 compró fuera del programa 1,55 M de acciones a Orogen (sociedad del consejero coordinador) por 63,4 M a 40,83 USD [12]. La dirección anunció en el día del inversor un reparto más equilibrado entre compras y recompras y que las recompras del segundo semestre de 2026 irán más despacio [13,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SCIO Health Analytics (analítica de pagos sanitarios)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(revolving)</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negocio de integridad de pagos sanitarios, hoy el motor del segmento de salud (+23,7 % en 2025);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Clairvoyant (ingeniería y gestión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Aportó 40-45 M de ingresos en 2022 según la guía de entonces y es la base de la gestión de datos, que crece por encima del 20 % [8, 13].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ITI Data (gestión de datos)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Pequeña; aportó parte del +3,0 % de clientes nuevos en 2025; pago contingente revalorizado en 2,3 M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iMerit (entrenamiento y evaluación de modelos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(nuevo crédito de 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3-ago-2026; hasta 140 M más en incentivos y pagos aplazados; 28-32 M de ingresos en cinco meses y −0,01 USD de BPA ajustado en 2026 [3, 11]. Pronto para juzgarla.</w:t>
            </w:r>
          </w:p>
        </w:tc>
      </w:tr>
    </w:tbl>
    <w:p>
      <w:pPr>
        <w:spacing w:after="160" w:before="0"/>
      </w:pPr>
    </w:p>
    <w:p>
      <w:pPr>
        <w:spacing w:after="100"/>
      </w:pPr>
      <w:r>
        <w:t xml:space="preserve">La dirección asigna bien el capital en lo operativo (compras pequeñas que se integran sin deterioros y un capital invertido que apenas crece) y de forma más discutible en las recompras: compró 329 M en 2025 a una media cercana a 45 USD y 186 M en el 1S26 a 30,9 USD, en parte con deuda, mientras emite unos 2 M de acciones al año por la remuneración en acciones. El número de acciones diluidas pasó de 171,2 M en 2021 a 152,8 M en el 2T26 (−2,2 % al año) [1, 3]. La compra a Orogen fue a precio de mercado (media de cinco días) pero es una operación con la sociedad del consejero coordinador [12].</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Rohit Kapoor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(1999); consejero delegado desde 2008 y presidente desde abril de 2024 [21]. Bajo su mandato los ingresos pasaron de menos de 200 M a 2.088 M USD (2025) y la empresa giró de externalización de procesos a datos e IA (55 % de las ventas en 2025, 38 % en 2020) [3,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Maurizio Nicolelli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febrero de 2020; antes, 23 años en FactSet (director financiero de 2009 a 2018) y Casa Systems [21]. Ha batido la guía de BPA ajustado en todos sus años completos.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Vikas Bhalla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IA y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EXL desde 2006; jefe de seguros de 2014 a 2025, cuando seguros creció a 657 M (2024) [21]. Vende acciones cada mes con un plan 10b5-1 [23].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Vivek Jetley</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seguros, salud y ciencias de la vida (sale el 26-oct-2026)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EXL desde 2006; construyó la analítica; dirige las unidades que suman el 60 % de las ventas. Se va a ser consejero delegado de Hexaware [24].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Narasimha Kini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banca e industrias diversas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EXL desde 2001; dirigió Negocios emergentes desde 2021 [21].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Bhupender Singh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mercados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en mayo de 2026; antes presidente y consejero delegado adjunto de Teleperformance y consejero delegado de Intelenet [26].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1.280-1.310 M; BPA ajustado 1,07-1,12 USD (5,35-5,60 antes del desdoblamiento)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1.412 M; 1,20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1.560-1.600 M; BPA ajustado 1,32-1,36 USD (6,60-6,80 antes del desdoblamiento)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1.631 M; 1,43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1.780-1.820 M; BPA ajustado 1,56-1,62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1.838 M; 1,65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2.025-2.060 M; BPA ajustado 1,83-1,89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2.088 M; 1,95 USD</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2.275-2.315 M; BPA ajustado 2,14-2,19 USD (febrero); subida a 2.390-2.415 M (con 28-32 M de iMerit) y 2,25-2,29 USD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1.165 M y 1,17 USD ajustado en el primer semestre</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creíble: el consejero delegado y fundador lleva 18 años en el cargo y la guía anual se ha batido y subido en cada uno de los últimos cuatro años [3]. El banquillo es largo (varios presidentes con 20 años en la casa), pero 2026 trae dos cambios relevantes: la salida de Vivek Jetley, responsable de seguros y salud (60 % de las ventas), el 26-oct-2026, sin sustituto anunciado a la fecha de corte [24], y la llegada de Bhupender Singh para internacional [26]. No hay plan de sucesión público para el consejero delegado (61 años) [21]; la acumulación de presidente y consejero delegado desde 2024 lo hace más importante.</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Rohit Kapoor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Vikram S. Pandit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(hasta finales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Sarah K. Williamson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 desde finales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Bartlett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Kristy Pipes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Andreas Fibig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gobierno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 Geraghty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Bina Mehta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remuneración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3,14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(proxy de 2026)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n.d.</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Rohit Kapoor (con fideicomisos familiares)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ventas en 12 meses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Orogen Echo (Vikram Pandit y Atairos)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Antiguo accionista de referencia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Salió: vendió 1,55 M de acciones a la propia EXL en diciembre de 2025 [12]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58,4 M de acciones sobre 210,1 M emitidas a 30-jun-2026; +5,9 M en el semestre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oct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Bhalla Vikas (President of EXL),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Bhalla Vikas (President of EXL),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Chhibbar Vishal (Executive Vice President)</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Bhalla Vikas (President of EXL),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Bhalla Vikas (President of EXL),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Bhalla Vikas (President of EXL),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AYYAPPAN AJAY (EVP &amp; Gen Counsel/Corp. Sec'y.), plan 10b5-1</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Bhalla Vikas (President of EXL)</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11.774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0,47</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16,20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13,81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16,2 M USD en 2025 (14,2 M en 2024 y 12,3 M en 2023), un 86 % en acciones [21]. El bonus anual pondera un 75 % los objetivos de empresa (ingresos de 2.085 M y margen operativo ajustado) y un 25 % los individuales; las acciones por objetivos de 2023 se ligaron a ingresos acumulados de tres años (5.409 M de objetivo, 5.496 M logrados) y al rendimiento para el accionista frente a un grupo de comparación [21]. Premia crecer, no la rentabilidad del capital: no hay métrica de ROIC ni de flujo libre, y el margen ajustado excluye los pagos en acciones. Hay recuperación de variable por reexpresión y por mala conducta [21]. La retribución variable a largo plazo depende en parte del rendimiento relativo para el accionista, de ahí el «Sí» en el criterio de rentabilidad. Apoyo de la junta: 95,2 % a favor en 2026 y en torno al 96 % en 2025 [21, 22]. Ratio con el empleado mediano: 2.459 veces (1.292 corregido por coste de vida) [21].</w:t>
      </w:r>
    </w:p>
    <w:p>
      <w:pPr>
        <w:pStyle w:val="Heading2"/>
      </w:pPr>
      <w:r>
        <w:t xml:space="preserve">Operaciones vinculadas, estructura de control y defensas</w:t>
      </w:r>
    </w:p>
    <w:p>
      <w:pPr>
        <w:spacing w:after="100"/>
      </w:pPr>
      <w:r>
        <w:t xml:space="preserve">No hay accionista de control: los tres primeros son gestoras indexadas o institucionales con un 29 % entre las tres [21]. Una sola clase de acciones con un voto por acción. El consejo se elige cada año (sin consejo escalonado). El presidente es el consejero delegado desde 2024, con un consejero coordinador independiente (Vikram Pandit, que pasa el testigo a Sarah Williamson a finales de 2026) [25]. Operación vinculada: en diciembre de 2025 EXL recompró 1,55 M de acciones por 63,4 M USD a Orogen Echo, sociedad que preside el propio consejero coordinador, a la media de cinco días [12]. La junta de 2026 dio un 13,6 % de votos en contra a Andreas Fibig, el resto por debajo del 2 % [22].</w:t>
      </w:r>
    </w:p>
    <w:p>
      <w:pPr>
        <w:pStyle w:val="Heading2"/>
      </w:pPr>
      <w:r>
        <w:t xml:space="preserve">Señales de alerta</w:t>
      </w:r>
    </w:p>
    <w:p>
      <w:pPr>
        <w:pStyle w:val="ListParagraph"/>
        <w:numPr>
          <w:ilvl w:val="0"/>
          <w:numId w:val="2"/>
        </w:numPr>
        <w:spacing w:after="60"/>
      </w:pPr>
      <w:r>
        <w:t xml:space="preserve">Salida del presidente de seguros, salud y ciencias de la vida (60 % de las ventas) el 26-oct-2026, sin sustituto anunciado a la fecha de corte [24].</w:t>
      </w:r>
    </w:p>
    <w:p>
      <w:pPr>
        <w:pStyle w:val="ListParagraph"/>
        <w:numPr>
          <w:ilvl w:val="0"/>
          <w:numId w:val="2"/>
        </w:numPr>
        <w:spacing w:after="60"/>
      </w:pPr>
      <w:r>
        <w:t xml:space="preserve">Recompra de 63,4 M USD a Orogen Echo, sociedad del consejero coordinador (dic-2025) [12].</w:t>
      </w:r>
    </w:p>
    <w:p>
      <w:pPr>
        <w:pStyle w:val="ListParagraph"/>
        <w:numPr>
          <w:ilvl w:val="0"/>
          <w:numId w:val="2"/>
        </w:numPr>
        <w:spacing w:after="60"/>
      </w:pPr>
      <w:r>
        <w:t xml:space="preserve">Presidente y consejero delegado en la misma persona desde abril de 2024 [21].</w:t>
      </w:r>
    </w:p>
    <w:p>
      <w:pPr>
        <w:pStyle w:val="ListParagraph"/>
        <w:numPr>
          <w:ilvl w:val="0"/>
          <w:numId w:val="2"/>
        </w:numPr>
        <w:spacing w:after="60"/>
      </w:pPr>
      <w:r>
        <w:t xml:space="preserve">Ventas recurrentes de directivos (3,1 M USD en 12 meses, el 75 % con plan 10b5-1) y ninguna compra [23].</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de 2026 (28-jul-2026): ingresos de 2.390-2.415 M USD (+14-16 % publicado; +13-14 % orgánico a divisa constante; incluye 28-32 M de iMerit desde el 31-jul) y BPA ajustado de 2,25-2,29 USD (+16-18 %), con un tipo de cambio de 95 rupias por dólar, inversión de 58-62 M, gastos financieros netos de 16-18 M e impuesto del 21-22 % [2, 15]. Es la segunda subida del año (febrero: 2.275-2.315 M y 2,14-2,19 USD). A medio plazo (día del inversor, 13-may-2026): crecimiento de los ingresos de dos cifras en 2026 y 2027 y BPA ajustado creciendo más que los ingresos, sin cifras concretas [15]. Próximos resultados: 27-oct-2026 [29].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9 analistas (BPA ajustado, sin pagos en acciones) [29]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9 analistas (BPA ajustado) [29]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2.410</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43,00 – 48,00</w:t>
            </w:r>
          </w:p>
        </w:tc>
      </w:tr>
    </w:tbl>
    <w:p>
      <w:pPr>
        <w:spacing w:after="160" w:before="0"/>
      </w:pPr>
    </w:p>
    <w:p>
      <w:pPr>
        <w:pStyle w:val="Heading2"/>
      </w:pPr>
      <w:r>
        <w:t xml:space="preserve">Revisiones de estimaciones</w:t>
      </w:r>
    </w:p>
    <w:p>
      <w:pPr>
        <w:spacing w:after="100"/>
      </w:pPr>
      <w:r>
        <w:t xml:space="preserve">El BPA ajustado de 2026 del consenso sube de 2,24 USD hace 90 días a 2,29 y el de 2027 de 2,52 a 2,6, tras la subida de guía de julio [29]. Los precios objetivo bajaron en febrero de 2026 (Needham 55 → 40, Stifel 54 → 46, TD Cowen 51 → 45) con la caída del sector por la IA y volvieron a subir tras el 2T26 (Baird pasa a sobreponderar con 45; Needham 40 → 45; TD Cowen 39 → 43 → 45) [29]. Una sola fuente con estimaciones completas (Yahoo); MarketScreener no abre sin sesión. El consenso no publica el BPA con pagos en acciones: el ajustado de 2026 (2,29) equivale a unos 1,80 USD con ese coste (estimación propia: pagos en acciones de unos 95 M × 0,78 ÷ 153 M de acciones).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r>
    </w:tbl>
    <w:p>
      <w:pPr>
        <w:spacing w:after="160" w:before="0"/>
      </w:pPr>
    </w:p>
    <w:p>
      <w:pPr>
        <w:spacing w:after="100"/>
      </w:pPr>
      <w:r>
        <w:t xml:space="preserve">EXL ha quedado muy por detrás del mercado: −2,3 % en un año frente a +15,4 % del S&amp;P 500 y +29,7 % del sector tecnológico, y +10,0 % anual en cinco años frente a +12,6 % [28]. La caída máxima de cinco años es del −51,3 %, entre el 6-feb-2025 (máximo de 51,80 USD) y el 25-jun-2026 [28]. No la explican los resultados, que crecen un 12-16 % y baten la guía, sino el castigo a todo el sector de servicios por la IA generativa: el 3-feb-2026 cayó un 18,7 % en el día con el sector tras los resultados de Gartner y la herramienta de automatización de Anthropic [19, 20]. Desde el mínimo de junio ha subido un 58 % por el 2T26 (aceleración de datos e IA y subida de guía) [15]. La beta mensual a cinco años es 0,87 (semanal 0,97; semanal a dos años 0,65) y la volatilidad de un año, 42,9 %, muy alta para su historia.</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 / +45,4 % / +25,0 % / +0,2 %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 +57,7 %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alcista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2026-10-27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3T25 (28-oct) con guía mantenida y temor a la competencia de servicios con IA: −7,1 % el 29-oct [33, 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 del sector de servicios de información y procesos el 3-feb-2026 tras una nota de Gartner y el lanzamiento de una herramienta de agentes de Anthropic: −18,7 % en un día, sin noticia de la empresa; TransUnion cayó a la vez [19,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el día del inversor (13-may, −8,6 %: sin objetivos numéricos a medio plazo) y con el sector castigado por la IA, mínimo de 52 semanas de 24,85 USD el 30-jun; caída máxima del −51,3 % desde febrero de 2025 [15,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jul-oct-2026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+45,4 %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2T26 (28-jul): ingresos +15,6 %, datos e IA +30 % y guía subida a 2.390-2.415 M y 2,25-2,29 USD de BPA ajustado: +17,9 % el 29-jul y +40,8 % en el mes; subidas de objetivos (TD Cowen 45, Baird a sobreponderar) [3, 29, 33].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el 27-oct-2026: la primera lectura tras la subida de guía; el consenso espera 0,56 USD de BPA ajustado y 615 M de ingresos (+16 %)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Vivek Jetley, presidente de seguros, salud y ciencias de la vida (≈ 60 % de las ventas), se va el 26-oct-2026 para ser consejero delegado de Hexaware; sin sustituto anunciado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directivos por 3,13 M USD en 12 meses (2,34 M con planes 10b5-1; Vikas Bhalla 2,31 M) y ninguna compra [23].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2026-08-18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ampliación o convertible</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crédito sindicado de 1.000 M USD hasta 2031 (préstamo de 400 M y revolving), que sustituye al anterior; deuda bruta de 381 M a 30-jun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2026-08-03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u oferta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iMerit (170 M al cierre y hasta 140 M en incentivos y pagos aplazados) [11].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2026-08-26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TD Cowen sube el objetivo a 45 USD; 9 analistas con compra y ninguno con venta; objetivo medio 45,13 USD [29].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2025-12-15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de 1,55 M de acciones a Orogen (ligada al consejero coordinador Vikram Pandit) por 63,4 M USD a 40,83 USD, fuera del programa [12].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ha subido un 45 % en tres meses (aviso P1) tras caer un 51 % de febrero de 2025 a junio de 2026. La subida tiene causa en hechos de la empresa: el 2T26 batió, los datos e IA aceleraron al 30 % y la guía subió por segunda vez [3]; es en buena parte la recuperación de la caída de febrero, que fue sectorial y sin noticia propia. No hay colocaciones, ampliaciones ni litigios con fecha que puedan mover el precio más de un 5 % en contra. Los resultados del 27-oct son un riesgo normal y no retrasan la decisión; la salida de Jetley se vigila. El veredicto no cambia: la señal la deciden la valoración y el riesgo de la IA, no el contexto.</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beneficio publicado, EXL cotiza a 25,2 veces el de los últimos 12 meses, por debajo de todos sus cierres de 2016-2025 (27,6-43,2 veces, media 34,3) y a 16,1 veces el EBITDA, también en el 10 % más bajo de su historia. En la base de la regla (BPA con pagos en acciones, adelantado) el PER es de 20,1 veces frente a una mediana de cinco años de 27,7 y un mínimo de 23,6. El descuento tiene causa: desde febrero de 2026 el mercado duda de que el negocio de procesos por horas sobreviva a la IA generativa, y paga lo mismo por EXL que por un BPO clásico. Lo estructural es el tipo libre (5,15 % frente al 1-2 % de 2020-2021), que explica parte de los múltiplos de 30-40 veces de entonces.</w:t>
      </w:r>
    </w:p>
    <w:p>
      <w:pPr>
        <w:pStyle w:val="Heading1"/>
      </w:pPr>
      <w:r>
        <w:t xml:space="preserve">18. Comparables cotizados</w:t>
      </w:r>
    </w:p>
    <w:p>
      <w:pPr>
        <w:pStyle w:val="Confianza"/>
        <w:spacing w:after="100"/>
      </w:pPr>
      <w:r>
        <w:t xml:space="preserve">Confianza: Media</w:t>
      </w:r>
    </w:p>
    <w:p>
      <w:pPr>
        <w:spacing w:after="100"/>
      </w:pPr>
      <w:r>
        <w:t xml:space="preserve">Proveedores cotizados de servicios de procesos, datos e ingeniería digital con clientes grandes en EE. UU.: Genpact (el más parecido), Cognizant, EPAM, Globant, Accenture, Infosys, Concentrix y TaskUs [29]. Fuera WNS (comprada por Capgemini en octubre de 2025 por 3.300 M USD [32]), TTEC (en dificultades financieras, PER de 1,5 veces), Gartner y Verisk (información, no servicios) y las indias con cuentas en rupias salvo Infosys (ADR en USD; solo PER, margen y crecimiento, porque Yahoo mezcla rupias y dólares en su valor empresa). PER de los próximos 12 meses sobre el BPA AJUSTADO de cada empresa (sin pagos en acciones, como publica cada una); EBITDA y valor empresa de Yahoo (con los pagos en acciones restados). El NTM del EBITDA es una estimación propia: el LTM con el crecimiento de ventas previsto.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Genpact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Cognizant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EPAM Systems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Accenture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Infosys (ADR)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Concentrix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TaskUs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 / 7,7x / 8,1x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 / 8,8x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1,1x / 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EXL cotiza con prima clara frente a sus comparables: 15,7 veces el BPA ajustado de los próximos 12 meses y 16,1 veces el EBITDA, frente a una mediana de 8,9 y ≈ 7,7 veces (Genpact 8,5 y 8,2; Cognizant 10,7 y 7,7). La prima se justifica en parte: crece el 13-15 % frente al 1-9 % del resto, su ROIC del 28 % y su caja neta son mejores, y el 61 % de sus ventas ya es de datos e IA. Pero los comparables son la referencia más dura: todo el sector de servicios y procesos cotiza a múltiplos de un dígito o poco más porque el mercado descuenta que la IA comprime los ingresos por horas, y EXL no es inmune. Como múltiplo usaría el de Accenture (16 veces), no la mediana; el método pesa un 15 %. Ojo: estos PER son sobre BPA ajustado, sin pagos en acciones; en la base de la regla serían ≈ 20 % más altos.</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WNS (procesos y analítica)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Capgemini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Oferta en efectivo de 76,50 USD por acción (≈ 3.300 M USD sin la deuda neta, casi nula), anunciada el 7-jul-2025 con una prima del 28 % sobre la media ponderada de 90 días y cerrada el 17-oct-2025 [32]. El comparable más cercano a EXL (procesos y analítica para seguros y sanidad, base en la India).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iMerit (datos para entrenar modelos de 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170 M al cierre y hasta 140 M en incentivos y pagos aplazados [11]; 28-32 M de ingresos en cinco meses de 2026 implican unos 70 M al año (estimación propia: 4,4 veces las ventas con todo el pago).</w:t>
            </w:r>
          </w:p>
        </w:tc>
      </w:tr>
    </w:tbl>
    <w:p>
      <w:pPr>
        <w:spacing w:after="160" w:before="0"/>
      </w:pPr>
    </w:p>
    <w:p>
      <w:pPr>
        <w:spacing w:after="160" w:before="0"/>
      </w:pPr>
    </w:p>
    <w:p>
      <w:pPr>
        <w:spacing w:after="100"/>
      </w:pPr>
      <w:r>
        <w:t xml:space="preserve">Pocas operaciones comparables con múltiplos verificados. La más cercana es la compra de WNS por Capgemini (≈ 3.300 M USD, prima del 28 % sobre la media de 90 días [32]): un comprador europeo pagó por un BPO indio de seguros y analítica para convertirlo en «operaciones inteligentes con IA», lo que pone un suelo de interés estratégico al sector. iMerit, comprada por EXL, cuesta ≈ 4,4 veces sus ventas con todo el pago [38].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(+15,0 %, fijo) es la guía de julio (2.390-2.415 M USD, +13-14 % orgánico con 28-32 M de iMerit) [3]. Después, +10,5 % en 2027e (el consenso da +11,7 % [29]; restamos por el freno de las operaciones digitales, que caen un 1,5 %), +9 % en 2028e y bajada hasta el 4 % en 2033e: por debajo del 13,2 % anual de 2020-2025 y del objetivo de «dos cifras» de la dirección para 2027 [15], porque la IA convierte trabajo por horas en contratos por resultado con menos ingresos por cliente.</w:t>
      </w:r>
    </w:p>
    <w:p>
      <w:pPr>
        <w:keepNext/>
        <w:spacing w:after="100"/>
      </w:pPr>
      <w:r>
        <w:rPr>
          <w:b/>
          <w:bCs/>
        </w:rPr>
        <w:t xml:space="preserve">Márgenes.</w:t>
      </w:r>
    </w:p>
    <w:p>
      <w:pPr>
        <w:spacing w:after="100"/>
      </w:pPr>
      <w:r>
        <w:t xml:space="preserve">Margen EBITDA GAAP (con los pagos en acciones como coste): 17,5 % en 2026e (17,6 % en el LTM, con más inversión comercial y 4,1 % de pagos en acciones en el semestre [3]) hasta el 18,0 % desde 2029e. La subida es pequeña: la mezcla hacia datos e IA (más margen bruto) y la palanca operativa suben el margen, pero la presión de precios de la IA (los clientes piden compartir el ahorro) y la rupia lo frenan. El ajustado de la empresa (21,7 % en 2025) suma los pagos en acciones.</w:t>
      </w:r>
    </w:p>
    <w:p>
      <w:pPr>
        <w:keepNext/>
        <w:spacing w:after="100"/>
      </w:pPr>
      <w:r>
        <w:rPr>
          <w:b/>
          <w:bCs/>
        </w:rPr>
        <w:t xml:space="preserve">Inversión y circulante.</w:t>
      </w:r>
    </w:p>
    <w:p>
      <w:pPr>
        <w:spacing w:after="100"/>
      </w:pPr>
      <w:r>
        <w:t xml:space="preserve">Inversión del 2,5-2,6 % de las ventas (guía de 58-62 M en 2026 [3]) y amortización del 2,5-2,7 % (sube en 2027e por los intangibles de iMerit). Circulante del 17 % de las ventas, el nivel de 2025 (clientes y activos de contrato menos pasivos corrientes de explotación): crecer consume caja. No se proyectan compras nuevas.</w:t>
      </w:r>
    </w:p>
    <w:p>
      <w:pPr>
        <w:keepNext/>
        <w:spacing w:after="100"/>
      </w:pPr>
      <w:r>
        <w:rPr>
          <w:b/>
          <w:bCs/>
        </w:rPr>
        <w:t xml:space="preserve">Coste del capital.</w:t>
      </w:r>
    </w:p>
    <w:p>
      <w:pPr>
        <w:spacing w:after="100"/>
      </w:pPr>
      <w:r>
        <w:t xml:space="preserve">Tasa libre del 5,15 % (bono del Tesoro a 10 años, 19-oct-2026 [30]); beta de 1,0 (0,87 diaria a un año, 0,97 semanal a cinco [28]); prima del 5,5 % más 0,5 puntos por el riesgo de sustitución por la IA, que la beta histórica no recoge; coste de la deuda del 5,5 % antes de impuestos (SOFR más diferencial del crédito de 2026 [10]); peso de la deuda del 10 %. WACC del 10,46 %. Con la prima implícita del mercado (4,2 % [31]) el WACC baja al 9,3 % y el DCF sube a 32,60 USD.</w:t>
      </w:r>
    </w:p>
    <w:p>
      <w:pPr>
        <w:keepNext/>
        <w:spacing w:after="100"/>
      </w:pPr>
      <w:r>
        <w:rPr>
          <w:b/>
          <w:bCs/>
        </w:rPr>
        <w:t xml:space="preserve">Valor terminal.</w:t>
      </w:r>
    </w:p>
    <w:p>
      <w:pPr>
        <w:spacing w:after="100"/>
      </w:pPr>
      <w:r>
        <w:t xml:space="preserve">Crecimiento a perpetuidad del 2,5 %: los servicios de datos crecen con la economía, pero la IA puede abaratar el trabajo que vende. El múltiplo de salida de referencia es 11 veces el EBITDA, por encima de Genpact y Cognizant (7,7-8,2 hoy) y por debajo de los 16 de EXL. El valor terminal pesa un 61 %.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34,39</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 M (11 %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 (reinvierte el 32 %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 (histórico: 38,9 %)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 frente al 8,1 %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2033e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0,1 % (hoy: 0,1 %)</w:t>
            </w:r>
          </w:p>
        </w:tc>
      </w:tr>
    </w:tbl>
    <w:p>
      <w:pPr>
        <w:spacing w:after="160" w:before="0"/>
      </w:pPr>
    </w:p>
    <w:p>
      <w:pPr>
        <w:spacing w:after="100"/>
      </w:pPr>
      <w:r>
        <w:t xml:space="preserve">La proyección apenas necesita inversión neta de la amortización (reinversión acumulada de 331 M, el 11 % del NOPAT, con un capex bruto medio del 2,6 % de las ventas). En un negocio de activos ligeros, el crecimiento medio del 8,1 % tiene que salir de subir precios y de ganar volumen sin capital nuevo, y la prueba es el poder de precios y la cuota (0,1 % del mercado en 2033e, frente al 0,1 %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[3]: volumen del 12,5 % (datos e IA +25-30 %, operaciones digitales planas o a la baja), precio del 1 % y 1,5 puntos de iMerit (28-32 M desde agosto).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7,5 % (datos e IA frenan hacia el 15 %; operaciones digitales −3 a −5 %), precio del 1 % y 2 puntos de iMerit (año completo, ≈ 70 M [38]).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8 % y precio del 1 %: datos e IA ya son ≈ 70 % de las ventas y el trabajo por horas pesa menos.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7 % y precio del 1 %.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6 % y precio del 1 %: converge hacia el crecimiento del gasto en servicios de TI (≈ 6 %).</w:t>
            </w:r>
          </w:p>
        </w:tc>
      </w:tr>
    </w:tbl>
    <w:p>
      <w:pPr>
        <w:spacing w:after="160" w:before="0"/>
      </w:pPr>
    </w:p>
    <w:p>
      <w:pPr>
        <w:spacing w:after="100"/>
      </w:pPr>
      <w:r>
        <w:t xml:space="preserve">El crecimiento proyectado (8,1 % medio en 2026e-2033e) es menor que el histórico (13,2 % anual en 2020-2025) y que el del mercado (Gartner: +9,0 % en servicios de TI en 2026 [16]), y no necesita capital: el ROIC es del 28 % y la reinversión es solo el 11 % del beneficio operativo después de impuestos. La cuota implícita no sube (0,12 % hoy, 0,10 % en 2033e). El motor también da «Sí». El riesgo no es de financiación sino de demanda: si la IA abarata el trabajo por horas más deprisa de lo que EXL vende datos e IA, el crecimiento cae; lo recoge el bajista (−4 puntos al año).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16,0 % (base: 7,1 %)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24,0 % (base: 18,0 %)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 (WACC: 10,5 %)</w:t>
            </w:r>
          </w:p>
        </w:tc>
      </w:tr>
    </w:tbl>
    <w:p>
      <w:pPr>
        <w:spacing w:after="160" w:before="0"/>
      </w:pPr>
    </w:p>
    <w:p>
      <w:pPr>
        <w:spacing w:after="100"/>
      </w:pPr>
      <w:r>
        <w:t xml:space="preserve">El DCF da 27,36 USD por acción, un 31,2 % bajo el precio (39,76), con un WACC del 10,46 % y un valor terminal del 61 %. El DCF inverso dice que el precio descuenta un crecimiento del 16,0 % anual de 2027e a 2033e con nuestro margen (frente al 7,1 % de nuestro base), o un margen EBITDA del 24 % con nuestro crecimiento (frente al 18 %): el mercado valora la empresa con el margen ajustado (sin pagos en acciones) y un crecimiento de dos cifras sostenido, lo que la dirección promete y nosotros no damos por hecho. La rentabilidad implícita en el precio es del 8,2 %, por debajo de nuestro WACC (10,5 %) y del que pide el mercado (9,3 %). Con la prima del mercado el DCF sube a 32,60 USD, aún un 18 % bajo el precio.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IA generativa sustituye trabajo de procesos más deprisa: las operaciones digitales (45 % de las ventas en 2025) caen un 10-15 % al año, los clientes de seguros internalizan con agentes de IA y los precios de los contratos de datos se comprimen. El crecimiento se queda en el 3 % medio y el margen baja 1,5 puntos; la rupia fuerte o una salida de un cliente grande (los tres primeros son el 17,8 % de las ventas) lo agrava.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15 % en 2026e (guía) que baja al 10,5 % en 2027e y al 4 % en 2033e, con datos e IA creciendo y operaciones digitales cayendo; margen EBITDA GAAP del 17,5-18 %, con los pagos en acciones como coste.</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gana la transición: los agentes de IA en siniestros, integridad de pagos y suscripción venden por resultado con más margen, iMerit crece con el entrenamiento de modelos y la cuota sube. Dos puntos más de crecimiento al año y 0,8 puntos más de margen.</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3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26,04 USD (-34,5 %).</w:t>
      </w:r>
    </w:p>
    <w:p>
      <w:pPr>
        <w:spacing w:after="100"/>
      </w:pPr>
      <w:r>
        <w:t xml:space="preserve">La asimetría es muy desfavorable al precio actual: incluso el alcista (31,64 USD) queda un 20,4 % bajo el precio, y el bajista (17,81) un 55,2 %. El valor ponderado de los escenarios (26,04 USD) está un 34 % por debajo. La razón no es un mal negocio sino que el DCF trata los pagos en acciones como coste y descuenta al 10,5 %: con esos dos supuestos, ni el alcista justifica 40 USD.</w:t>
      </w:r>
    </w:p>
    <w:p>
      <w:pPr>
        <w:pStyle w:val="Heading1"/>
      </w:pPr>
      <w:r>
        <w:t xml:space="preserve">22. Suma de partes</w:t>
      </w:r>
    </w:p>
    <w:p>
      <w:pPr>
        <w:pStyle w:val="Confianza"/>
        <w:spacing w:after="100"/>
      </w:pPr>
      <w:r>
        <w:t xml:space="preserve">Confianza: Media</w:t>
      </w:r>
    </w:p>
    <w:p>
      <w:pPr>
        <w:spacing w:after="100"/>
      </w:pPr>
      <w:r>
        <w:t xml:space="preserve">No aplica: los cuatro segmentos (seguros, salud y ciencias de la vida, banca y finanzas, y crecimiento internacional) comparten centros de entrega en la India, Filipinas y Colombia, plataformas de datos y clientes; ninguno tiene valor aparte publicado ni un comprador natural distinto del de la empresa entera [1].</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39,76"/>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39,96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26,16 USD (-34,2 % sobre 39,76).</w:t>
      </w:r>
    </w:p>
    <w:p>
      <w:pPr>
        <w:spacing w:after="100"/>
      </w:pPr>
      <w:r>
        <w:t xml:space="preserve">Pesos: DCF 50 %, escenarios 35 % y comparables 15 %. El DCF es el método central para un negocio con caja positiva y poca deuda; los escenarios recogen el riesgo de la IA (bajista −55 %); los comparables pesan poco porque todo el sector está deprimido por la misma duda. Las transacciones no pesan (sin múltiplos verificados). El valor objetivo de la síntesis es 26,16 USD (−34,2 %). El rango del DCF con ± 0,5 puntos (24,58-30,93) y el DCF con la prima del mercado (32,60) quedan todos bajo el precio: el resultado no depende de un supuesto fino. El puente resta 383 M de deuda, suma 290 M de caja e inversiones y resta 240 M de iMerit (pagada en agosto, con una estimación de los pagos aplazados [38]).</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32,39</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(20.1x) × 1.1 (tope: la mediana de 5 años, 27.7x,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48,84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+68,6 %</w:t>
            </w:r>
          </w:p>
        </w:tc>
      </w:tr>
    </w:tbl>
    <w:p>
      <w:pPr>
        <w:spacing w:after="160" w:before="0"/>
      </w:pPr>
    </w:p>
    <w:p>
      <w:pPr>
        <w:spacing w:after="100"/>
      </w:pPr>
      <w:r>
        <w:rPr>
          <w:b/>
          <w:bCs/>
        </w:rPr>
        <w:t xml:space="preserve">Objetivo a 12 meses (ponderado):</w:t>
      </w:r>
      <w:r>
        <w:t xml:space="preserve"> 49,28 USD · rentabilidad +23,9 % (base +22,8 %) · señal Mantener.</w:t>
      </w:r>
    </w:p>
    <w:p>
      <w:pPr>
        <w:spacing w:after="100"/>
      </w:pPr>
      <w:r>
        <w:t xml:space="preserve">Para comparar, con la regla v2 (historia al cierre, mismo precio): 17,1x / 20,1x / 26,1x, 15,2 % Mantener; con el tope anterior del base (×1,3, 14-oct mediodía): 29,5 %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El consenso mide otro BPA: el ajustado de la empresa, que suma los pagos en acciones (2,29 USD en 2026 y 2,60 en 2027 [29]). Nuestro 2026e con pagos en acciones (1,80) equivale a ≈ 2,27 ajustado (+0,47 de pagos en acciones netos de impuestos), en la guía (2,25-2,29); nuestras ventas de 2027e (2.653 M) quedan un 1,5 % bajo el consenso (2.693). El objetivo medio de los analistas (45,13 USD, 8 analistas, entre 43 y 48) queda un 8 % bajo nuestro base a 12 meses (48,84): ellos aplican ≈ 17 veces al BPA ajustado de 2027, y la regla común aplica 22,1 veces a nuestro BPA con pagos en acciones de 2028e. La diferencia está en el ejercicio (un año más tarde) y en el múltiplo (la regla sube el PER hacia la mediana histórica con el tope de ×1,1).</w:t>
      </w:r>
    </w:p>
    <w:p>
      <w:pPr>
        <w:keepNext/>
        <w:spacing w:after="100"/>
      </w:pPr>
      <w:r>
        <w:rPr>
          <w:b/>
          <w:bCs/>
        </w:rPr>
        <w:t xml:space="preserve">Del valor intrínseco al objetivo a 12 meses.</w:t>
      </w:r>
    </w:p>
    <w:p>
      <w:pPr>
        <w:spacing w:after="100"/>
      </w:pPr>
      <w:r>
        <w:t xml:space="preserve">El objetivo a 12 meses (49,28 USD, ponderado) queda un 23,9 % sobre el precio y el base (48,84) un 22,8 %: la regla común da Comprar por rentabilidad. Pero el valor intrínseco (26,16 USD) queda un 34,2 % por debajo, y la regla exige que el valor intrínseco cubra el precio: la señal es Mantener. Las dos cifras miden cosas distintas: el objetivo a 12 meses supone que el mercado vuelve a pagar por EXL algo más de lo que paga hoy (22,1 veces frente a 20,1, a mitad de camino hacia su mediana de 27,7), y el DCF dice que, con los pagos en acciones como coste y un WACC del 10,5 %, ni hoy vale lo que cuesta. Crecimiento del BPA base: +11 % anual sobre el BPA con pagos en acciones. Para comprar haría falta un precio de 26,16 USD (−34 %); vender, por encima de 54,75.</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datos e IA frente al 30 % del 2T26 y caída de las operaciones digitales; posible subida de la guía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Vivek Jetley (seguros, salud y ciencias de la vida)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ejecución y de clientes en el 60 % de las ventas; sucesión sin anunciar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la guía confirma un crecimiento de dos cifras, el mercado aceptará la tesis de la IA como motor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 iMerit</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70 M de ventas al año en datos para modelos de IA; resta 0,01 USD de BPA ajustado en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lanzamientos de agentes de IA (Anthropic, OpenAI, aseguradoras con equipos propios)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Caídas sectoriales como la del 3-feb-2026 (−18,7 % en un día)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(350 M disponibles del programa de 500 M)</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 de BPA al año; más lentas desde el 2S26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por la IA generativa del trabajo de procesos por horas (operaciones digitales, 45 % de las ventas de 2025, ya −1,5 % en el 2T26)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a −55 %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e IA (61 % de las ventas) crecen un 30 %; EXL incorpora agentes propios y vende por resultado; conoce los procesos y los datos de sus clientes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digitales cayendo más de un 5 % o datos e IA frenando por debajo del 15 %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seguros: el 39,8 % de las ventas viene de aseguradoras y el 25,6 % de salud; diez primeros clientes 34 %, tres primeros 17,8 %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si se pierde un cliente grande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Contratos plurianuales y procesos críticos (siniestros, administración de pólizas) difíciles de cambiar; 590 clientes de más de 50.000 USD</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ingresos del segmento de seguros o salida de un cliente de los diez primeros; la salida de Jetley</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Rupia: el 31,1 % de los gastos son en rupias; un 10 % de apreciación sube los gastos 55,2 M USD y los ingresos 8,0 M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 −8 %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por 1.134,8 M USD a 42 meses; la guía supone 95 rupias por dólar y la rupia se ha depreciado (87,5 y 93 en guías anteriores) [1, 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Rupia por debajo de 88 por dólar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altos (3,8-4,1 % de las ventas) que el BPA ajustado excluye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Calidad 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múltiplo «oficial» es un 20-25 % más bajo que el real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recompras compensan la dilución; las acciones bajaron de 175 M a 162,5 M desde 2017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Pagos en acciones por encima del 4,5 % de las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el valor intrínseco (26,16 USD) queda un 34 % bajo el precio tras subir un 45 % en tres meses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−30 % si el mercado deja de pagar el crecimiento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de 20 veces frente a una mediana de 27,7; crecimiento del 13-15 %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por debajo del consenso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y asignación del capital (iMerit 4,4 veces ventas; más compras anunciadas en el día del inversor)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a −5 %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Historial de compras sin deterioros (SCIO, Clairvoyant, ITI)</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grande pagada con deuda o deterioro de iMerit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Fiscal en la India (44,4 M USD reclamados sin provisión) y códigos laborales nuevos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 y 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a −2 %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recurre y considera improbable perder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adversa o provisión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presidente y consejero delegado a la vez, recompra a Orogen y salida de Jetley</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Señal, no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independiente salvo el consejero delegado; 95 % de apoyo a la remuneración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operaciones con partes vinculadas</w:t>
            </w:r>
          </w:p>
        </w:tc>
      </w:tr>
    </w:tbl>
    <w:p>
      <w:pPr>
        <w:spacing w:after="160" w:before="0"/>
      </w:pPr>
    </w:p>
    <w:p>
      <w:pPr>
        <w:pStyle w:val="Heading2"/>
      </w:pPr>
      <w:r>
        <w:t xml:space="preserve">Pre-mortem</w:t>
      </w:r>
    </w:p>
    <w:p>
      <w:pPr>
        <w:spacing w:after="100"/>
      </w:pPr>
      <w:r>
        <w:t xml:space="preserve">Octubre de 2028: la acción ha perdido un 50 %. Los agentes de IA de los grandes laboratorios y de las propias aseguradoras automatizaron siniestros sencillos, atención y administración de pólizas; las operaciones digitales cayeron un 15 % al año en vez del 1-5 %. Los clientes de datos e IA, que habían contratado proyectos para probar la IA, pidieron precios por resultado y repartieron el ahorro: el crecimiento de esa parte bajó del 30 % al 8 %. La salida de Jetley costó un cliente grande de seguros. Con la rupia apreciándose y los pagos en acciones subiendo para retener talento de IA, el margen GAAP bajó al 15 %. El mercado volvió a valorar EXL como un BPO, a 12 veces el beneficio. La señal temprana: datos e IA frenando por debajo del 20 % en el 3T26 o el 4T26.</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−35 a +15 % a 3-5 años</w:t>
      </w:r>
    </w:p>
    <w:p>
      <w:pPr>
        <w:spacing w:after="100"/>
      </w:pPr>
      <w:r>
        <w:t xml:space="preserve">Es el riesgo central. EXL vende trabajo de procesos (siniestros, suscripción, atención, cobros, integridad de pagos) hecho por más de 65.000 personas, casi todas en la India y Filipinas; los agentes de IA generativa hacen ese trabajo más barato, y los clientes pueden comprarlos directamente (Anthropic, OpenAI, Microsoft) o a competidores. Las operaciones digitales (932 M USD, 45 % de las ventas de 2025) ya caen un 1,5 % en el 2T26 [13]. A favor: EXL tiene los datos y los procesos de sus clientes, y vende la IA dentro de ellos; datos e IA (61 % de las ventas) crecen un 30 % y compró iMerit para entrenar modelos. Es probable que gane parte del trabajo de implantar la IA, pero con menos ingresos por cliente si cobra por resultado. El mercado lo duda: el 3-feb-2026 cayó un 18,7 % en un día por una herramienta de Anthropic [19, 20]. Nuestro base ya incluye el freno (crecimiento del 4-10,5 % desde 2027e); el bajista lo agrava (−4 puntos al año y −1,5 de margen). Señales: operaciones digitales cayendo más de un 5 % o datos e IA por debajo del 15 %.</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 material para EXL es lo social y el gobierno: más de 65.000 empleados, la mayoría en la India y Filipinas, con rotación alta, códigos laborales nuevos en la India (que obligaron a reconocer coste de antigüedad) y la seguridad de los datos de asegurados, pacientes y clientes de banca que procesa (HIPAA, GLBA, reglamento europeo) [1]. Las emisiones propias son pequeñas (oficinas y centros de datos de terceros).</w:t>
      </w:r>
    </w:p>
    <w:p>
      <w:pPr>
        <w:pStyle w:val="Heading2"/>
      </w:pPr>
      <w:r>
        <w:t xml:space="preserve">Controversias</w:t>
      </w:r>
    </w:p>
    <w:p>
      <w:pPr>
        <w:spacing w:after="100"/>
      </w:pPr>
      <w:r>
        <w:t xml:space="preserve">Sin controversias graves conocidas. En gobierno: consejero delegado y presidente a la vez (con consejero coordinador independiente), recompra de 63,4 M USD de acciones a Orogen, sociedad ligada al consejero coordinador (Vikram Pandit), fuera del programa en diciembre de 2025, y ventas de directivos por 3,13 M USD en 12 meses sin compras [12, 23]. Remuneración del consejero delegado de 16,2 M USD en 2025 (2.459 veces el empleado mediano, en la India), aprobada con el 95,2 % [21, 22]. Calificaciones de MSCI o Sustainalytics no comprobadas en fuente primaria: no se dan.</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de datos e IA son contratos por resultado y con qué margen frente a los contratos por persona y hora que sustituyen?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si la IA es motor o canibalización: el escenario bajista vale −55 %.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Operaciones digitales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 las operaciones digitales es reclasificación hacia datos e IA y cuánto es pérdida real de volumen?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la llama «por diseño»; sin desglose, el crecimiento de datos e IA puede estar inflado.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Seguros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 sustituye a Vivek Jetley y qué clientes grandes de seguros y salud dependían de él?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Seguros y salud son el 60 % de las ventas; los tres primeros clientes, el 17,8 %.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suben al 4,1 % de las ventas y cuál es el objetivo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 diferencia entre el BPA ajustado (2,29) y el que paga el accionista (≈ 1,80).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Rupia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cobertura hay para 2027 y a qué tipo, y cómo cambia el margen con una rupia a 88?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31 % de los gastos son en rupias.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reparto entre compras y recompras se prevé para 2027 con el crédito de 1.000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compras con IA a múltiplos altos bajan el ROIC.</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tras el 2T26 («otro trimestre fuerte», subida del 18 % en el día) y queja de que el mercado trata a la empresa «como a un hijastro» pese a crecer; en junio, frustración por los mínimos de 52 semanas y opciones bajistas antes de conferencias [35].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Artículos que la ven como «compuesto» más que como proveedor de TI y que señalan una «capa de IA» que el mercado no ve; en febrero, «el precio baja, pero sigo con compra fuerte» [15].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Yahoo Finance y Simply Wall St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miedos a la IA tapan unos resultados fuertes» (septiembre) y una «valoración partida» entre barata por beneficio y cara por flujo descontado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MarketBeat</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Mejora de calificación de Wall Street Zen en septiembre y el cierre de iMerit; sin debate de fondo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 IA destruye el negocio de externalización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las operaciones digitales caen un 1,5 % y los datos e IA suben un 30 %; el total crece un 15,6 % (2T26). El riesgo es real en el 45 % de las ventas.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Barata frente a su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con el BPA ajustado (15,3 veces 2027); con los pagos en acciones el múltiplo sube a unas 20 veces, por encima de Genpact o Cognizant.</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Recompras agresivas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515 M en 18 meses, en parte con deuda; compensan sobre todo la dilución por pagos en acciones.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Salida de directivos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del jefe de seguros y salud apenas aparece en los foros, y es el cambio más relevante del año.</w:t>
            </w:r>
          </w:p>
        </w:tc>
      </w:tr>
    </w:tbl>
    <w:p>
      <w:pPr>
        <w:spacing w:after="160" w:before="0"/>
      </w:pPr>
    </w:p>
    <w:p>
      <w:pPr>
        <w:spacing w:after="100"/>
      </w:pPr>
      <w:r>
        <w:t xml:space="preserve">El sentimiento ha pasado del desánimo de junio (mínimos de 52 semanas) a un optimismo prudente tras el 2T26, en línea con los analistas (9 de 9 con compra). No hay euforia: muchos usuarios repiten que el mercado no premia el crecimiento por el miedo a la IA. Dos cosas que el foro no ve y el informe sí: la salida del responsable de seguros y salud y el peso real de los pagos en acciones en el múltiplo.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20 controles correctos. Fuentes: 38 (21 primarias); citas distintas en el texto: 37.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0,1 % en 2033e frente al 0,1 %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17,0 % frente a 16,2 % real: genera una variación de circulante de 70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Estimación propia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Segmentos 2021-2022 con la segmentación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(solo 2023-2025 reexpresados); 2) 10-K 2024 (segmentación antigua: Seguros, Salud, Analítica, Negocios emergentes); 3) hoja de datos de relación con inversores (no descargable: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10-Q 2T26 (solo vencimientos de la deuda antigua); 2) 8-K del 18-ago-2026 (vencimiento único en 2031, sin calendario de amortización del préstamo); 3) no hay folleto de bonos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tamaño de mercado (servicios de procesos y analítica en seguros, salud y banca)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Gartner, previsión de servicios de procesos (BPS) (sin cifra pública; solo el total de servicios de TI); 2) índice ISG (solo valor de contratos, no tamaño del mercado); 3) Everest y HFS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 y serie histórica de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Gartner (solo 2025 y 2026 en la nota pública); 2) ISG (no da cuotas); 3) informes anuales de competidores (perímetros distintos)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Comisiones de Sarah K. Williamson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Proxy 2026, perfiles de comisiones (no la lista); 2) biografía del proxy; 3) 8-K del 21-jul-2026 (solo el cargo de coordinadora)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de 2028e, EBITDA y EBIT del 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quoteSummary (solo 2026 y 2027, BPA y ventas); 2) MarketScreener (no abre sin sesión); 3) MarketBeat (solo el año en curso)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EBITDA de WNS-Capgemini y de otras 3-5 operaciones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Capgemini (valor y prima, sin EBITDA); 2) informes de WNS (no recalculado con el EBITDA del mismo perímetro); 3) Genpact, Concentrix-Webhelp y TaskUs-Blackstone (operaciones con perímetros o resultados distintos, sin múltiplo verificado)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reddit.com (403); 2) old.reddit.com (403); 3) búsqueda de hilos en buscador (sin hilos con debate en tres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del ejercicio 2025 (cuentas, segmentos, clientes, divisas, deuda, impuestos, riesgos)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https://www.sec.gov/Archives/edgar/data/1297989/000129798926000008/exls-20251231.htm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10-Q del 2T26 (30-jun-2026): balance, deuda, recompras, iMerit, contingencias fiscales en la India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https://www.sec.gov/Archives/edgar/data/1297989/000129798926000023/exls-20260630.htm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Reports 2026 Second Quarter Results (cuenta, segmentos, conciliación ajustada,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https://www.sec.gov/Archives/edgar/data/1297989/000129798926000021/exlq226pressrelease.htm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Reports 2026 First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https://www.sec.gov/Archives/edgar/data/1297989/000129798926000014/exlq126pressrelease.htm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Reports 2025 Fourth Quarter and Full Year Results (BPA ajustado 1,95 USD;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https://www.sec.gov/Archives/edgar/data/1297989/000129798926000006/exlq42025pressrelease.htm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Reports 2025 Third Quarter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https://www.sec.gov/Archives/edgar/data/1297989/000129798925000021/exlq325pressrelease.htm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de ExlService (series anuales y trimestrales: ingresos, costes, pagos en acciones, amortización de intangibles, inversiones a corto)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https://data.sec.gov/api/xbrl/companyfacts/CIK0001297989.json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resultados del 4T 2021, 2022, 2023 y 2024 (BPA ajustado y guía de cada año)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https://www.sec.gov/Archives/edgar/data/1297989/000129798925000001/exlq42024pressrelease.htm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recompra acelerada de 125 M USD con Morgan Stanley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https://www.sec.gov/Archives/edgar/data/1297989/000110465926030831/tm269205d1_8k.htm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y nota: nuevo crédito sindicado de 1.000 M USD (préstamo de 400 M y revolving de 600 M, vencimiento 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https://www.sec.gov/Archives/edgar/data/1297989/000110465926098380/tm2623504d1_8k.htm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to acquire iMerit (hasta 310 M USD: 170 M al cierre y hasta 140 M de incentivos y pagos aplazados)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https://www.sec.gov/Archives/edgar/data/1297989/000110465926077069/tm2618647d1_ex99-1.htm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Announces Share Repurchase of 1,551,970 Shares (compra a Orogen Echo)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https://www.sec.gov/Archives/edgar/data/1297989/000110465925121104/tm2533368d1_ex99-1.htm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Q2 2026 earnings call (transcripción parcial: ingresos de datos e IA, operaciones digitales, márgenes, guía, preguntas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StockAlarm (transcripción)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https://pro.stockalarm.io/quote/EXLS/earnings-calls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Investor Day Spotlights AI Push, Double-Digit Growth Goals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https://finance.yahoo.com/sectors/technology/articles/exlservice-investor-day-spotlights-ai-230310198.html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Non-GAAP EPS beats (2T26 +0,04 USD; 1T26 +0,04; 4T25 +0,03) — titulares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(RSS)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https://seekingalpha.com/api/sa/combined/EXLS.xml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Forecasts Worldwide IT Spending to Grow 13.5% in 2026, Totaling $6.31 Trillion (tabla: servicios de TI 1.715.650 M USD en 2025, +6,2 %; 1.870.197 M en 2026, +9,0 %)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Gartner (reproducido por 01net)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https://www.01net.it/gartner-forecasts-worldwide-it-spending-to-grow-13-5-in-2026-totaling-6-31-trillion/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Demand for tech services in Europe continues to surge, led by AI-driven infrastructure spending, in Q3 (ISG Index)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ISG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https://via.tt.se/pressmeddelande/4590434/demand-for-tech-services-in-europe-continues-to-surge-led-by-ai-driven-infrastructure-spending-in-q3-isg-indextm?lang=en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competidores (ventas, margen operativo, crecimiento, múltiplos),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and TransUnion shares plummet, what you need to know (caída del sector por Gartner y la IA, 3-feb-2026)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https://www.barchart.com/story/news/65/exl-and-transunion-shares-plummet-what-you-need-to-know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Anthropic AI tool sparks stocks selloff (vídeo, 4-feb-2026)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https://www.bloomberg.com/news/videos/2026-02-04/anthropic-ai-tool-sparks-stocks-selloff-video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2025, propiedad, ratio de remuneración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https://www.sec.gov/Archives/edgar/data/1297989/000119312526181891/d885936ddef14a.htm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del 16-jun-2026 (votaciones)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https://www.sec.gov/Archives/edgar/data/1297989/000110465926074560/tm2618091d1_8k.htm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directivos y consejeros, 20-oct-2025 a 20-oct-2026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https://www.sec.gov/cgi-bin/browse-edgar?action=getcompany&amp;CIK=0001297989&amp;type=4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announces departure of Vivek Jetley, President and Head of Insurance, Healthcare and Life Sciences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https://www.sec.gov/Archives/edgar/data/1297989/000110465926104527/tm2624603d1_ex99-1.htm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announces appointment of Bina Mehta to Board and lead director transition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https://www.sec.gov/Archives/edgar/data/1297989/000110465926085393/tm2621003d1_ex99-1.htm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appoints Bhupender Singh as President and Head of International Growth Markets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https://www.sec.gov/Archives/edgar/data/1297989/000110465926059031/tm2614273d1_ex99-1.htm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 announces appointment of Patrick Geraghty to Board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ExlService Holdings, Inc.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https://www.sec.gov/Archives/edgar/data/1297989/000110465925100650/tm2528929d1_ex99-1.htm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EXLS, SPY y XLK (herramientas/bolsa.mjs): precio, rango, volumen, rentabilidades, beta, volatilidad, cierres de ejercicio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https://finance.yahoo.com/quote/EXLS/history/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EXLS y comparables (consenso, objetivos, recomendaciones, múltiplos), 20-oct-2026 12:33 UTC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https://finance.yahoo.com/quote/EXLS/analysis/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Capgemini completes the acquisition of WNS (76,50 USD por acción, ≈ 3.300 M USD sin deuda neta; cierre el 17-oct-2025) y 8-K de WNS del 7-jul-2025 (prima del 28 % sobre la media ponderada de 90 días)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Capgemini / WNS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https://www.capgemini.com/news/press-releases/capgemini-completes-the-acquisition-of-wns-and-creates-a-global-leader-in-agentic-ai-powered-intelligent-operations/ ; https://www.sec.gov/Archives/edgar/data/1356570/000207709625000003/ea025044801ex99-2_wns.htm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Noticias de EXLS de 12 meses (herramientas/noticias.mjs: Google Noticias, Yahoo, 8-K de la SEC)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Varios (recopilación)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https://news.google.com/search?q=ExlService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Why EXL (EXLS) stock is down today (31-oct-2025: competencia en servicios con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StockStory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https://www.barchart.com/story/news/35836001/why-exl-exls-stock-is-down-today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$EXLS (jun-oct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https://api.stocktwits.com/api/2/streams/symbol/EXLS.json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 noticias y valoraciones de EXLS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https://www.marketbeat.com/stocks/NASDAQ/EXLS/news/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Titulares de Yahoo Finance y Simply Wall St sobre EXLS (sep-oct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https://finance.yahoo.com/quote/EXLS/news/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 de los pagos aplazados e incentivos de iMerit en el puente (70 de hasta 140 M USD) y de la cifra de ventas anual de iMerit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Estimación propia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88,6 %</w:t>
      </w:r>
      <w:r>
        <w:t xml:space="preserve"> · Secciones con menos del 60 % de campos cubiertos: </w:t>
      </w:r>
      <w:r>
        <w:rPr>
          <w:b/>
          <w:bCs/>
        </w:rPr>
        <w:t xml:space="preserve">ninguna</w:t>
      </w:r>
      <w:r>
        <w:t xml:space="preserve"> · Generado el 20 oct 2026.</w:t>
      </w:r>
    </w:p>
    <w:p>
      <w:pPr>
        <w:pStyle w:val="Nota"/>
        <w:spacing w:after="100"/>
      </w:pPr>
      <w:r>
        <w:t xml:space="preserve">Cifras en millones de USD, ejercicio natural (31-dic). Último trimestre publicado: 2T26 (30-jun-2026); el LTM es jul-25 a jun-26. Los resultados del 3T26 se publican el 27-oct-2026, una semana después del corte. Precio: cierre del 19-oct-2026 (39,76 USD); la decisión se vuelve a comprobar con el precio de la sesión del 20-oct en las pruebas de robustez. El BPA de la regla a 12 meses y su historia están en una base propia, el «BPA con pagos en acciones» (el publicado más la amortización de intangibles comprados y los costes de compras, netos de impuestos: 1,61 USD en 2025 frente a 1,95 del ajustado de la empresa y 1,54 del publicado), porque los pagos en acciones (79,5 M USD, 3,8 % de las ventas) son un coste recurrente [1, 5]. El DCF los trata igual (margen EBITDA GAAP). Cifras de 2016-2020 corregidas por el desdoblamiento 5×1 de 2023. iMerit (3-ago-2026) entra en el puente como deuda pagada después del balance de junio, con una estimación propia de los pagos aplazados [38]. Precio de una acción en EUR: ≈ 34 EUR, un 0,1 % de una cartera de 30.000 EUR.</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ExlService Holdings, Inc. (EXLS)</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(24,85 – 43,88)</c:v>
                </c:pt>
                <c:pt idx="1">
                  <c:v>Precio objetivo de los analistas (43,00 – 48,00)</c:v>
                </c:pt>
                <c:pt idx="2">
                  <c:v>Comparables: PER NTM (16,19 – 29,77)</c:v>
                </c:pt>
                <c:pt idx="3">
                  <c:v>DCF (WACC y g ± 0,5) (24,58 – 30,93)</c:v>
                </c:pt>
                <c:pt idx="4">
                  <c:v>Escenarios (bajista – alcista) (17,81 – 31,64)</c:v>
                </c:pt>
                <c:pt idx="5">
                  <c:v>DCF con la prima implícita del mercado (4,2 %)</c:v>
                </c:pt>
                <c:pt idx="6">
                  <c:v>Precio actual (39,76)</c:v>
                </c:pt>
              </c:strCache>
            </c:strRef>
          </c:cat>
          <c:val>
            <c:numRef>
              <c:f>Hoja1!$B$2:$B$8</c:f>
              <c:numCache>
                <c:formatCode>#,##0.0</c:formatCode>
                <c:ptCount val="7"/>
                <c:pt idx="0">
                  <c:v>24.85</c:v>
                </c:pt>
                <c:pt idx="1">
                  <c:v>43</c:v>
                </c:pt>
                <c:pt idx="2">
                  <c:v>16.19</c:v>
                </c:pt>
                <c:pt idx="3">
                  <c:v>24.58</c:v>
                </c:pt>
                <c:pt idx="4">
                  <c:v>17.81</c:v>
                </c:pt>
                <c:pt idx="5">
                  <c:v>30.15</c:v>
                </c:pt>
                <c:pt idx="6">
                  <c:v>39.56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(24,85 – 43,88)</c:v>
                </c:pt>
                <c:pt idx="1">
                  <c:v>Precio objetivo de los analistas (43,00 – 48,00)</c:v>
                </c:pt>
                <c:pt idx="2">
                  <c:v>Comparables: PER NTM (16,19 – 29,77)</c:v>
                </c:pt>
                <c:pt idx="3">
                  <c:v>DCF (WACC y g ± 0,5) (24,58 – 30,93)</c:v>
                </c:pt>
                <c:pt idx="4">
                  <c:v>Escenarios (bajista – alcista) (17,81 – 31,64)</c:v>
                </c:pt>
                <c:pt idx="5">
                  <c:v>DCF con la prima implícita del mercado (4,2 %)</c:v>
                </c:pt>
                <c:pt idx="6">
                  <c:v>Precio actual (39,76)</c:v>
                </c:pt>
              </c:strCache>
            </c:strRef>
          </c:cat>
          <c:val>
            <c:numRef>
              <c:f>Hoja1!$C$2:$C$8</c:f>
              <c:numCache>
                <c:formatCode>#,##0.0</c:formatCode>
                <c:ptCount val="7"/>
                <c:pt idx="0">
                  <c:v>19.03</c:v>
                </c:pt>
                <c:pt idx="1">
                  <c:v>5</c:v>
                </c:pt>
                <c:pt idx="2">
                  <c:v>13.579999999999998</c:v>
                </c:pt>
                <c:pt idx="3">
                  <c:v>6.350000000000001</c:v>
                </c:pt>
                <c:pt idx="4">
                  <c:v>13.830000000000002</c:v>
                </c:pt>
                <c:pt idx="5">
                  <c:v>5.280000000000001</c:v>
                </c:pt>
                <c:pt idx="6">
                  <c:v>0.3999999999999986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Seguros</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586.4</c:v>
                </c:pt>
                <c:pt idx="1">
                  <c:v>656.4</c:v>
                </c:pt>
                <c:pt idx="2">
                  <c:v>710.6</c:v>
                </c:pt>
              </c:numCache>
            </c:numRef>
          </c:val>
        </c:ser>
        <c:ser>
          <c:idx val="1"/>
          <c:order val="1"/>
          <c:tx>
            <c:strRef>
              <c:f>Hoja1!$C$1</c:f>
              <c:strCache>
                <c:ptCount val="1"/>
                <c:pt idx="0">
                  <c:v>Salud y ciencias de la vida</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366.4</c:v>
                </c:pt>
                <c:pt idx="1">
                  <c:v>430.7</c:v>
                </c:pt>
                <c:pt idx="2">
                  <c:v>532.6</c:v>
                </c:pt>
              </c:numCache>
            </c:numRef>
          </c:val>
        </c:ser>
        <c:ser>
          <c:idx val="2"/>
          <c:order val="2"/>
          <c:tx>
            <c:strRef>
              <c:f>Hoja1!$D$1</c:f>
              <c:strCache>
                <c:ptCount val="1"/>
                <c:pt idx="0">
                  <c:v>Banca, mercados de capitales e industrias diversas</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411.8</c:v>
                </c:pt>
                <c:pt idx="1">
                  <c:v>426.7</c:v>
                </c:pt>
                <c:pt idx="2">
                  <c:v>482.4</c:v>
                </c:pt>
              </c:numCache>
            </c:numRef>
          </c:val>
        </c:ser>
        <c:ser>
          <c:idx val="3"/>
          <c:order val="3"/>
          <c:tx>
            <c:strRef>
              <c:f>Hoja1!$E$1</c:f>
              <c:strCache>
                <c:ptCount val="1"/>
                <c:pt idx="0">
                  <c:v>Mercados internacionales de crecimiento</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266</c:v>
                </c:pt>
                <c:pt idx="1">
                  <c:v>324.6</c:v>
                </c:pt>
                <c:pt idx="2">
                  <c:v>362.2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Seguros</c:v>
                </c:pt>
                <c:pt idx="1">
                  <c:v>Salud y ciencias de la vida</c:v>
                </c:pt>
                <c:pt idx="2">
                  <c:v>Banca, mercados de capitales e industrias diversas</c:v>
                </c:pt>
                <c:pt idx="3">
                  <c:v>Mercados internacionales de crecimiento</c:v>
                </c:pt>
              </c:strCache>
            </c:strRef>
          </c:cat>
          <c:val>
            <c:numRef>
              <c:f>Hoja1!$B$2:$B$5</c:f>
              <c:numCache>
                <c:formatCode>General</c:formatCode>
                <c:ptCount val="4"/>
                <c:pt idx="0">
                  <c:v>34</c:v>
                </c:pt>
                <c:pt idx="1">
                  <c:v>25.5</c:v>
                </c:pt>
                <c:pt idx="2">
                  <c:v>23.1</c:v>
                </c:pt>
                <c:pt idx="3">
                  <c:v>17.3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Norteamérica</c:v>
                </c:pt>
                <c:pt idx="1">
                  <c:v>Reino Unido y Europa</c:v>
                </c:pt>
                <c:pt idx="2">
                  <c:v>Resto del mundo</c:v>
                </c:pt>
              </c:strCache>
            </c:strRef>
          </c:cat>
          <c:val>
            <c:numRef>
              <c:f>Hoja1!$B$2:$B$4</c:f>
              <c:numCache>
                <c:formatCode>0"%"</c:formatCode>
                <c:ptCount val="3"/>
                <c:pt idx="0">
                  <c:v>82.7</c:v>
                </c:pt>
                <c:pt idx="1">
                  <c:v>14.7</c:v>
                </c:pt>
                <c:pt idx="2">
                  <c:v>2.6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(gasto mundial en servicios de TI))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2026e</c:v>
                </c:pt>
              </c:strCache>
            </c:strRef>
          </c:cat>
          <c:val>
            <c:numRef>
              <c:f>Hoja1!$B$2:$B$3</c:f>
              <c:numCache>
                <c:formatCode>#,##0</c:formatCode>
                <c:ptCount val="2"/>
                <c:pt idx="0">
                  <c:v>1715650</c:v>
                </c:pt>
                <c:pt idx="1">
                  <c:v>1870197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3</c:v>
                </c:pt>
                <c:pt idx="4">
                  <c:v>5</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EXL</c:v>
                </c:pt>
                <c:pt idx="1">
                  <c:v>Genpact</c:v>
                </c:pt>
                <c:pt idx="2">
                  <c:v>Cognizant</c:v>
                </c:pt>
                <c:pt idx="3">
                  <c:v>Accenture</c:v>
                </c:pt>
                <c:pt idx="4">
                  <c:v>Infosys</c:v>
                </c:pt>
                <c:pt idx="5">
                  <c:v>EPAM Systems</c:v>
                </c:pt>
                <c:pt idx="6">
                  <c:v>Concentrix</c:v>
                </c:pt>
              </c:strCache>
            </c:strRef>
          </c:cat>
          <c:val>
            <c:numRef>
              <c:f>Hoja1!$B$2:$B$8</c:f>
              <c:numCache>
                <c:formatCode>0.0"%"</c:formatCode>
                <c:ptCount val="7"/>
                <c:pt idx="0">
                  <c:v>15</c:v>
                </c:pt>
                <c:pt idx="1">
                  <c:v>15</c:v>
                </c:pt>
                <c:pt idx="2">
                  <c:v>17.5</c:v>
                </c:pt>
                <c:pt idx="3">
                  <c:v>17.8</c:v>
                </c:pt>
                <c:pt idx="4">
                  <c:v>21.2</c:v>
                </c:pt>
                <c:pt idx="5">
                  <c:v>10.9</c:v>
                </c:pt>
                <c:pt idx="6">
                  <c:v>7.2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2</c:v>
                </c:pt>
                <c:pt idx="3">
                  <c:v>3</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Hoja1!$B$2:$B$19</c:f>
              <c:numCache>
                <c:formatCode>#,##0</c:formatCode>
                <c:ptCount val="18"/>
                <c:pt idx="0">
                  <c:v>686</c:v>
                </c:pt>
                <c:pt idx="1">
                  <c:v>762.3</c:v>
                </c:pt>
                <c:pt idx="2">
                  <c:v>883.1</c:v>
                </c:pt>
                <c:pt idx="3">
                  <c:v>991.3</c:v>
                </c:pt>
                <c:pt idx="4">
                  <c:v>958.4</c:v>
                </c:pt>
                <c:pt idx="5">
                  <c:v>1122.3</c:v>
                </c:pt>
                <c:pt idx="6">
                  <c:v>1412</c:v>
                </c:pt>
                <c:pt idx="7">
                  <c:v>1630.7</c:v>
                </c:pt>
                <c:pt idx="8">
                  <c:v>1838.4</c:v>
                </c:pt>
                <c:pt idx="9">
                  <c:v>2087.7</c:v>
                </c:pt>
                <c:pt idx="10">
                  <c:v>2401</c:v>
                </c:pt>
                <c:pt idx="11">
                  <c:v>2653</c:v>
                </c:pt>
                <c:pt idx="12">
                  <c:v>2892</c:v>
                </c:pt>
                <c:pt idx="13">
                  <c:v>3123</c:v>
                </c:pt>
                <c:pt idx="14">
                  <c:v>3342</c:v>
                </c:pt>
                <c:pt idx="15">
                  <c:v>3542</c:v>
                </c:pt>
                <c:pt idx="16">
                  <c:v>3719</c:v>
                </c:pt>
                <c:pt idx="17">
                  <c:v>3868</c:v>
                </c:pt>
              </c:numCache>
            </c:numRef>
          </c:val>
        </c:ser>
        <c:ser>
          <c:idx val="1"/>
          <c:order val="1"/>
          <c:tx>
            <c:strRef>
              <c:f>Hoja1!$C$1</c:f>
              <c:strCache>
                <c:ptCount val="1"/>
                <c:pt idx="0">
                  <c:v>EBITDA</c:v>
                </c:pt>
              </c:strCache>
            </c:strRef>
          </c:tx>
          <c:spPr>
            <a:solidFill>
              <a:srgbClr val="EB6834"/>
            </a:solidFill>
            <a:ln w="9525">
              <a:noFill/>
            </a:ln>
          </c:spPr>
          <c:invertIfNegative val="0"/>
          <c:cat>
            <c:strRef>
              <c:f>Hoja1!$A$2:$A$19</c:f>
              <c:strCache>
                <c:ptCount val="18"/>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strCache>
            </c:strRef>
          </c:cat>
          <c:val>
            <c:numRef>
              <c:f>Hoja1!$C$2:$C$19</c:f>
              <c:numCache>
                <c:formatCode>#,##0</c:formatCode>
                <c:ptCount val="18"/>
                <c:pt idx="0">
                  <c:v>99.1</c:v>
                </c:pt>
                <c:pt idx="1">
                  <c:v>111.7</c:v>
                </c:pt>
                <c:pt idx="2">
                  <c:v>98.5</c:v>
                </c:pt>
                <c:pt idx="3">
                  <c:v>128.7</c:v>
                </c:pt>
                <c:pt idx="4">
                  <c:v>160.5</c:v>
                </c:pt>
                <c:pt idx="5">
                  <c:v>205.6</c:v>
                </c:pt>
                <c:pt idx="6">
                  <c:v>248.3</c:v>
                </c:pt>
                <c:pt idx="7">
                  <c:v>289.1</c:v>
                </c:pt>
                <c:pt idx="8">
                  <c:v>321.90000000000003</c:v>
                </c:pt>
                <c:pt idx="9">
                  <c:v>373</c:v>
                </c:pt>
                <c:pt idx="10">
                  <c:v>420</c:v>
                </c:pt>
                <c:pt idx="11">
                  <c:v>467</c:v>
                </c:pt>
                <c:pt idx="12">
                  <c:v>515</c:v>
                </c:pt>
                <c:pt idx="13">
                  <c:v>562</c:v>
                </c:pt>
                <c:pt idx="14">
                  <c:v>601</c:v>
                </c:pt>
                <c:pt idx="15">
                  <c:v>638</c:v>
                </c:pt>
                <c:pt idx="16">
                  <c:v>669</c:v>
                </c:pt>
                <c:pt idx="17">
                  <c:v>696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34.7</c:v>
                </c:pt>
                <c:pt idx="1">
                  <c:v>35.1</c:v>
                </c:pt>
                <c:pt idx="2">
                  <c:v>33.8</c:v>
                </c:pt>
                <c:pt idx="3">
                  <c:v>33.9</c:v>
                </c:pt>
                <c:pt idx="4">
                  <c:v>34.9</c:v>
                </c:pt>
                <c:pt idx="5">
                  <c:v>38.4</c:v>
                </c:pt>
                <c:pt idx="6">
                  <c:v>36.5</c:v>
                </c:pt>
                <c:pt idx="7">
                  <c:v>37.3</c:v>
                </c:pt>
                <c:pt idx="8">
                  <c:v>37.6</c:v>
                </c:pt>
                <c:pt idx="9">
                  <c:v>38.4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14.4</c:v>
                </c:pt>
                <c:pt idx="1">
                  <c:v>14.7</c:v>
                </c:pt>
                <c:pt idx="2">
                  <c:v>11.2</c:v>
                </c:pt>
                <c:pt idx="3">
                  <c:v>13</c:v>
                </c:pt>
                <c:pt idx="4">
                  <c:v>16.7</c:v>
                </c:pt>
                <c:pt idx="5">
                  <c:v>18.3</c:v>
                </c:pt>
                <c:pt idx="6">
                  <c:v>17.6</c:v>
                </c:pt>
                <c:pt idx="7">
                  <c:v>17.7</c:v>
                </c:pt>
                <c:pt idx="8">
                  <c:v>17.5</c:v>
                </c:pt>
                <c:pt idx="9">
                  <c:v>17.9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9.4</c:v>
                </c:pt>
                <c:pt idx="1">
                  <c:v>9.5</c:v>
                </c:pt>
                <c:pt idx="2">
                  <c:v>5.6</c:v>
                </c:pt>
                <c:pt idx="3">
                  <c:v>7.7</c:v>
                </c:pt>
                <c:pt idx="4">
                  <c:v>11.5</c:v>
                </c:pt>
                <c:pt idx="5">
                  <c:v>13.9</c:v>
                </c:pt>
                <c:pt idx="6">
                  <c:v>13.6</c:v>
                </c:pt>
                <c:pt idx="7">
                  <c:v>14.6</c:v>
                </c:pt>
                <c:pt idx="8">
                  <c:v>14.5</c:v>
                </c:pt>
                <c:pt idx="9">
                  <c:v>15</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9</c:v>
                </c:pt>
                <c:pt idx="1">
                  <c:v>6.4</c:v>
                </c:pt>
                <c:pt idx="2">
                  <c:v>6.4</c:v>
                </c:pt>
                <c:pt idx="3">
                  <c:v>6.8</c:v>
                </c:pt>
                <c:pt idx="4">
                  <c:v>9.3</c:v>
                </c:pt>
                <c:pt idx="5">
                  <c:v>10.2</c:v>
                </c:pt>
                <c:pt idx="6">
                  <c:v>10.1</c:v>
                </c:pt>
                <c:pt idx="7">
                  <c:v>11.3</c:v>
                </c:pt>
                <c:pt idx="8">
                  <c:v>10.8</c:v>
                </c:pt>
                <c:pt idx="9">
                  <c:v>12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14.9</c:v>
                </c:pt>
                <c:pt idx="1">
                  <c:v>16.3</c:v>
                </c:pt>
                <c:pt idx="2">
                  <c:v>14.8</c:v>
                </c:pt>
                <c:pt idx="3">
                  <c:v>14.7</c:v>
                </c:pt>
                <c:pt idx="4">
                  <c:v>12.2</c:v>
                </c:pt>
                <c:pt idx="5">
                  <c:v>12.7</c:v>
                </c:pt>
                <c:pt idx="6">
                  <c:v>13.8</c:v>
                </c:pt>
                <c:pt idx="7">
                  <c:v>15.6</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4">
                  <c:v>12.3</c:v>
                </c:pt>
                <c:pt idx="5">
                  <c:v>12.6</c:v>
                </c:pt>
                <c:pt idx="6">
                  <c:v>13.4</c:v>
                </c:pt>
                <c:pt idx="7">
                  <c:v>15.9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60</c:v>
                </c:pt>
                <c:pt idx="1">
                  <c:v>65</c:v>
                </c:pt>
                <c:pt idx="2">
                  <c:v>68</c:v>
                </c:pt>
                <c:pt idx="3">
                  <c:v>63</c:v>
                </c:pt>
                <c:pt idx="4">
                  <c:v>56</c:v>
                </c:pt>
                <c:pt idx="5">
                  <c:v>63</c:v>
                </c:pt>
                <c:pt idx="6">
                  <c:v>67</c:v>
                </c:pt>
                <c:pt idx="7">
                  <c:v>69</c:v>
                </c:pt>
                <c:pt idx="8">
                  <c:v>60</c:v>
                </c:pt>
                <c:pt idx="9">
                  <c:v>60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3</c:v>
                </c:pt>
                <c:pt idx="1">
                  <c:v>4</c:v>
                </c:pt>
                <c:pt idx="2">
                  <c:v>4</c:v>
                </c:pt>
                <c:pt idx="3">
                  <c:v>4</c:v>
                </c:pt>
                <c:pt idx="4">
                  <c:v>4</c:v>
                </c:pt>
                <c:pt idx="5">
                  <c:v>3</c:v>
                </c:pt>
                <c:pt idx="6">
                  <c:v>3</c:v>
                </c:pt>
                <c:pt idx="7">
                  <c:v>2</c:v>
                </c:pt>
                <c:pt idx="8">
                  <c:v>2</c:v>
                </c:pt>
                <c:pt idx="9">
                  <c:v>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76.2</c:v>
                </c:pt>
                <c:pt idx="1">
                  <c:v>77.8</c:v>
                </c:pt>
                <c:pt idx="2">
                  <c:v>51.400000000000006</c:v>
                </c:pt>
                <c:pt idx="3">
                  <c:v>127.60000000000001</c:v>
                </c:pt>
                <c:pt idx="4">
                  <c:v>160.60000000000002</c:v>
                </c:pt>
                <c:pt idx="5">
                  <c:v>147</c:v>
                </c:pt>
                <c:pt idx="6">
                  <c:v>121.2</c:v>
                </c:pt>
                <c:pt idx="7">
                  <c:v>158.2</c:v>
                </c:pt>
                <c:pt idx="8">
                  <c:v>221.89999999999998</c:v>
                </c:pt>
                <c:pt idx="9">
                  <c:v>297.59999999999997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61.7</c:v>
                </c:pt>
                <c:pt idx="1">
                  <c:v>48.9</c:v>
                </c:pt>
                <c:pt idx="2">
                  <c:v>56.7</c:v>
                </c:pt>
                <c:pt idx="3">
                  <c:v>67.7</c:v>
                </c:pt>
                <c:pt idx="4">
                  <c:v>89.5</c:v>
                </c:pt>
                <c:pt idx="5">
                  <c:v>114.8</c:v>
                </c:pt>
                <c:pt idx="6">
                  <c:v>143</c:v>
                </c:pt>
                <c:pt idx="7">
                  <c:v>184.6</c:v>
                </c:pt>
                <c:pt idx="8">
                  <c:v>198.3</c:v>
                </c:pt>
                <c:pt idx="9">
                  <c:v>251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13.2</c:v>
                </c:pt>
                <c:pt idx="1">
                  <c:v>11.5</c:v>
                </c:pt>
                <c:pt idx="2">
                  <c:v>9.2</c:v>
                </c:pt>
                <c:pt idx="3">
                  <c:v>10.4</c:v>
                </c:pt>
                <c:pt idx="4">
                  <c:v>15.2</c:v>
                </c:pt>
                <c:pt idx="5">
                  <c:v>20.6</c:v>
                </c:pt>
                <c:pt idx="6">
                  <c:v>21.3</c:v>
                </c:pt>
                <c:pt idx="7">
                  <c:v>24.5</c:v>
                </c:pt>
                <c:pt idx="8">
                  <c:v>24.1</c:v>
                </c:pt>
                <c:pt idx="9">
                  <c:v>28.4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10.5</c:v>
                </c:pt>
                <c:pt idx="1">
                  <c:v>10.5</c:v>
                </c:pt>
                <c:pt idx="2">
                  <c:v>10.5</c:v>
                </c:pt>
                <c:pt idx="3">
                  <c:v>10.5</c:v>
                </c:pt>
                <c:pt idx="4">
                  <c:v>10.5</c:v>
                </c:pt>
                <c:pt idx="5">
                  <c:v>10.5</c:v>
                </c:pt>
                <c:pt idx="6">
                  <c:v>10.5</c:v>
                </c:pt>
                <c:pt idx="7">
                  <c:v>10.5</c:v>
                </c:pt>
                <c:pt idx="8">
                  <c:v>10.5</c:v>
                </c:pt>
                <c:pt idx="9">
                  <c:v>10.5</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11.6</c:v>
                </c:pt>
                <c:pt idx="1">
                  <c:v>8.6</c:v>
                </c:pt>
                <c:pt idx="2">
                  <c:v>9.3</c:v>
                </c:pt>
                <c:pt idx="3">
                  <c:v>10.5</c:v>
                </c:pt>
                <c:pt idx="4">
                  <c:v>12.9</c:v>
                </c:pt>
                <c:pt idx="5">
                  <c:v>16.3</c:v>
                </c:pt>
                <c:pt idx="6">
                  <c:v>19.7</c:v>
                </c:pt>
                <c:pt idx="7">
                  <c:v>22.4</c:v>
                </c:pt>
                <c:pt idx="8">
                  <c:v>21.8</c:v>
                </c:pt>
                <c:pt idx="9">
                  <c:v>27.2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-1.73</c:v>
                </c:pt>
                <c:pt idx="1">
                  <c:v>-1.83</c:v>
                </c:pt>
                <c:pt idx="2">
                  <c:v>0.04</c:v>
                </c:pt>
                <c:pt idx="3">
                  <c:v>-0.67</c:v>
                </c:pt>
                <c:pt idx="4">
                  <c:v>-1.09</c:v>
                </c:pt>
                <c:pt idx="5">
                  <c:v>-0.26</c:v>
                </c:pt>
                <c:pt idx="6">
                  <c:v>-0.19</c:v>
                </c:pt>
                <c:pt idx="7">
                  <c:v>-0.31</c:v>
                </c:pt>
                <c:pt idx="8">
                  <c:v>-0.16</c:v>
                </c:pt>
                <c:pt idx="9">
                  <c:v>-0.07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2.5</c:v>
                </c:pt>
                <c:pt idx="1">
                  <c:v>378.8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28.7</c:v>
                </c:pt>
                <c:pt idx="1">
                  <c:v>23.3</c:v>
                </c:pt>
                <c:pt idx="2">
                  <c:v>231.8</c:v>
                </c:pt>
                <c:pt idx="3">
                  <c:v>0</c:v>
                </c:pt>
                <c:pt idx="4">
                  <c:v>0</c:v>
                </c:pt>
                <c:pt idx="5">
                  <c:v>76.8</c:v>
                </c:pt>
                <c:pt idx="6">
                  <c:v>3.9</c:v>
                </c:pt>
                <c:pt idx="7">
                  <c:v>0</c:v>
                </c:pt>
                <c:pt idx="8">
                  <c:v>24.3</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18.2</c:v>
                </c:pt>
                <c:pt idx="1">
                  <c:v>43.5</c:v>
                </c:pt>
                <c:pt idx="2">
                  <c:v>43.1</c:v>
                </c:pt>
                <c:pt idx="3">
                  <c:v>41.4</c:v>
                </c:pt>
                <c:pt idx="4">
                  <c:v>79.9</c:v>
                </c:pt>
                <c:pt idx="5">
                  <c:v>118.4</c:v>
                </c:pt>
                <c:pt idx="6">
                  <c:v>72.6</c:v>
                </c:pt>
                <c:pt idx="7">
                  <c:v>131.8</c:v>
                </c:pt>
                <c:pt idx="8">
                  <c:v>207.9</c:v>
                </c:pt>
                <c:pt idx="9">
                  <c:v>328.5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BlackRock</c:v>
                </c:pt>
                <c:pt idx="1">
                  <c:v>The Vanguard Group</c:v>
                </c:pt>
                <c:pt idx="2">
                  <c:v>FMR (Fidelity)</c:v>
                </c:pt>
                <c:pt idx="3">
                  <c:v>Rohit Kapoor (con fideicomisos familiares)</c:v>
                </c:pt>
                <c:pt idx="4">
                  <c:v>Orogen Echo (Vikram Pandit y Atairos)</c:v>
                </c:pt>
                <c:pt idx="5">
                  <c:v>Autocartera</c:v>
                </c:pt>
              </c:strCache>
            </c:strRef>
          </c:cat>
          <c:val>
            <c:numRef>
              <c:f>Hoja1!$B$2:$B$7</c:f>
              <c:numCache>
                <c:formatCode>0.0"%"</c:formatCode>
                <c:ptCount val="6"/>
                <c:pt idx="0">
                  <c:v>10.09</c:v>
                </c:pt>
                <c:pt idx="1">
                  <c:v>9.7</c:v>
                </c:pt>
                <c:pt idx="2">
                  <c:v>9.36</c:v>
                </c:pt>
                <c:pt idx="3">
                  <c:v>2.56</c:v>
                </c:pt>
                <c:pt idx="4">
                  <c:v>0</c:v>
                </c:pt>
                <c:pt idx="5">
                  <c:v>27.8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12.3</c:v>
                </c:pt>
                <c:pt idx="1">
                  <c:v>19.6</c:v>
                </c:pt>
                <c:pt idx="2">
                  <c:v>-12.8</c:v>
                </c:pt>
                <c:pt idx="3">
                  <c:v>32</c:v>
                </c:pt>
                <c:pt idx="4">
                  <c:v>22.6</c:v>
                </c:pt>
                <c:pt idx="5">
                  <c:v>70.1</c:v>
                </c:pt>
                <c:pt idx="6">
                  <c:v>17</c:v>
                </c:pt>
                <c:pt idx="7">
                  <c:v>-9</c:v>
                </c:pt>
                <c:pt idx="8">
                  <c:v>43.9</c:v>
                </c:pt>
                <c:pt idx="9">
                  <c:v>-4.4</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15.9</c:v>
                </c:pt>
                <c:pt idx="1">
                  <c:v>17.1</c:v>
                </c:pt>
                <c:pt idx="2">
                  <c:v>18.7</c:v>
                </c:pt>
                <c:pt idx="3">
                  <c:v>18.1</c:v>
                </c:pt>
                <c:pt idx="4">
                  <c:v>17.3</c:v>
                </c:pt>
                <c:pt idx="5">
                  <c:v>23.8</c:v>
                </c:pt>
                <c:pt idx="6">
                  <c:v>22.9</c:v>
                </c:pt>
                <c:pt idx="7">
                  <c:v>17.6</c:v>
                </c:pt>
                <c:pt idx="8">
                  <c:v>22.5</c:v>
                </c:pt>
                <c:pt idx="9">
                  <c:v>18.4</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18.3</c:v>
                </c:pt>
                <c:pt idx="1">
                  <c:v>18.3</c:v>
                </c:pt>
                <c:pt idx="2">
                  <c:v>18.3</c:v>
                </c:pt>
                <c:pt idx="3">
                  <c:v>18.3</c:v>
                </c:pt>
                <c:pt idx="4">
                  <c:v>18.3</c:v>
                </c:pt>
                <c:pt idx="5">
                  <c:v>18.3</c:v>
                </c:pt>
                <c:pt idx="6">
                  <c:v>18.3</c:v>
                </c:pt>
                <c:pt idx="7">
                  <c:v>18.3</c:v>
                </c:pt>
                <c:pt idx="8">
                  <c:v>18.3</c:v>
                </c:pt>
                <c:pt idx="9">
                  <c:v>18.3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EXL</c:v>
                </c:pt>
                <c:pt idx="1">
                  <c:v>Genpact</c:v>
                </c:pt>
                <c:pt idx="2">
                  <c:v>Cognizant</c:v>
                </c:pt>
                <c:pt idx="3">
                  <c:v>EPAM Systems</c:v>
                </c:pt>
                <c:pt idx="4">
                  <c:v>Globant</c:v>
                </c:pt>
                <c:pt idx="5">
                  <c:v>Accenture</c:v>
                </c:pt>
                <c:pt idx="6">
                  <c:v>Infosys (ADR)</c:v>
                </c:pt>
                <c:pt idx="7">
                  <c:v>Concentrix</c:v>
                </c:pt>
                <c:pt idx="8">
                  <c:v>TaskUs</c:v>
                </c:pt>
              </c:strCache>
            </c:strRef>
          </c:cat>
          <c:val>
            <c:numRef>
              <c:f>Hoja1!$B$2:$B$10</c:f>
              <c:numCache>
                <c:formatCode>0.0"x"</c:formatCode>
                <c:ptCount val="9"/>
                <c:pt idx="1">
                  <c:v>7.5</c:v>
                </c:pt>
                <c:pt idx="2">
                  <c:v>7.2</c:v>
                </c:pt>
                <c:pt idx="3">
                  <c:v>7.6</c:v>
                </c:pt>
                <c:pt idx="4">
                  <c:v>5.4</c:v>
                </c:pt>
                <c:pt idx="5">
                  <c:v>10.1</c:v>
                </c:pt>
                <c:pt idx="7">
                  <c:v>5.5</c:v>
                </c:pt>
                <c:pt idx="8">
                  <c:v>4.9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Genpact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9.4</c:v>
                </c:pt>
              </c:numCache>
            </c:numRef>
          </c:xVal>
          <c:yVal>
            <c:numRef>
              <c:f>Hoja1!$C$2</c:f>
              <c:numCache>
                <c:formatCode>0.0"x"</c:formatCode>
                <c:ptCount val="1"/>
                <c:pt idx="0">
                  <c:v>7.5</c:v>
                </c:pt>
              </c:numCache>
            </c:numRef>
          </c:yVal>
          <c:smooth val="0"/>
        </c:ser>
        <c:ser>
          <c:idx val="1"/>
          <c:order val="1"/>
          <c:tx>
            <c:strRef>
              <c:f>Hoja1!$A$3</c:f>
              <c:strCache>
                <c:ptCount val="1"/>
                <c:pt idx="0">
                  <c:v>Cognizant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6.4</c:v>
                </c:pt>
              </c:numCache>
            </c:numRef>
          </c:xVal>
          <c:yVal>
            <c:numRef>
              <c:f>Hoja1!$C$3</c:f>
              <c:numCache>
                <c:formatCode>0.0"x"</c:formatCode>
                <c:ptCount val="1"/>
                <c:pt idx="0">
                  <c:v>7.2</c:v>
                </c:pt>
              </c:numCache>
            </c:numRef>
          </c:yVal>
          <c:smooth val="0"/>
        </c:ser>
        <c:ser>
          <c:idx val="2"/>
          <c:order val="2"/>
          <c:tx>
            <c:strRef>
              <c:f>Hoja1!$A$4</c:f>
              <c:strCache>
                <c:ptCount val="1"/>
                <c:pt idx="0">
                  <c:v>EPAM Systems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3.6</c:v>
                </c:pt>
              </c:numCache>
            </c:numRef>
          </c:xVal>
          <c:yVal>
            <c:numRef>
              <c:f>Hoja1!$C$4</c:f>
              <c:numCache>
                <c:formatCode>0.0"x"</c:formatCode>
                <c:ptCount val="1"/>
                <c:pt idx="0">
                  <c:v>7.6</c:v>
                </c:pt>
              </c:numCache>
            </c:numRef>
          </c:yVal>
          <c:smooth val="0"/>
        </c:ser>
        <c:ser>
          <c:idx val="3"/>
          <c:order val="3"/>
          <c:tx>
            <c:strRef>
              <c:f>Hoja1!$A$5</c:f>
              <c:strCache>
                <c:ptCount val="1"/>
                <c:pt idx="0">
                  <c:v>Globant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1.5</c:v>
                </c:pt>
              </c:numCache>
            </c:numRef>
          </c:xVal>
          <c:yVal>
            <c:numRef>
              <c:f>Hoja1!$C$5</c:f>
              <c:numCache>
                <c:formatCode>0.0"x"</c:formatCode>
                <c:ptCount val="1"/>
                <c:pt idx="0">
                  <c:v>5.4</c:v>
                </c:pt>
              </c:numCache>
            </c:numRef>
          </c:yVal>
          <c:smooth val="0"/>
        </c:ser>
        <c:ser>
          <c:idx val="4"/>
          <c:order val="4"/>
          <c:tx>
            <c:strRef>
              <c:f>Hoja1!$A$6</c:f>
              <c:strCache>
                <c:ptCount val="1"/>
                <c:pt idx="0">
                  <c:v>Accenture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5.1</c:v>
                </c:pt>
              </c:numCache>
            </c:numRef>
          </c:xVal>
          <c:yVal>
            <c:numRef>
              <c:f>Hoja1!$C$6</c:f>
              <c:numCache>
                <c:formatCode>0.0"x"</c:formatCode>
                <c:ptCount val="1"/>
                <c:pt idx="0">
                  <c:v>10.1</c:v>
                </c:pt>
              </c:numCache>
            </c:numRef>
          </c:yVal>
          <c:smooth val="0"/>
        </c:ser>
        <c:ser>
          <c:idx val="5"/>
          <c:order val="5"/>
          <c:tx>
            <c:strRef>
              <c:f>Hoja1!$A$7</c:f>
              <c:strCache>
                <c:ptCount val="1"/>
                <c:pt idx="0">
                  <c:v>Concentrix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-1.3</c:v>
                </c:pt>
              </c:numCache>
            </c:numRef>
          </c:xVal>
          <c:yVal>
            <c:numRef>
              <c:f>Hoja1!$C$7</c:f>
              <c:numCache>
                <c:formatCode>0.0"x"</c:formatCode>
                <c:ptCount val="1"/>
                <c:pt idx="0">
                  <c:v>5.5</c:v>
                </c:pt>
              </c:numCache>
            </c:numRef>
          </c:yVal>
          <c:smooth val="0"/>
        </c:ser>
        <c:ser>
          <c:idx val="6"/>
          <c:order val="6"/>
          <c:tx>
            <c:strRef>
              <c:f>Hoja1!$A$8</c:f>
              <c:strCache>
                <c:ptCount val="1"/>
                <c:pt idx="0">
                  <c:v>TaskUs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6</c:v>
                </c:pt>
              </c:numCache>
            </c:numRef>
          </c:xVal>
          <c:yVal>
            <c:numRef>
              <c:f>Hoja1!$C$8</c:f>
              <c:numCache>
                <c:formatCode>0.0"x"</c:formatCode>
                <c:ptCount val="1"/>
                <c:pt idx="0">
                  <c:v>4.9</c:v>
                </c:pt>
              </c:numCache>
            </c:numRef>
          </c:yVal>
          <c:smooth val="0"/>
        </c:ser>
        <c:axId val="10"/>
        <c:axId val="20"/>
      </c:scatterChart>
      <c:valAx>
        <c:axId val="10"/>
        <c:scaling>
          <c:orientation val="minMax"/>
          <c:max val="13"/>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3"/>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2026e</c:v>
                </c:pt>
                <c:pt idx="1">
                  <c:v>2027e</c:v>
                </c:pt>
                <c:pt idx="2">
                  <c:v>2028e</c:v>
                </c:pt>
                <c:pt idx="3">
                  <c:v>2029e</c:v>
                </c:pt>
                <c:pt idx="4">
                  <c:v>2030e</c:v>
                </c:pt>
                <c:pt idx="5">
                  <c:v>2031e</c:v>
                </c:pt>
                <c:pt idx="6">
                  <c:v>2032e</c:v>
                </c:pt>
                <c:pt idx="7">
                  <c:v>2033e</c:v>
                </c:pt>
              </c:strCache>
            </c:strRef>
          </c:cat>
          <c:val>
            <c:numRef>
              <c:f>Hoja1!$B$2:$B$9</c:f>
              <c:numCache>
                <c:formatCode>#,##0</c:formatCode>
                <c:ptCount val="8"/>
                <c:pt idx="0">
                  <c:v>212</c:v>
                </c:pt>
                <c:pt idx="1">
                  <c:v>268</c:v>
                </c:pt>
                <c:pt idx="2">
                  <c:v>302</c:v>
                </c:pt>
                <c:pt idx="3">
                  <c:v>333</c:v>
                </c:pt>
                <c:pt idx="4">
                  <c:v>361</c:v>
                </c:pt>
                <c:pt idx="5">
                  <c:v>388</c:v>
                </c:pt>
                <c:pt idx="6">
                  <c:v>413</c:v>
                </c:pt>
                <c:pt idx="7">
                  <c:v>435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1751</c:v>
                </c:pt>
                <c:pt idx="1">
                  <c:v>2738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39,76</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17.81</c:v>
                </c:pt>
                <c:pt idx="1">
                  <c:v>27.36</c:v>
                </c:pt>
                <c:pt idx="2">
                  <c:v>31.64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39,76</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(24,85 – 43,88)</c:v>
                </c:pt>
                <c:pt idx="1">
                  <c:v>Precio objetivo de los analistas (43,00 – 48,00)</c:v>
                </c:pt>
                <c:pt idx="2">
                  <c:v>Comparables: PER NTM (16,19 – 29,77)</c:v>
                </c:pt>
                <c:pt idx="3">
                  <c:v>DCF (WACC y g ± 0,5) (24,58 – 30,93)</c:v>
                </c:pt>
                <c:pt idx="4">
                  <c:v>Escenarios (bajista – alcista) (17,81 – 31,64)</c:v>
                </c:pt>
                <c:pt idx="5">
                  <c:v>DCF con la prima implícita del mercado (4,2 %)</c:v>
                </c:pt>
                <c:pt idx="6">
                  <c:v>Precio actual (39,76)</c:v>
                </c:pt>
              </c:strCache>
            </c:strRef>
          </c:cat>
          <c:val>
            <c:numRef>
              <c:f>Hoja1!$B$2:$B$8</c:f>
              <c:numCache>
                <c:formatCode>#,##0.0</c:formatCode>
                <c:ptCount val="7"/>
                <c:pt idx="0">
                  <c:v>24.85</c:v>
                </c:pt>
                <c:pt idx="1">
                  <c:v>43</c:v>
                </c:pt>
                <c:pt idx="2">
                  <c:v>16.19</c:v>
                </c:pt>
                <c:pt idx="3">
                  <c:v>24.58</c:v>
                </c:pt>
                <c:pt idx="4">
                  <c:v>17.81</c:v>
                </c:pt>
                <c:pt idx="5">
                  <c:v>30.15</c:v>
                </c:pt>
                <c:pt idx="6">
                  <c:v>39.56</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(24,85 – 43,88)</c:v>
                </c:pt>
                <c:pt idx="1">
                  <c:v>Precio objetivo de los analistas (43,00 – 48,00)</c:v>
                </c:pt>
                <c:pt idx="2">
                  <c:v>Comparables: PER NTM (16,19 – 29,77)</c:v>
                </c:pt>
                <c:pt idx="3">
                  <c:v>DCF (WACC y g ± 0,5) (24,58 – 30,93)</c:v>
                </c:pt>
                <c:pt idx="4">
                  <c:v>Escenarios (bajista – alcista) (17,81 – 31,64)</c:v>
                </c:pt>
                <c:pt idx="5">
                  <c:v>DCF con la prima implícita del mercado (4,2 %)</c:v>
                </c:pt>
                <c:pt idx="6">
                  <c:v>Precio actual (39,76)</c:v>
                </c:pt>
              </c:strCache>
            </c:strRef>
          </c:cat>
          <c:val>
            <c:numRef>
              <c:f>Hoja1!$C$2:$C$8</c:f>
              <c:numCache>
                <c:formatCode>#,##0.0</c:formatCode>
                <c:ptCount val="7"/>
                <c:pt idx="0">
                  <c:v>19.03</c:v>
                </c:pt>
                <c:pt idx="1">
                  <c:v>5</c:v>
                </c:pt>
                <c:pt idx="2">
                  <c:v>13.579999999999998</c:v>
                </c:pt>
                <c:pt idx="3">
                  <c:v>6.350000000000001</c:v>
                </c:pt>
                <c:pt idx="4">
                  <c:v>13.830000000000002</c:v>
                </c:pt>
                <c:pt idx="5">
                  <c:v>5.280000000000001</c:v>
                </c:pt>
                <c:pt idx="6">
                  <c:v>0.3999999999999986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