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Applied Nutrition plc</w:t>
      </w:r>
    </w:p>
    <w:p>
      <w:pPr>
        <w:spacing w:after="60"/>
        <w:rPr>
          <w:color w:val="52514E"/>
          <w:sz w:val="22"/>
          <w:szCs w:val="22"/>
        </w:rPr>
      </w:pPr>
      <w:r>
        <w:rPr>
          <w:color w:val="52514E"/>
          <w:sz w:val="22"/>
          <w:szCs w:val="22"/>
        </w:rPr>
        <w:t xml:space="preserve">APN · London Stock Exchange (Main Market, segmento de empresas comerciales) · ISIN GB00BPVDXX64 · Consumer Staples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2,92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2,58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-11,6 % (base -0,5 %)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1,51 GBP · mercado 1,72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729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Applied Nutrition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APN / GB00BPVDXX64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 segmento de empresas comerciales)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250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Staples / Personal Care Products (nutrición deportiva)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Knowsley, Liverpool (2 Acornfield Road) · 2014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https://www.appliednutritionplc.com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 3,56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729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716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 M GBP/día (3 meses; 761.197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2,58 GBP</w:t>
      </w:r>
      <w:r>
        <w:t xml:space="preserve"> frente a 2,92 · Rentabilidad a 12 meses </w:t>
      </w:r>
      <w:r>
        <w:rPr>
          <w:b/>
          <w:bCs/>
        </w:rPr>
        <w:t xml:space="preserve">-11,6 % (base -0,5 %)</w:t>
      </w:r>
      <w:r>
        <w:t xml:space="preserve"> · Valor intrínseco 1,51 GBP · con la prima implícita del mercado: 1,72 (-41,0 %) · Alcista / bajista -36,2 % / -63,3 %</w:t>
      </w:r>
    </w:p>
    <w:p>
      <w:pPr>
        <w:spacing w:after="100"/>
      </w:pPr>
      <w:r>
        <w:rPr>
          <w:b/>
        </w:rPr>
        <w:t xml:space="preserve">La recomendación y por qué.</w:t>
      </w:r>
      <w:r>
        <w:t xml:space="preserve"> Vender, con convicción media. Nuestro objetivo a 12 meses es de 2,58 GBP: −11,6 % ponderado y −0,5 % en el caso base, sin dividendo, frente a un precio de 2,915 GBP (291,5 peniques, cierre del 16-oct-2026 en Londres) [27]. El valor intrínseco (1,51 GBP) está un 48 % por debajo del precio. No es una mala empresa, sino una buena empresa cara: a 21 veces nuestro beneficio de FY2027e el precio ya descuenta que las ventas sigan creciendo un 28 % al año durante ocho años más. La convicción es media porque la venta depende del escenario bajista (10,5 veces, el múltiplo de julio de 2025, cuando nadie la seguía): con la regla v2 el resultado sería −0,7 % (Mantener).</w:t>
      </w:r>
    </w:p>
    <w:p>
      <w:pPr>
        <w:spacing w:after="100"/>
      </w:pPr>
      <w:r>
        <w:rPr>
          <w:b/>
        </w:rPr>
        <w:t xml:space="preserve">El negocio.</w:t>
      </w:r>
      <w:r>
        <w:t xml:space="preserve"> Applied Nutrition fabrica en Knowsley (Liverpool) y vende suplementos de nutrición deportiva (proteína en polvo Critical Whey, pre-entrenos ABE, bebidas y barritas) y de salud y belleza con marca propia, sobre todo en supermercados británicos, JD Sports y a distribuidores de más de 85 países [1]. El Reino Unido es el 45 % de las ventas. </w:t>
      </w:r>
      <w:r>
        <w:rPr>
          <w:b/>
        </w:rPr>
        <w:t xml:space="preserve">Calidad: Sí</w:t>
      </w:r>
      <w:r>
        <w:t xml:space="preserve">, con muchísima holgura: ROIC del 63 % en FY2025 frente a un WACC del 12,0 % (51 puntos). La sostenibilidad del crecimiento es </w:t>
      </w:r>
      <w:r>
        <w:rPr>
          <w:b/>
        </w:rPr>
        <w:t xml:space="preserve">sí</w:t>
      </w:r>
      <w:r>
        <w:t xml:space="preserve">: proyectamos un 9,6 % anual después de FY2026 frente al 48,9 % de FY2021-FY2025.</w:t>
      </w:r>
    </w:p>
    <w:p>
      <w:pPr>
        <w:spacing w:after="100"/>
      </w:pPr>
      <w:r>
        <w:rPr>
          <w:b/>
        </w:rPr>
        <w:t xml:space="preserve">Finanzas.</w:t>
      </w:r>
      <w:r>
        <w:t xml:space="preserve"> Ventas de 107,1 M GBP en FY2025 (+24 %), margen EBITDA del 27 % y BPA de 8,4 peniques [2]. FY2026, cerrado en julio y aún sin cuentas, fue excepcional: ≈ 160 M de ventas (+49 %), ≈ 43,3 M de EBITDA ajustado y caja neta de 15,9 M después de comprar Nutrablend [6]. Para FY2027 la empresa guía 205 M y 49 M: el margen baja del 27 % al 24 % por EE. UU., la maquila de Nutrablend y el suero caro.</w:t>
      </w:r>
    </w:p>
    <w:p>
      <w:pPr>
        <w:spacing w:after="100"/>
      </w:pPr>
      <w:r>
        <w:rPr>
          <w:b/>
        </w:rPr>
        <w:t xml:space="preserve">Equipo y gobierno.</w:t>
      </w:r>
      <w:r>
        <w:t xml:space="preserve"> El fundador y CEO, Thomas Ryder, tiene el 32,5 % y preside Andy Bell (fundador de AJ Bell) [1]. Cinco avances por encima de lo previsto en un año. Pero los tres consejeros ejecutivos vendieron en tres meses: el CFO casi la mitad de sus acciones sin motivo (junio) y el CEO y el COO 7 M de acciones a 275 p (septiembre) [21, 22, 23].</w:t>
      </w:r>
    </w:p>
    <w:p>
      <w:pPr>
        <w:spacing w:after="100"/>
      </w:pPr>
      <w:r>
        <w:rPr>
          <w:b/>
        </w:rPr>
        <w:t xml:space="preserve">Valoración.</w:t>
      </w:r>
      <w:r>
        <w:t xml:space="preserve"> El DCF da 1,54 GBP con el gilt al 5,24 % y un punto de prima por tamaño [32]; con la prima implícita del mercado, 1,80 GBP. A 12 meses aplicamos 19,3 veces (el PER de hoy con el tope de la regla) a un BPA de FY2028e de 15,0 peniques, en línea con el consenso: el objetivo medio de los analistas (3,54 GBP) supone que el mercado seguirá pagando ≈ 23 veces.</w:t>
      </w:r>
    </w:p>
    <w:p>
      <w:pPr>
        <w:spacing w:after="100"/>
      </w:pPr>
      <w:r>
        <w:rPr>
          <w:b/>
        </w:rPr>
        <w:t xml:space="preserve">Riesgos y catalizadores.</w:t>
      </w:r>
      <w:r>
        <w:t xml:space="preserve"> El riesgo principal para el accionista es el múltiplo: si el crecimiento frena a un dígito, el mercado puede pagarle 12-15 veces como a Glanbia (bajista −56,9 %). Le siguen el margen (suero, EE. UU.) y las ventas de los fundadores al acabar el bloqueo (≈ 10-mar-2027). </w:t>
      </w:r>
      <w:r>
        <w:rPr>
          <w:b/>
        </w:rPr>
        <w:t xml:space="preserve">Riesgo de IA: bajo</w:t>
      </w:r>
      <w:r>
        <w:t xml:space="preserve">, neutral. Catalizadores: resultados de FY2026 el 16-nov-2026, el 1S FY2027 (marzo) y las reposiciones de Walmart y GNC. Veredicto de precio y noticias (regla 13): </w:t>
      </w:r>
      <w:r>
        <w:rPr>
          <w:b/>
        </w:rPr>
        <w:t xml:space="preserve">descarta</w:t>
      </w:r>
      <w:r>
        <w:t xml:space="preserve"> por las ventas de los directivos, hasta rehacer el informe con las cuentas de FY2026.</w:t>
      </w:r>
    </w:p>
    <w:p>
      <w:pPr>
        <w:spacing w:after="100"/>
      </w:pPr>
      <w:r>
        <w:rPr>
          <w:b/>
        </w:rPr>
        <w:t xml:space="preserve">Qué cambiaría la decisión.</w:t>
      </w:r>
      <w:r>
        <w:t xml:space="preserve"> Compraríamos por debajo de 1,51 GBP (límite robusto, igual al valor intrínseco). Mantendríamos por debajo de 2,86 GBP. Una nueva subida de previsiones para FY2027 por encima de 220 M con margen del 25 % o más subiría el BPA y el base; una compra de acciones de los directivos quitaría el veredicto «descarta».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2,58 GBP</w:t>
      </w:r>
      <w:r>
        <w:t xml:space="preserve"> (rentabilidad -11,6 % (base -0,5 %)) · Valor intrínseco: 1,51 GBP (-48,2 % sobre 2,92) · con la prima implícita del mercado: 1,72 (-41,0 %)</w:t>
      </w:r>
    </w:p>
    <w:p>
      <w:pPr>
        <w:spacing w:after="100"/>
      </w:pPr>
      <w:r>
        <w:t xml:space="preserve">Applied Nutrition es una de las mejores historias de crecimiento de la bolsa británica: ventas multiplicadas por siete en cinco años, margen EBITDA del 27-30 %, ROIC de más del 60 % y caja neta [2, 6].</w:t>
      </w:r>
    </w:p>
    <w:p>
      <w:pPr>
        <w:spacing w:after="100"/>
      </w:pPr>
      <w:r>
        <w:t xml:space="preserve">El problema es el precio. A 2,915 GBP cotiza a 21 veces el beneficio de FY2027e y a 18 veces el EBITDA de los últimos doce meses, el doble que sus comparables. Para que el DCF llegue al precio las ventas tendrían que crecer un 28 % al año hasta FY2034 o el margen ser del 38 % para siempre. Nuestro base, que ya acepta la guía de FY2027 y el 10 % del consenso en FY2028, no da rentabilidad a 12 meses (−0,5 %).</w:t>
      </w:r>
    </w:p>
    <w:p>
      <w:pPr>
        <w:spacing w:after="100"/>
      </w:pPr>
      <w:r>
        <w:t xml:space="preserve">Y los que mejor la conocen están vendiendo: CFO, CEO y COO en tres meses. Con la guía de FY2027 el margen baja y el crecimiento pasa a depender de EE. UU., donde la marca aún no ha demostrado nada.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 × 0,12 = 1,26 · 19,3x × 0,15 = 2,90 · 19,3x × 0,17 = 3,25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 -0,5 %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historia adelantada de 2 años: decide la más baja de v3 y v2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(nuestro base -18,0 %)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 / -63,3 %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 frente a 12,0 % y 10,7 %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 frente a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(14,1 % anual proyectado; financiable al ROIC actual: 13,5 %)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-48,2 % (-41,0 % con la prima del mercado) y el precio pide 18,7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1,51 y 2,86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2,86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Vender (−11,6 % ponderado, ≤ −10 %) y el valor intrínseco (1,51 GBP) está un 48 % por debajo del precio. La convicción es media, no alta: la venta depende del bajista a 10,5 veces (el PER de una empresa recién salida a bolsa) y con la v2 o sin el doble castigo del bajista saldría Mantener (−0,7 % y −6,5 %).</w:t>
      </w:r>
    </w:p>
    <w:p>
      <w:pPr>
        <w:pStyle w:val="Heading2"/>
      </w:pPr>
      <w:r>
        <w:t xml:space="preserve">Qué cambiaría la recomendación</w:t>
      </w:r>
    </w:p>
    <w:p>
      <w:pPr>
        <w:pStyle w:val="ListParagraph"/>
        <w:numPr>
          <w:ilvl w:val="0"/>
          <w:numId w:val="2"/>
        </w:numPr>
        <w:spacing w:after="60"/>
      </w:pPr>
      <w:r>
        <w:t xml:space="preserve">Precio por debajo de 2,86 GBP: pasaríamos a Mantener; por debajo de 1,51 GBP (valor intrínseco), a Comprar.</w:t>
      </w:r>
    </w:p>
    <w:p>
      <w:pPr>
        <w:pStyle w:val="ListParagraph"/>
        <w:numPr>
          <w:ilvl w:val="0"/>
          <w:numId w:val="2"/>
        </w:numPr>
        <w:spacing w:after="60"/>
      </w:pPr>
      <w:r>
        <w:t xml:space="preserve">Nueva guía de FY2027 por encima de 220 M con margen del 25 %: subiríamos el base.</w:t>
      </w:r>
    </w:p>
    <w:p>
      <w:pPr>
        <w:pStyle w:val="ListParagraph"/>
        <w:numPr>
          <w:ilvl w:val="0"/>
          <w:numId w:val="2"/>
        </w:numPr>
        <w:spacing w:after="60"/>
      </w:pPr>
      <w:r>
        <w:t xml:space="preserve">Compras de acciones de los consejeros ejecutivos: quitaríamos el veredicto «descarta».</w:t>
      </w:r>
    </w:p>
    <w:p>
      <w:pPr>
        <w:pStyle w:val="ListParagraph"/>
        <w:numPr>
          <w:ilvl w:val="0"/>
          <w:numId w:val="2"/>
        </w:numPr>
        <w:spacing w:after="60"/>
      </w:pPr>
      <w:r>
        <w:t xml:space="preserve">Margen EBITDA del 1S FY2027 por debajo del 22 %: bajaríamos el base al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Applied Nutrition seguirá sorprendiendo al alza como en los últimos doce meses y que EE. UU. será un segundo Reino Unido: un crecimiento del 28 % anual durante ocho años o un margen EBITDA del 38 %.</w:t>
      </w:r>
    </w:p>
    <w:p>
      <w:pPr>
        <w:keepNext/>
        <w:spacing w:after="100"/>
      </w:pPr>
      <w:r>
        <w:rPr>
          <w:b/>
          <w:bCs/>
        </w:rPr>
        <w:t xml:space="preserve">Lo que creemos nosotros.</w:t>
      </w:r>
    </w:p>
    <w:p>
      <w:pPr>
        <w:spacing w:after="100"/>
      </w:pPr>
      <w:r>
        <w:t xml:space="preserve">La guía de FY2027 se cumple y después el crecimiento converge con el del mercado (≈ 9 %) con un margen del 22-24 %. Con eso el valor es ≈ 1,5 GBP y el múltiplo de 21 veces no tiene recorrido.</w:t>
      </w:r>
    </w:p>
    <w:p>
      <w:pPr>
        <w:keepNext/>
        <w:spacing w:after="100"/>
      </w:pPr>
      <w:r>
        <w:rPr>
          <w:b/>
          <w:bCs/>
        </w:rPr>
        <w:t xml:space="preserve">Por qué podemos tener razón.</w:t>
      </w:r>
    </w:p>
    <w:p>
      <w:pPr>
        <w:spacing w:after="100"/>
      </w:pPr>
      <w:r>
        <w:t xml:space="preserve">El 45 % de las ventas está en un Reino Unido donde ya ocupa el lineal de casi todos los supermercados; el resto crece por distribuidores y por Nutrablend, una maquila con margen de un dígito alto [6, 10]. La propia empresa avisa de un margen menor, y sus tres consejeros ejecutivos han vendido.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2,9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63 % en FY2025 y del 78-96 % en FY2021-FY2024 [2, 4].</w:t>
      </w:r>
    </w:p>
    <w:p>
      <w:pPr>
        <w:pStyle w:val="ListParagraph"/>
        <w:numPr>
          <w:ilvl w:val="0"/>
          <w:numId w:val="2"/>
        </w:numPr>
        <w:spacing w:after="60"/>
      </w:pPr>
      <w:r>
        <w:rPr>
          <w:b/>
        </w:rPr>
        <w:t xml:space="preserve">Crecimiento demostrado</w:t>
      </w:r>
      <w:r>
        <w:t xml:space="preserve">: +49 % en FY2026 y cinco avances por encima de lo previsto en un año [6, 10, 11].</w:t>
      </w:r>
    </w:p>
    <w:p>
      <w:pPr>
        <w:pStyle w:val="ListParagraph"/>
        <w:numPr>
          <w:ilvl w:val="0"/>
          <w:numId w:val="2"/>
        </w:numPr>
        <w:spacing w:after="60"/>
      </w:pPr>
      <w:r>
        <w:rPr>
          <w:b/>
        </w:rPr>
        <w:t xml:space="preserve">Balance</w:t>
      </w:r>
      <w:r>
        <w:t xml:space="preserve">: caja neta de 15,9 M sin deuda tras comprar Nutrablend [6].</w:t>
      </w:r>
    </w:p>
    <w:p>
      <w:pPr>
        <w:pStyle w:val="ListParagraph"/>
        <w:numPr>
          <w:ilvl w:val="0"/>
          <w:numId w:val="2"/>
        </w:numPr>
        <w:spacing w:after="60"/>
      </w:pPr>
      <w:r>
        <w:rPr>
          <w:b/>
        </w:rPr>
        <w:t xml:space="preserve">Fundador alineado</w:t>
      </w:r>
      <w:r>
        <w:t xml:space="preserve">: Ryder conserva el 32,5 % del capital [1].</w:t>
      </w:r>
    </w:p>
    <w:p>
      <w:pPr>
        <w:pStyle w:val="Heading2"/>
      </w:pPr>
      <w:r>
        <w:t xml:space="preserve">En contra</w:t>
      </w:r>
    </w:p>
    <w:p>
      <w:pPr>
        <w:pStyle w:val="ListParagraph"/>
        <w:numPr>
          <w:ilvl w:val="0"/>
          <w:numId w:val="2"/>
        </w:numPr>
        <w:spacing w:after="60"/>
      </w:pPr>
      <w:r>
        <w:rPr>
          <w:b/>
        </w:rPr>
        <w:t xml:space="preserve">Valoración</w:t>
      </w:r>
      <w:r>
        <w:t xml:space="preserve">: 21 veces el BPA de FY2027e; el DCF da 1,54 GBP [27].</w:t>
      </w:r>
    </w:p>
    <w:p>
      <w:pPr>
        <w:pStyle w:val="ListParagraph"/>
        <w:numPr>
          <w:ilvl w:val="0"/>
          <w:numId w:val="2"/>
        </w:numPr>
        <w:spacing w:after="60"/>
      </w:pPr>
      <w:r>
        <w:rPr>
          <w:b/>
        </w:rPr>
        <w:t xml:space="preserve">Margen a la baja</w:t>
      </w:r>
      <w:r>
        <w:t xml:space="preserve">: del 27 % de FY2026 al 24 % guiado en FY2027 [6].</w:t>
      </w:r>
    </w:p>
    <w:p>
      <w:pPr>
        <w:pStyle w:val="ListParagraph"/>
        <w:numPr>
          <w:ilvl w:val="0"/>
          <w:numId w:val="2"/>
        </w:numPr>
        <w:spacing w:after="60"/>
      </w:pPr>
      <w:r>
        <w:rPr>
          <w:b/>
        </w:rPr>
        <w:t xml:space="preserve">Ventas de directivos</w:t>
      </w:r>
      <w:r>
        <w:t xml:space="preserve">: CFO, CEO y COO en tres meses [21, 23].</w:t>
      </w:r>
    </w:p>
    <w:p>
      <w:pPr>
        <w:pStyle w:val="ListParagraph"/>
        <w:numPr>
          <w:ilvl w:val="0"/>
          <w:numId w:val="2"/>
        </w:numPr>
        <w:spacing w:after="60"/>
      </w:pPr>
      <w:r>
        <w:rPr>
          <w:b/>
        </w:rPr>
        <w:t xml:space="preserve">Dependencia del Reino Unido y de EE. UU. por demostrar</w:t>
      </w:r>
      <w:r>
        <w:t xml:space="preserve">: 45 % de las ventas en casa [2].</w:t>
      </w:r>
    </w:p>
    <w:p>
      <w:pPr>
        <w:pStyle w:val="Heading2"/>
      </w:pPr>
      <w:r>
        <w:t xml:space="preserve">Qué tiene que pasar para que la tesis funcione</w:t>
      </w:r>
    </w:p>
    <w:p>
      <w:pPr>
        <w:spacing w:after="100"/>
      </w:pPr>
      <w:r>
        <w:t xml:space="preserve">El margen y las ventas de EE. UU. La señal de que el mercado tiene razón: en el 1S FY2027 (marzo de 2027) ventas por encima de 105 M con margen EBITDA del 24 % o más y otra subida de previsiones; la de que falla: un margen por debajo del 22 %, la conversión de caja por debajo del 60 % o una colocación de los fundadores en marzo.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 (FY2026, avance)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del suero, EE. UU. y Nutrablend.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semestre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 M (2S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 M en el 1S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205 M pide ≈ 100 M por semestre.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(1S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se come 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directivos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consejeros ejecutivos vendieron en jun-sep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Nueva venta o colocación tras el bloqueo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 13: quien mejor conoce la empresa.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Nutrablend ≥ 30 M USD previstos en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30 M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motor de crecimiento siguiente.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18,5x / 14,3x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26,4x / 20,5x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Thomas Ryder, culturista y dueño de una tienda de suplementos en Liverpool, compró la marca Applied Nutrition y fundó la sociedad en julio de 2014 [1]. Pasó de distribuir a fabricar en 2016 y en 2020 trasladó la sede y la fábrica a Knowsley (Liverpool). En 2021 JD Sports Fashion compró el 32 % y entró como director de operaciones Steven Granite. Con una salida a bolsa a 140 peniques (capitalización de 350 M GBP) en octubre de 2024, solo de acciones existentes, los fundadores y JD Sports vendieron el 45 % [14]. Entró en el FTSE 250 en diciembre de 2025, JD Sports vendió el resto en abril de 2026 y en junio compró una fábrica en EE. UU. (Nutrablend) [3,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Thomas Ryder (sociedad 09131749)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a fabricar sus propios productos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Expansión internacional a Asia-Pacífico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sede y fábrica en Knowsley (44.000 pies cuadrados)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 Sports Fashion compra el 32 %; llegan el director de operaciones y el financiero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EE. UU. y segundo almacén en el Reino Unido; gama Endurance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Colaboración con Swizzels y entrada en Walmart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Londres a 140 peniques (29-oct); entrada en supermercados del Reino Unido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con Morrisons para comida con proteína; entrada en el FTSE 250 (diciembre) [3,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Nutrablend (Buffalo, EE. UU.) y licencia de Mondelēz para EE. UU. y Canadá [10]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Applied Nutrition diseña, fabrica y vende suplementos de nutrición deportiva y bienestar con cuatro gamas bajo la misma marca: Applied Nutrition (proteína, creatina, vitaminas), ABE (pre-entreno), BodyFuel (bebidas de hidratación) y Endurance (deportes de resistencia), más de 120 productos, y desde 2026 las marcas de EE. UU. Basic Supplements y GR8 [1, 10]. Fabrica la mayor parte en su planta de Knowsley (Liverpool) y desde junio de 2026 en Buffalo (Nueva York). Vende sobre todo a empresas (B2B): supermercados y tiendas de descuento del Reino Unido (Tesco, Asda, Morrisons, B&amp;M), droguerías y tiendas de salud (Holland &amp; Barrett), cadenas de deporte y gimnasios, y distribuidores exclusivos en más de 85 países; una parte pequeña va directa al consumidor (web, Amazon, aplicación) [1, 3]. En FY25 ningún cliente superó el 10 % de las ventas [1].</w:t>
      </w:r>
    </w:p>
    <w:p>
      <w:pPr>
        <w:pStyle w:val="Heading2"/>
      </w:pPr>
      <w:r>
        <w:t xml:space="preserve">Cómo gana dinero</w:t>
      </w:r>
    </w:p>
    <w:p>
      <w:pPr>
        <w:spacing w:after="100"/>
      </w:pPr>
      <w:r>
        <w:t xml:space="preserve">Margen bruto del 46-48 % (FY24-FY26) con margen EBITDA del 27-30 % [2, 3]: fabrica casi todo y vende a distribuidores que pagan la comercialización local, así que gasta en marketing mucho menos que una marca que vende directamente. El coste es sobre todo materia prima (suero de leche, creatina, aromas, envases) y mano de obra directa; el suero es el insumo volátil (un 30 % más caro de media en FY25) y pesa en torno al 20 % de las ventas [2, 3]. El poder de precios es de categoría: «todas las marcas suben a la vez» [3]. La recurrencia viene de la reposición de consumibles, sin contratos largos. Estacionalidad: el pico de enero («propósitos de año nuevo») concentra pedidos en el primer semestre. Apalancamiento operativo moderado: los gastos generales son el 18-19 % de las ventas [3].</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Proteína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Pre-entreno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 llevar (grab-and-go)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Salud y bienestar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peso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Intra-entreno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(materias primas, marca blanca y rappels)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Proteína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Pre-entreno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 llevar (grab-and-go)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Salud y bienestar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peso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Intra-entreno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(materias primas, marca blanca y rappels)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Modelo B2B con muchos clientes: en FY25 ningún cliente pasó del 10 % de las ventas y los mayores tienen trato directo con el primer ejecutivo [1]. La concentración sí aparece por distribuidor en mercados internacionales: la salida de un distribuidor de Oriente Medio dejó Internacional en +3 % en FY25 y 5,5 M de pedidos adelantados a FY24 distorsionaron el semestre [2]. No hay contratos largos; la licencia con Morrisons es exclusiva a tres años y la de Mondelēz cubre EE. UU. y Canadá [10, 17]. Poder de precios: la empresa repercutió la subida del suero sin perder margen bruto en el 1S FY26 (46,7 % frente a 46,8 %) [3], pero avisa de un margen EBITDA algo menor en FY27 por más ventas de suero y de EE. UU.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Reino Unido (M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(FY25); 31,5 en 1S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+45,8 % en 1S FY26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espacio en supermercados, descuento y droguerías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Europa (M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(FY25); 8,8 en 1S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 +37,5 %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y Alemania; distribuidores país a país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Internacional (M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(FY25); 34,2 en 1S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+74,5 %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Oriente Medio y Latinoamérica (+110 % en 1S FY26)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 (FY25); 46,7 % en 1S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pb; −10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Suero un 30 % más caro en FY25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productos con base de suero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 (1S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 (1S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en FY27 por Critical Whey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circulante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(ene-26)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de 44,4 M a ene-26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Países con venta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85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a editores de los RNS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nutrición deportiva (proteína en polvo, productos sin proteína como pre-entreno y creatina, barritas y bebidas proteicas) dentro del mercado más amplio de nutrición deportiva, salud y bienestar que define Euromonitor (incluye vitaminas, control de peso y bebidas energéticas) [14]. Euromonitor da 23.000 M GBP de nutrición deportiva mundial en 2023 (16.000 M en 2019) y 35.000 M en 2028, y 189.000 M GBP del mercado amplio en 2023 (279.000 M en 2028) [3, 14]. Se usa la nutrición deportiva mundial (23.000 M en 2023) como perímetro de la cuota; el mercado amplio es el techo. La segunda fuente independiente son las cifras de ventas y márgenes de los competidores cotizados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23.000 M GBP de nutrición deportiva mundial en 2023; 35.000 M en 2028e (Euromonitor)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GBP (nutrición deportiva mundial, Euromonito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Salud y ejercicio como hábito diario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84 % de los consumidores de EE. UU. y el 79 % del Reino Unido ven el bienestar como prioridad (McKinsey 2025)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canal especializado al supermercado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Pre-entreno ABE en Tesco; Critical Whey en supermercados desde el 1S FY26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suero de leche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Suero un 30 % más caro de media en FY25; «niveles históricamente altos»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Tratamientos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Refuerzan la demanda de proteína para conservar músculo; gama «GLP-1 friendly» con Morrisons [3,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comercio electrónico y marcas directas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Reino Unido el 69,6 % de la nutrición deportiva se vende por internet (Euromonitor) [14]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diez primeras tienen solo ≈ 36 % del mercado mundial; lanzamientos continuos y promociones; Myprotein (THG) compite en precio por internet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supermercados y distribuidores exclusivos negocian lineal y rappels; ninguno pasa del 10 % de las ventas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suero es una materia prima cotizada (+30 % en FY25); el resto de insumos tiene poca volatilidad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Fabricantes de maquila permiten lanzar marcas con poco capital; las marcas de influencers entran rápido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Alimentos altos en proteína y bebidas funcionales; la empresa los licencia (Morrisons) en vez de sufrirlos [17]</w:t>
            </w:r>
          </w:p>
        </w:tc>
      </w:tr>
    </w:tbl>
    <w:p>
      <w:pPr>
        <w:spacing w:after="160" w:before="0"/>
      </w:pPr>
    </w:p>
    <w:p>
      <w:pPr>
        <w:pStyle w:val="Heading2"/>
      </w:pPr>
      <w:r>
        <w:t xml:space="preserve">Ciclo</w:t>
      </w:r>
    </w:p>
    <w:p>
      <w:pPr>
        <w:spacing w:after="100"/>
      </w:pPr>
      <w:r>
        <w:t xml:space="preserve">Según Euromonitor la nutrición deportiva creció un 9,9 % anual en 2019-2023 y se espera un 8,9 % en 2023-2028 [14]; en 2020 bajó por el cierre de gimnasios y en 2022 aguantó la inflación con subidas de precio. Los indicadores: crecimiento de las ventas de los cotizados (Glanbia y BellRing frenaron en 2025-2026, Celsius y Monster siguieron creciendo [15]) y el precio del suero. Es un consumo discrecional barato: resistente en recesión, sensible a modas.</w:t>
      </w:r>
    </w:p>
    <w:p>
      <w:pPr>
        <w:pStyle w:val="Heading2"/>
      </w:pPr>
      <w:r>
        <w:t xml:space="preserve">Regulación</w:t>
      </w:r>
    </w:p>
    <w:p>
      <w:pPr>
        <w:spacing w:after="100"/>
      </w:pPr>
      <w:r>
        <w:t xml:space="preserve">Suplementos y alimentos para deportistas: en el Reino Unido, la normativa de complementos alimenticios y las declaraciones nutricionales y de propiedades saludables de la FSA (post-Brexit); en la UE, el Reglamento 1924/2006 y los registros país a país; en EE. UU., la DSHEA de la FDA. Para vender en Oriente Medio cada producto se registra en el país, lo que ralentizó Internacional en FY25 [2]. Riesgo regulatorio del Reino Unido: restricciones a la publicidad de alimentos con mucho azúcar (HFSS) y posibles límites a la cafeína de los pre-entrenos para menores [1].</w:t>
      </w:r>
    </w:p>
    <w:p>
      <w:pPr>
        <w:pStyle w:val="Heading2"/>
      </w:pPr>
      <w:r>
        <w:t xml:space="preserve">Tendencias y disrupción</w:t>
      </w:r>
    </w:p>
    <w:p>
      <w:pPr>
        <w:spacing w:after="100"/>
      </w:pPr>
      <w:r>
        <w:t xml:space="preserve">Tres tendencias favorecen a Applied Nutrition: el paso de la proteína al supermercado (formatos pequeños, bebidas y comida con proteína), la creatina y la salud de más de 40 años, y las colaboraciones con marcas de golosinas (Swizzels, Slush Puppie, Sour Patch Kids) que atraen a consumidores nuevos [3, 10]. En contra: la presión de las marcas propias de los supermercados y de Myprotein en precio, y el cambio del suero. La empresa gana con la integración vertical (lanza productos en semanas) y pierde si el consumidor migra a la compra directa por internet, donde es más débil [3, 14].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Marca de nutrición deportiva británica de crecimiento rápido; ≈ 0,6 % del mercado mundial de nutrición deportiva (160 M GBP de ventas en FY26 frente a ≈ 27.000 M de mercado estimado para 2026 a partir de Euromonitor) y una de las marcas que más crecen en el canal físico del Reino Unido [1, 6, 14]. Líderes mundiales: Glanbia (Optimum Nutrition), Mondelēz (Grenade, Clif) y Nutrabolt (C4)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Glanbia (Optimum Nutrition, Isopure)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GL9.IR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proteína en polvo; marca premium, venta por internet y especialistas; margen del grupo (incluye ingredientes) [14,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BellRing Brands (Premier Protein, Dymatize)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BRBR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Batidos listos para beber en EE. UU.; crecimiento frenado y acción hundida en 2025-2026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Simply Good Foods Company (Quest, Atkins, OWYN)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Barritas y batidos proteicos en EE. UU.; ventas a la baja en FY27e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THG (Myprotein)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el Reino Unido por internet, con precios bajos; grupo con pérdidas (nutrición y belleza) [14,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Celsius Holdings (Celsius, Alani Nu)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Bebidas energéticas «de bienestar»; compra de Alani Nu en 2025 [15,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Science in Sport (SiS, PhD)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 británico directo; ventas −17,5 % en 2024 y EBITDA ajustado de solo 4,2 M; excluida de bolsa por bd-capital en 2025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producto de consumo sin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el minorista, con algo de fricción por lineal y rappels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reconocida en el canal físico del Reino Unido y colaboraciones exclusivas (Swizzels, Slush Puppie, Mondelēz, Morrisons); acreditaciones de pureza (Informed Sport) [2, 4,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y modelo B2B: margen EBITDA del 27-30 % frente al 12-16 % de Glanbia, BellRing y Simply Good Foods [5,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fragmentado (diez primeras ≈ 36 %): la escala no impide la entrada [1].</w:t>
            </w:r>
          </w:p>
        </w:tc>
      </w:tr>
    </w:tbl>
    <w:p>
      <w:pPr>
        <w:spacing w:after="160" w:before="0"/>
      </w:pPr>
    </w:p>
    <w:p>
      <w:pPr>
        <w:pStyle w:val="Heading2"/>
      </w:pPr>
      <w:r>
        <w:t xml:space="preserve">Amenazas</w:t>
      </w:r>
    </w:p>
    <w:p>
      <w:pPr>
        <w:spacing w:after="100"/>
      </w:pPr>
      <w:r>
        <w:t xml:space="preserve">Tres cosas pueden erosionar la ventaja. (1) Los supermercados británicos meten sus marcas propias en la categoría ahora que es masiva (probabilidad media). (2) Una crisis de calidad o de contenido real de proteína, que en el sector ha tumbado marcas (probabilidad baja, impacto alto) [3]. (3) Que el modelo de distribuidor exclusivo pierda frente a la venta directa por internet en Europa y EE. UU., donde Myprotein y Optimum Nutrition dominan (probabilidad media) [14]. El margen alto atrae competencia: si la categoría madura en el Reino Unido, el crecimiento dependerá de mercados donde la marca es menos conocida.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FY2021-FY2025: ingresos </w:t>
      </w:r>
      <w:r>
        <w:rPr>
          <w:b/>
          <w:bCs/>
        </w:rPr>
        <w:t xml:space="preserve">48,9 %</w:t>
      </w:r>
      <w:r>
        <w:t xml:space="preserve">, EBITDA </w:t>
      </w:r>
      <w:r>
        <w:rPr>
          <w:b/>
          <w:bCs/>
        </w:rPr>
        <w:t xml:space="preserve">43,4 %</w:t>
      </w:r>
      <w:r>
        <w:t xml:space="preserve">, BPA </w:t>
      </w:r>
      <w:r>
        <w:rPr>
          <w:b/>
          <w:bCs/>
        </w:rPr>
        <w:t xml:space="preserve">37,6 %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Crecimiento orgánico muy alto y sin compras hasta junio de 2026: las ventas pasaron de 21,8 M GBP en FY21 a 107,1 M en FY25 (TCAC del 49 %) [1, 4, 5], con un FY25 de +24,2 % (Reino Unido +44 %, Europa +46 %, Internacional +3 % por la salida de un distribuidor de Oriente Medio y 5,5 M de pedidos adelantados a FY24) [2, 7]. El margen bruto bajó de 47,9 % a 46,0 % en FY25 por la proteína de suero (whey), un 30 % más cara de media, y la mezcla [2]; el margen EBITDA publicado pasó de 29,8 % (FY22) a 30,5 % (FY23), 28,6 % (FY24) y 27,3 % (FY25), y el ajustado se quedó en el 29 % [2, 4]. El semestre a enero de 2026 vendió 74,5 M (+56,5 %) con margen EBITDA del 28,9 % [3]; el avance de agosto da para FY26 unas ventas de ≈ 160 M (+50 %) y un EBITDA ajustado de ≈ 43,3 M (27,1 %), aún sin auditar [6]. FY21 está en FRS 102 (sin NIIF 16: los alquileres van en gastos) y no es del todo comparable con FY22-FY25.</w:t>
      </w:r>
    </w:p>
    <w:p>
      <w:pPr>
        <w:pStyle w:val="Heading2"/>
      </w:pPr>
      <w:r>
        <w:t xml:space="preserve">Ajustes y partidas no recurrentes</w:t>
      </w:r>
    </w:p>
    <w:p>
      <w:pPr>
        <w:spacing w:after="100"/>
      </w:pPr>
      <w:r>
        <w:t xml:space="preserve">La empresa publica un EBITDA y un beneficio «ajustados» que excluyen los costes de la salida a bolsa (1,2 M en FY24 y 1,7 M en FY25; 1,8 M en el primer semestre de FY25) y un pago en acciones de planes previos a la salida (0,2 M en FY24) [2, 4]. No se repiten: en el primer semestre de FY26 no hubo partidas ajustadas [3]. Aquí se usa la cifra publicada, y esos costes de la salida a bolsa se marcan como no recurrentes para que el EBITDA de los múltiplos sea el recurrente. El BPA ajustado de FY25 fue de 9,1 peniques frente a 8,4 publicado [2]. Los dividendos de FY22 (6,0 M) y FY25 (14,7 M, pagado en octubre de 2024 antes de la salida a bolsa) fueron repartos de sociedad privada: van como extraordinarios; la empresa no prevé dividendos antes de FY27 [3].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 FY26 (avance, sin auditar)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Semestres (la empresa no publica trimestres). En la presentación del 23-mar-2026 [3, 8] la dirección explicó el +56,5 % del semestre por más espacio en lineal en los clientes de siempre (droguerías, supermercados y tiendas de descuento del Reino Unido), Latinoamérica (+110 %), el relanzamiento de Critical Whey (+128 %) y el mayor número de lanzamientos de su historia; avisó de que el año sería más concentrado en el primer semestre porque los minoristas cargaron existencias antes de enero, y de menos volumen a Oriente Medio por el corte de rutas. El mensaje cambió respecto a noviembre de 2025 [2, 9]: entonces el foco era recuperar Internacional tras la salida de un distribuidor; en marzo, la capacidad (fábrica fase 3 y nuevo almacén y sede, capacidad de ≈ 300 M de ventas) y las compras. Lo que preguntó el mercado y quedó sin cifra: la conversión de caja (51 % en el semestre frente al 84 % un año antes, por clientes y existencias) y cuánto del primer semestre era carga de existencias de los clientes. El 1-jun-2026 subió la guía a 148 M y compró Nutrablend en EE. UU. por 16 M USD [10]; el 26-ago dio 160 M y una guía de FY27 de 205 M de ventas con un EBITDA de 49 M, avisando de un margen algo menor por EE. UU. y el suero [6].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es la gran partida: existencias 22,8 M y clientes 27,4 M frente a proveedores de 17,1 M en julio de 2025 (circulante comercial de 33,1 M, el 31 % de las ventas) [2]; en enero de 2026 ya eran 32,9 M de existencias y 33,4 M de clientes, y la empresa lo explica por la carga de existencias de enero y por clientes que aún no habían vencido (109 días de circulante, igual que un año antes) [3]. Crecer al 50 % con un circulante de 100-110 días consume la caja: la caja neta bajó de 26,4 M (enero) a 15,9 M (julio) pese a un EBITDA del segundo semestre de unos 21,8 M, después de 12 M de Nutrablend y la inversión en capacidad [6]. El balance es de caja neta, sin deuda bancaria desde FY22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FY2021-FY2025: FCF </w:t>
      </w:r>
      <w:r>
        <w:rPr>
          <w:b/>
          <w:bCs/>
        </w:rPr>
        <w:t xml:space="preserve">35</w:t>
      </w:r>
      <w:r>
        <w:t xml:space="preserve">, conversión </w:t>
      </w:r>
      <w:r>
        <w:rPr>
          <w:b/>
          <w:bCs/>
        </w:rPr>
        <w:t xml:space="preserve">52 %</w:t>
      </w:r>
      <w:r>
        <w:t xml:space="preserve"> del beneficio neto; adquisiciones 0, dividendos 21, recompras 0.</w:t>
      </w:r>
    </w:p>
    <w:p>
      <w:pPr>
        <w:spacing w:after="100"/>
      </w:pPr>
      <w:r>
        <w:t xml:space="preserve">La conversión de beneficio en caja es irregular porque el circulante crece con las ventas: el flujo operativo fue de 6,7 M en FY24 (impuestos pagados de 9,7 M por el cambio a pagos a cuenta) y de 15,6 M en FY25, frente a un EBITDA de 24,6 y 29,2 M [2, 4]. El capex es pequeño (1,0 M al año, el 1 % de las ventas) porque la fábrica de Knowsley es alquilada y se amplió en FY25; para FY26-FY27 la empresa anuncia 2,0-2,5 M de líneas automáticas y 3,5-4,0 M de acondicionar el nuevo almacén y sede, más los 16 M USD de Nutrablend (nave en propiedad valorada en ≈ 7 M USD, maquinaria ≈ 4 M USD y existencias ≈ 5 M USD) [3, 10]. Estimación propia: el capex de mantenimiento es ≈ 0,5 % de las ventas; el resto es capacidad. El flujo libre de FY25 (16,5 M según la empresa, 72 % del beneficio ajustado) se fue entero en el dividendo previo a la salida a bolsa (14,7 M) [2].</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BDO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FY25 y en la información histórica del folleto [1,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−1,78: perfil compatible con manipulación de beneficios; revisar a fondo.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sencillas: un solo segmento, ventas reconocidas en el momento de la entrega, sin capitalización de I+D ni intereses, sin fondo de comercio hasta la compra de Nutrablend (junio de 2026), sin deuda y con remuneración en acciones casi nula (0,1 M en el semestre) [1, 3]. Los rappels por volumen se estiman al cierre y se restan de las ventas: es la principal estimación de la cuenta [2]. Los ajustes de la empresa se limitan a los costes de la salida a bolsa [2]. BDO audita desde FY22, cuando la empresa pasó a NIIF; antes auditaba Haines Watts con FRS 102 [4, 5]. La primera auditoría de un grupo cotizado en crecimiento rápido pide vigilar dos partidas: clientes (27,4 M, 93 días de ventas en julio de 2025) y existencias (con caducidad de 24 meses de las materias primas) [1, 2]. Lectura de los indicadores del motor: el Altman Z sale muy alto por la caja y el patrimonio frente a un pasivo pequeño; el Piotroski F alto por márgenes y caja; el Beneish M hay que leerlo con cuidado porque los días de cobro suben con el crecimiento y con la mezcla de grandes superficies, no por una política de ventas agresiva visible en las notas.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que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17,3 M a 27,4 M (+58 %) con ventas +24 % en FY25; 33,4 M en enero de 2026. La empresa lo atribuye a la concentración de ventas al final del periodo; sin provisiones relevantes de insolvencias declaradas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del semestre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libre del 51 % del beneficio ajustado en el primer semestre de FY26, frente al 84 % un año antes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FY26 sin auditar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cifras de FY26 son de un avance; las cuentas auditadas salen el 16-nov-2026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FY2025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57,1 % · </w:t>
      </w:r>
      <w:r>
        <w:rPr>
          <w:b/>
          <w:bCs/>
        </w:rPr>
        <w:t xml:space="preserve">WACC</w:t>
      </w:r>
      <w:r>
        <w:t xml:space="preserve">: 12,0 %.</w:t>
      </w:r>
    </w:p>
    <w:p>
      <w:pPr>
        <w:spacing w:after="100"/>
      </w:pPr>
      <w:r>
        <w:t xml:space="preserve">Applied Nutrition crea muchísimo valor: ROIC del 63 % en FY2025 frente a un WACC del 12,0 % (51 puntos) y entre el 78 % y el 96 % en FY2021-FY2024 [2, 4]. Viene de un margen operativo del 26 % con muy poco capital (35 M de capital invertido para 107 M de ventas: rotación de 3 veces), porque la fábrica es alquilada y vende a través de distribuidores y supermercados sin red propia. El ROIC incremental de FY2021-FY2025 es del 57 %. Bajará: la compra de Nutrablend (12 M), el almacén nuevo y el circulante de EE. UU. añaden ≈ 35-40 M de capital en dos años con un margen menor; con nuestro FY2028e (EBIT de 50,5 M y capital de ≈ 90 M) el ROIC quedaría en ≈ 40 %, aún más de tres veces el coste de capital. El ROE fue del 41 % en FY2025 sin deuda, después de repartir 14,7 M de dividendo previo a la salida a bolsa [2].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neta (sin NIIF 16) de 26,4 M GBP a 31-ene-2026 y de 15,9 M a 31-jul-2026 (sin auditar), después de pagar 16 M USD (≈ 12 M GBP) por Nutrablend y la ampliación de la fábrica [3, 6]. Línea de crédito revolving de 10 M GBP con Royal Bank of Scotland, sin disponer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financiera desde FY22: los únicos pasivos financieros son los arrendamientos NIIF 16 (3,1 M a 31-ene-2026: 0,9 M a corto y 2,2 M a largo) [3]. Provisiones de 0,3 M por desmantelamiento [2]. No hay pensiones de prestación definida (solo aportación definida) [1]. Rappels por volumen a clientes reconocidos dentro de «proveedores y otras cuentas a pagar» [2]. No constan factoring, confirming ni pagos aplazados de compras; la compra de Nutrablend se pagó al contado con pasivos asumidos de menos de 0,1 M USD [10]. Garantías y litigios: ninguno relevante declarado [1].</w:t>
      </w:r>
    </w:p>
    <w:p>
      <w:pPr>
        <w:pStyle w:val="Heading1"/>
      </w:pPr>
      <w:r>
        <w:t xml:space="preserve">12. Asignación de capital</w:t>
      </w:r>
    </w:p>
    <w:p>
      <w:pPr>
        <w:pStyle w:val="Confianza"/>
        <w:spacing w:after="100"/>
      </w:pPr>
      <w:r>
        <w:t xml:space="preserve">Confianza: Alta</w:t>
      </w:r>
    </w:p>
    <w:p>
      <w:pPr>
        <w:spacing w:after="100"/>
      </w:pPr>
      <w:r>
        <w:t xml:space="preserve">Sin dividendo desde la salida a bolsa: la empresa no prevé declarar ninguno antes de FY27 y reserva la caja para capacidad, eficiencia y compras [3]. Sin recompras. Prioridades declaradas: (1) capacidad de producción y logística (fábrica fase 3, almacén global y sede nueva; capacidad de ≈ 300 M de ventas), (2) compras que abran mercados con barreras comerciales (la fábrica de Nutrablend en Buffalo para EE. UU.), (3) acuerdos de licencia sin capital (Morrisons, Mondelēz) [3,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Nutrablend Group (negocio y la mayoría de los activos, Buffalo, Nueva York): nave en propiedad, 5 líneas de envasado de polvo, marcas Basic Supplements y GR8 Lifestyle, ≈ 100 empleados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propia (16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pronto: la empresa espera al menos 30 M USD de ventas en FY27 con margen EBITDA de un dígito alto (65 % maquila para terceros) y que mejore el beneficio por acción en FY27 [10].</w:t>
            </w:r>
          </w:p>
        </w:tc>
      </w:tr>
    </w:tbl>
    <w:p>
      <w:pPr>
        <w:spacing w:after="160" w:before="0"/>
      </w:pPr>
    </w:p>
    <w:p>
      <w:pPr>
        <w:spacing w:after="100"/>
      </w:pPr>
      <w:r>
        <w:t xml:space="preserve">Hasta 2026 el capital se asignó con muy poco: 4,9 M de capex en cinco años para multiplicar las ventas por cinco [1, 2, 4, 5], gracias a una fábrica alquilada y a vender a través de distribuidores y minoristas sin red propia. El ROIC incremental es altísimo y no hay dilución (250 M de acciones desde la salida a bolsa, que fue toda de acciones existentes) [4]. Los dividendos previos a la salida a bolsa (20,7 M) fueron para los accionistas fundadores y JD Sports. Desde 2026 empieza otra etapa con más inversión: Nutrablend (12 M), nuevo almacén y sede (3,5-4 M) y fábrica fase 3 (2-2,5 M) [3, 10]. La compra de Nutrablend es pequeña (1,6 % de la capitalización) y razonable por la nave en propiedad (≈ 7 M USD), pero baja el margen del grupo: es la primera prueba de que la dirección sabe comprar.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Ryder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primer ejecutivo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Empezó con una tienda de suplementos en Liverpool y compró la marca; ha llevado las ventas de 11,2 M GBP (FY20) a ≈ 160 M (FY26) con margen EBITDA cercano al 30 % [1, 6]. Renunció a su bonus de FY25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Granite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 de gestión; fue director financiero, consejero delegado y presidente ejecutivo de Abbey Logistics Group (capital privado) hasta su venta a Sitra en 2023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Joe Pollard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Censor jurado de cuentas (Deloitte) y director de finanzas corporativas en Grant Thornton; asesoró la entrada de JD Sports en 2021 y llevó la salida a bolsa de 2024 [1]. Vendió 550.000 acciones en junio de 2026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Andy Bell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primer ejecutivo de AJ Bell (1995-2022), que llevó al FTSE 250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Aaron Heidebreicht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EE. UU.</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Fichado en 2024 para el negocio de EE. UU., que en 2026 suma la fábrica de Buffalo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 100 M GBP y margen EBITDA ≈ 29 % (salida a bolsa, oct-2024)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107,1 M; margen EBITDA ajustado 29 %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122,3 M de ventas antes del 9-dic-2025; la empresa subió a «+10 %» (dic), ≈ 140 M (feb) y ≈ 148 M (jun)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160 M de ventas y 43,3 M de EBITDA ajustado (avance sin auditar, 26-ago-2026)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 205 M y EBITDA ajustado ≈ 49 M (26-ago-2026), con Nutrablend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fundador con una historia de guías superadas desde la salida a bolsa: cinco subidas de previsiones en doce meses [2, 6]. El riesgo es de persona clave: Thomas Ryder concentra las relaciones con los grandes clientes y la innovación, y la propia empresa lo cita entre sus riesgos principales [1]. El equipo financiero y de operaciones es de 2021 y viene de capital privado y asesoría; la dirección de EE. UU. es nueva y ahora tiene una fábrica. No hay plan de sucesión publicado. En 2026 los tres consejeros ejecutivos vendieron acciones: el CFO casi la mitad de las suyas sin motivo declarado (junio) y el CEO y el COO el 5 % y el 17 % de las suyas para «diversificar» (septiembre) [21, 22, 23].</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Andy Bell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Ryder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Divulgación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Granite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Joe Pollard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Divulgación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Marnie Millard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 (presidenta), Auditoría y Riesgos (desde mar-2026)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Tony Buffin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 Nombramientos, Divulgación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Cowgill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Auditoría y Riesgos, Remuneraciones (desde mar-2026)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Deepti Velury Bakhshi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Remuneraciones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FY25 y en la información histórica del folleto [1, 4]</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0,03 / ventas 20,78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Ryder (Ryder Holdings)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CEO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4,5 M de acciones a 275 p el 11-sep-2026 (del 34,26 %); bloqueo de 180 días [21,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Pentwater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(instrumentos financieros)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Notificado el 31-mar-2025; sin cambios notificados después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Granite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(COO)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2,5 M el 11-sep-2026 (del 5,80 %) [21,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Andy Bell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desde la salida a bolsa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Cowgill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presidente de JD Sports)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desde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JD Sports Fashion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accionista industrial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todo (22,75 M, 9,1 %) a 2,15 GBP el 16-abr-2026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autocartera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Marnie Millard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Joe Pollard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Ryder (CEO, vía Ryder Holdings)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Steven Granite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Remuneración modesta para un FTSE 250: el CEO cobró 178.309 GBP en FY25 (salario de 166.667) y renunció al bonus, igual que el COO; el CFO cobró 334.348 GBP con un bonus de 108.506 ligado al EBITDA ajustado [1]. La política aprobada en enero de 2026 (99,1 % a favor) da un único plan de incentivos de hasta el 200 % del salario (100 % en FY26), con un tercio en efectivo y el resto en acciones diferidas a dos años más dos de retención, con malus y cláusula de recuperación; las métricas de FY26 son el EBITDA ajustado (70 %) y las ventas (30 %): premian crecer, no la rentabilidad del capital ni la caja [1, 19]. Ratio CEO/empleado medio de 5 a 1 [1]. Los ejecutivos se alinean por su participación (Ryder, 32 %), no por el variable.</w:t>
      </w:r>
    </w:p>
    <w:p>
      <w:pPr>
        <w:pStyle w:val="Heading2"/>
      </w:pPr>
      <w:r>
        <w:t xml:space="preserve">Operaciones vinculadas, estructura de control y defensas</w:t>
      </w:r>
    </w:p>
    <w:p>
      <w:pPr>
        <w:spacing w:after="100"/>
      </w:pPr>
      <w:r>
        <w:t xml:space="preserve">Thomas Ryder, fundador y CEO, tiene el 32,46 % tras vender en septiembre; con el COO y el presidente, los consejeros suman ≈ 42 % [1, 21]. No hay acuerdo de relación formal publicado ni pacto de accionistas tras la salida de JD Sports [20]. Una acción, un voto; sin blindajes estatutarios [1]. Con un 32 % y una junta con un 81 % de asistencia, el fundador decide de hecho cualquier votación ordinaria y bloquea las especiales: se trata como accionista de control. Peter Cowgill, ex presidente ejecutivo de JD Sports e inversor personal antes de la salida a bolsa, figura como independiente en el informe anual; aquí se le trata como «otro externo» por su relación con el antiguo accionista industrial. Las ventas a JD Sports Gyms (0,3 M en FY25) dejaron de ser vinculadas tras la salida a bolsa [1].</w:t>
      </w:r>
    </w:p>
    <w:p>
      <w:pPr>
        <w:pStyle w:val="Heading2"/>
      </w:pPr>
      <w:r>
        <w:t xml:space="preserve">Señales de alerta</w:t>
      </w:r>
    </w:p>
    <w:p>
      <w:pPr>
        <w:pStyle w:val="ListParagraph"/>
        <w:numPr>
          <w:ilvl w:val="0"/>
          <w:numId w:val="2"/>
        </w:numPr>
        <w:spacing w:after="60"/>
      </w:pPr>
      <w:r>
        <w:t xml:space="preserve">Ventas de los tres consejeros ejecutivos en 2026: CFO 550.000 acciones (≈ 46 % de las suyas, sin motivo declarado, 3-4 de junio, 276-278 p); CEO y COO 7 M de acciones a 275 p el 11-sep-2026 («primera venta desde la salida a bolsa», para diversificar), con bloqueo de 180 días [21, 22, 23].</w:t>
      </w:r>
    </w:p>
    <w:p>
      <w:pPr>
        <w:pStyle w:val="ListParagraph"/>
        <w:numPr>
          <w:ilvl w:val="0"/>
          <w:numId w:val="2"/>
        </w:numPr>
        <w:spacing w:after="60"/>
      </w:pPr>
      <w:r>
        <w:t xml:space="preserve">Salida completa de JD Sports Fashion (9,1 %) en una colocación acelerada a 215 p el 16-abr-2026 [20].</w:t>
      </w:r>
    </w:p>
    <w:p>
      <w:pPr>
        <w:pStyle w:val="ListParagraph"/>
        <w:numPr>
          <w:ilvl w:val="0"/>
          <w:numId w:val="2"/>
        </w:numPr>
        <w:spacing w:after="60"/>
      </w:pPr>
      <w:r>
        <w:t xml:space="preserve">Comisión de auditoría formada en FY25 por solo dos miembros; reforzada en marzo de 2026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26-ago-2026 [6]: FY27 (agosto 2026-julio 2027) con ventas de ≈ 205 M GBP (+28 %) y EBITDA ajustado de ≈ 49 M (+13 %), por encima del consenso que calculaba la empresa (186,2 M y 47,7 M), con Nutrablend incluido (al menos 30 M USD de ventas con margen EBITDA de un dígito alto [10]). Avisa de un margen EBITDA algo menor que el 27 % de FY26 por más ventas en EE. UU., el suero más caro y más peso de los productos de suero. FY26 cerrado (sin auditar): ventas de ≈ 160 M (+50 %), EBITDA ajustado de ≈ 43,3 M y caja neta de 15,9 M. Sin objetivos a medio plazo publicados; la capacidad de producción prevista es de ≈ 300 M de ventas en el Reino Unido y ≈ 300 M USD en EE. UU.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19-oct-2026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 3,95</w:t>
            </w:r>
          </w:p>
        </w:tc>
      </w:tr>
    </w:tbl>
    <w:p>
      <w:pPr>
        <w:spacing w:after="160" w:before="0"/>
      </w:pPr>
    </w:p>
    <w:p>
      <w:pPr>
        <w:pStyle w:val="Heading2"/>
      </w:pPr>
      <w:r>
        <w:t xml:space="preserve">Revisiones de estimaciones</w:t>
      </w:r>
    </w:p>
    <w:p>
      <w:pPr>
        <w:spacing w:after="100"/>
      </w:pPr>
      <w:r>
        <w:t xml:space="preserve">Subidas continuas: el consenso de ventas de FY26 que calculaba la propia empresa pasó de 122,3 M (diciembre de 2025) a 133,5 M (febrero), 140,3 M (junio) y 148,4 M (agosto) [6], y el real fue ≈ 160 M. El de FY27 pasó de 186,2 M (agosto) a 204,8 M tras la guía, y el BPA de FY27 está en 13,9 peniques [28]. Deutsche Bank subió su objetivo de 306 a 335 p en junio y a 350 p en agosto (comprar) [30]. Solo hay una fuente gratuita con estimaciones completas (MarketScreener); el contraste con la empresa (consenso propio de ventas y EBITDA) y con Deutsche Bank cuadra.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r>
    </w:tbl>
    <w:p>
      <w:pPr>
        <w:spacing w:after="160" w:before="0"/>
      </w:pPr>
    </w:p>
    <w:p>
      <w:pPr>
        <w:spacing w:after="100"/>
      </w:pPr>
      <w:r>
        <w:t xml:space="preserve">La acción salió a bolsa a 140 p en octubre de 2024 [26], bajó a 117 p en marzo de 2025 (resultados de un primer semestre plano por los pedidos adelantados de Oriente Medio a FY24) y desde entonces ha subido por cinco mejoras de previsiones seguidas, la entrada en el FTSE 250 (diciembre de 2025) y la compra de Nutrablend, hasta un máximo de 350,5 p el 11-ago-2026 [27]. En un año gana un 62,5 % frente al 12,6 % del FTSE 250 y el 39,1 % de Glanbia (precio, sin dividendos). Desde el máximo ha caído un 17 %: guía de FY27 con margen menor (26-ago), colocación del CEO y el COO a 275 p (11-sep) y ventas del CFO en junio. Con solo dos años cotizados, la beta mensual (1,08, 24 meses) y la semanal (0,58) difieren mucho. Posición corta pública: 0,62 % (FCA) [35].</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 / -11,6 % / +32,4 % / +62,2 %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 / +75,1 %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descarta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Rehacer el informe con las cuentas auditadas de FY2026 (16-nov-2026) y comprobar que no siguen las ventas de directivos (bloqueo de los fundadores hasta ≈ 10-mar-2027).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9-dic avisó de que FY2026 iría ≈ un 10 % por encima del consenso (+10,1 % ese día) [11]; entró en el FTSE 250 en la revisión de diciembre y el 19-dic firmó la licencia de alimentos con Morrisons [17,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3-mar cayó un 4,3 % con el mercado; el 23-mar, resultados del 1S FY2026 (−7,2 %): ventas +56,5 %, pero guía anual sin cambios (≈ 140 M, lo que suponía un 2S más flojo), conversión de caja del 51 %, circulante al alza y aviso de menos volumen en Oriente Medio por la situación de la región [3,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16-abr JD Sports colocó 22,75 M de acciones a 215 p (−4,9 % el día) [20]; en mayo la acción recuperó un 11,4 % al quitarse ese papel de encima, sin hecho de la empresa (buscado en RNS)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1-jun avisó de ventas de FY2026 por encima de lo previsto (≈ 148 M), compró Nutrablend (fábrica en Buffalo, Nueva York) y firmó la licencia de Mondelēz para Walmart y GNC (+11,7 % ese día) [10, 27]. La mayor subida de un mes de los últimos seis (+41 % hasta el 15-jun)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la guía de FY2027 con margen menor (26-ago) y la toma de beneficios [6, 41], el 2-sep cayó un 7 % sin comunicado; el 11-sep el CEO y el COO colocaron 7 M de acciones a 275 p frente a un cierre de 293 p [21, 22]. Mayor caída de un mes de los últimos seis: −16,7 % hasta el 30-sep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el 16-nov-2026 [36]. El avance ya está publicado y dentro de este informe [6]; según el método, unos resultados cercanos no aplazan nada.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Group comunicó el 5,21 % el 8-oct y el 0 % el 12-oct: posición transitoria (préstamo o derivados), sin venta de un accionista estable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y CEO (Ryder Holdings, 4,5 M de acciones) y el COO Steven Granite (2,5 M, ≈ 17 % de las suyas) vendieron 7 M de acciones a 275 p en una colocación (≈ 19,3 M GBP), con motivo declarado («diversificar») y bloqueo de 180 días [21, 22]. Es la segunda venta de Ryder (la primera, en la salida a bolsa) y la tercera de un consejero ejecutivo en tres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descarta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rehacer el informe con las cuentas de FY2026 (16-nov-2026) y comprobar que no hay más ventas de directivos; el bloqueo acaba hacia el 10-mar-2027.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 FY2026 (≈ 160 M de ventas, +49 %; EBITDA ajustado ≈ 43,3 M) y guía de FY2027 (≈ 205 M y ≈ 49 M con Nutrablend), con un margen menor por EE. UU. y el suero [6]. La acción cayó en los días siguientes [41]. Todo está en este informe.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Bank sube su objetivo de 335 p a 350 p (comprar); los siete analistas recomiendan comprar con un objetivo medio de 353,6 p (280-395) [29,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director financiero, Joe Pollard, vendió 550.000 acciones a 276-278 p los días 3 y 4 de junio (≈ 1,52 M GBP, casi la mitad de las suyas), sin motivo declarado, tres días después del avance del 1-jun [23]. Quien mejor conoce las cuentas vende sin explicar por qué: es el caso que la regla 13 manda descartar.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descarta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rehacer el informe con las cuentas de FY2026 (16-nov-2026) y una explicación de la venta, o compras de directivos.</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Nutrablend por 16 M USD (≈ 12 M GBP) en caja: fábrica en Buffalo, ≥ 30 M USD de ventas en FY2027 con margen de un dígito alto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 Sports Fashion colocó 22,75 M de acciones (9,1 % del capital) a 215 p, con descuento sobre 226,5 p (−4,9 % el día)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consejera independiente Marnie Millard compró 13.257 acciones a 224,9 p (≈ 30.000 GBP) [24]. Es la única compra de un consejero en el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FY2026: ventas de 74,5 M (+56,5 %), BPA de 6,2 p (+48 % sobre el ajustado del 1S FY2025), conversión de caja del 51 % [3, 12]. −7,2 % el día.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2025-12-09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Avance: FY2026 ≈ 10 % por encima del consenso [11]. +10,1 % el día; entrada en el FTSE 250 en diciembre.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ha subido un 62 % en un año con cinco avances por encima de lo previsto, la entrada en el FTSE 250 y la compra de Nutrablend; desde el máximo de agosto (350,5 p) ha caído un 17 % por la guía de FY2027 con margen menor, la toma de beneficios y la colocación de los fundadores [6, 21, 27]. Los movimientos fuertes tienen causa conocida y están en este informe. Lo que decide el veredicto son las ventas de los tres consejeros ejecutivos en tres meses: el CFO casi la mitad de sus acciones sin motivo declarado (junio) y el CEO y el COO 7 M de acciones en septiembre, solo tres meses después de comprar Nutrablend y de dar la guía [21, 22, 23]. Frente a eso solo hay una compra pequeña de una consejera independiente (abril) [24]. Con quien mejor conoce la empresa vendiendo, la regla 13 descarta hasta rehacer el informe con las cuentas de FY2026. No hay avisos de movimiento P1-P5. Veredicto: descarta (la recomendación de este informe ya es Vender).</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Cotiza desde el 29-oct-2024: solo hay dos cierres de ejercicio (131 p en julio de 2025 y 323,5 p en julio de 2026) y el de 2026 corresponde a un ejercicio aún sin cuentas publicadas [27]. Con menos de tres ejercicios cotizados la comparación con su historia no es fiable. Múltiplos del año siguiente con el beneficio y el EBITDA que luego se dieron o que estimamos: julio de 2025, valor empresa de ≈ 312 M (1,31 GBP × 250 M de acciones menos 15,5 M de caja neta) ÷ EBITDA de FY2026 (43,3 M) = 7,2 veces y PER de 10,5 veces (BPA de FY2026e de 0,125); julio de 2026, ≈ 796 M ÷ EBITDA de FY2027e (49 M) = 16,2 veces y PER de 23,5 veces (BPA de FY2027e de 0,137, estimación propia) [6, 27]. El múltiplo se ha más que duplicado en un año: el PER del beneficio del año siguiente pasó de ≈ 10 veces (julio de 2025, con un beneficio de FY26 que nadie esperaba tan alto) a ≈ 23 veces (julio de 2026).</w:t>
      </w:r>
    </w:p>
    <w:p>
      <w:pPr>
        <w:pStyle w:val="Heading1"/>
      </w:pPr>
      <w:r>
        <w:t xml:space="preserve">18. Comparables cotizados</w:t>
      </w:r>
    </w:p>
    <w:p>
      <w:pPr>
        <w:pStyle w:val="Confianza"/>
        <w:spacing w:after="100"/>
      </w:pPr>
      <w:r>
        <w:t xml:space="preserve">Confianza: Media</w:t>
      </w:r>
    </w:p>
    <w:p>
      <w:pPr>
        <w:spacing w:after="100"/>
      </w:pPr>
      <w:r>
        <w:t xml:space="preserve">Marcas cotizadas de nutrición deportiva y suplementos (Glanbia-Optimum Nutrition, BellRing, Simply Good Foods, THG-Myprotein), de suplementos con venta directa (Herbalife, USANA, Nature's Sunshine) y de bebidas funcionales de alto crecimiento que compiten por el mismo lineal y consumidor (Celsius, Monster). No hay ningún comparable puro británico cotizado desde la exclusión de Science in Sport (2025). Los de venta directa son más baratos por un modelo en declive; Celsius y Monster dan el extremo caro de las marcas que crecen. THG queda con PER n.d. por pérdidas.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Nutrition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Glanbia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BellRing Brands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Good Foods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THG (Myprotein)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Herbalife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USANA Health Sciences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Celsius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Beverage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Nature's Sunshine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 / 6,7x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 / 10,2x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 / 0,9x / 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La mediana del PER de los próximos 12 meses de los comparables es de ≈ 10 veces, muy por debajo de las ≈ 21 veces de Applied Nutrition con mi beneficio de FY27. La diferencia tiene dos causas: las grandes estadounidenses de proteína (BellRing, Simply Good Foods) y las de venta directa (Herbalife, USANA) están en mínimos por ventas planas o a la baja, mientras que Applied Nutrition crece un 28-50 % anual con un ROIC muy alto. Las de crecimiento comparable (Celsius 17 veces, Monster 36 veces) cotizan más caras. Glanbia, la más parecida por producto, está a 12 veces con un crecimiento de un dígito. La mediana sirve de suelo, no de referencia central, para una marca que aún crece a doble dígito [31].</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Science in Sport (SiS, PhD)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bd-capital (Einstein Bidco)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británico en reestructuración: 23,1 veces un EBITDA ajustado deprimido (4,2 M sobre 51,9 M de ventas) [16]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Alani Nu (bebidas energéticas y suplementos)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Celsius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1.650 M USD netos de ventajas fiscales; el múltiplo de 12 veces es sobre un EBITDA de 2024 con sinergias (137 M USD); convertido a 1,3338 USD/GBP [18,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OWYN (batidos proteicos de origen vegetal)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Good Foods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280 M USD; 13,3 veces el EBITDA ajustado estimado con sinergias [34,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Nutrablend Group (negocio y activos)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 USD por nave, maquinaria, existencias y dos marcas; sin cifras de ventas ni EBITDA del vendedor [10]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13,3x (12,7x – 18,2x)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 – 2,87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compras de marcas de nutrición deportiva en crecimiento se pagaron a 2,3-2,8 veces las ventas y a 12-13 veces el EBITDA con sinergias (Alani Nu, OWYN) [18, 34]; SiS, en reestructuración, a 1,9 veces las ventas [16]. Applied Nutrition cotiza ya por encima: unas 4,4 veces sus ventas de FY26 y 16-17 veces su EBITDA. Con un fundador del 32 % que acaba de vender una parte para diversificar y ningún accionista industrial desde la salida de JD Sports, una oferta no es el escenario central; si llegara, un comprador como Glanbia, Mondelēz o un fondo pagaría por la marca en el canal físico británico y la fábrica, pero a los múltiplos de las transacciones el precio actual ya incluye una prima.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48,9 % anual entre FY2021 y FY2025 (21,8 M a 107,1 M) [2, 5] y un 49 % en FY2026 (≈ 160 M) [6]: cinco subidas de previsiones seguidas [10, 11, 12]. Para FY2027e usamos la guía de la empresa, ≈ 205 M (+28 %), que incluye ≈ 11 puntos de Nutrablend (al menos 30 M USD de ventas, el 65 % maquila para terceros) [6, 10]. Después frenamos al 10 % en FY2028e (el consenso: 225,6 M) [28] y bajamos un punto al año hasta el 4 % en FY2034e: el mercado mundial de nutrición deportiva crece ≈ 9 % [14] y la empresa ya tiene el 45 % de las ventas en un Reino Unido donde ha ganado lineal en todos los supermercados; el crecimiento siguiente depende de EE. UU. (Walmart y GNC desde agosto de 2026) y de Oriente Medio y Asia por distribuidores, donde aún no ha demostrado nada a escala.</w:t>
      </w:r>
    </w:p>
    <w:p>
      <w:pPr>
        <w:keepNext/>
        <w:spacing w:after="100"/>
      </w:pPr>
      <w:r>
        <w:rPr>
          <w:b/>
          <w:bCs/>
        </w:rPr>
        <w:t xml:space="preserve">Márgenes.</w:t>
      </w:r>
    </w:p>
    <w:p>
      <w:pPr>
        <w:spacing w:after="100"/>
      </w:pPr>
      <w:r>
        <w:t xml:space="preserve">Margen EBITDA del 27,1 % en FY2026e (avance de la empresa: 43,3 M sobre 160 M) [6], 23,9 % en FY2027e (guía: 49 M sobre 205 M) y del 24 % en FY2028e, bajando al 22 % en FY2032e. Por qué baja: (1) Nutrablend tiene margen EBITDA de un dígito alto y es maquila [10]; (2) EE. UU. se vende con más promoción y con distribuidores de gran consumo; (3) el suero, que subió un 30 % en FY2025 y sigue en máximos, pesa más en la mezcla [2, 6]. El margen de FY2023-FY2026 (27-30 %) es muy alto para una marca de suplementos (Glanbia 12 %, BellRing 14 %) [31]: con más competencia en el lineal de los supermercados es prudente que converja algo.</w:t>
      </w:r>
    </w:p>
    <w:p>
      <w:pPr>
        <w:keepNext/>
        <w:spacing w:after="100"/>
      </w:pPr>
      <w:r>
        <w:rPr>
          <w:b/>
          <w:bCs/>
        </w:rPr>
        <w:t xml:space="preserve">Inversión y circulante.</w:t>
      </w:r>
    </w:p>
    <w:p>
      <w:pPr>
        <w:spacing w:after="100"/>
      </w:pPr>
      <w:r>
        <w:t xml:space="preserve">Capex del 3,5 % de las ventas en FY2027e (almacén y sede nuevos de 3,5-4 M, líneas automáticas de 2-2,5 M y la nave de Buffalo) y del 2-2,5 % después (FY2021-FY2025: ≈ 1 %, con la fábrica de Knowsley alquilada) [1, 3]; amortización del 1,4 % al 2,0 %. Circulante del 32-33 % de las ventas en FY2026e-FY2027e (30,9 % en FY2025: existencias de 22,8 M y clientes de 27,4 M menos proveedores de 17,1 M) [2], por las existencias de EE. UU. y los plazos de cobro de los distribuidores; la conversión de caja del 1S FY2026 fue solo del 51 % [3]. Impuesto del 26 % (25 % en el Reino Unido y algo más en EE. UU.; 26 % efectivo en FY2025).</w:t>
      </w:r>
    </w:p>
    <w:p>
      <w:pPr>
        <w:keepNext/>
        <w:spacing w:after="100"/>
      </w:pPr>
      <w:r>
        <w:rPr>
          <w:b/>
          <w:bCs/>
        </w:rPr>
        <w:t xml:space="preserve">Coste del capital.</w:t>
      </w:r>
    </w:p>
    <w:p>
      <w:pPr>
        <w:spacing w:after="100"/>
      </w:pPr>
      <w:r>
        <w:t xml:space="preserve">Todo en GBP: gilt a 10 años del 5,24 % (septiembre de 2026, FRED/OCDE) [32]. Beta de 1,05: la ajustada de la acción frente al FTSE 250 con 24 meses mensuales (1,08 en bruto); la semanal da 0,58, pero con dos años de cotización y un capital flotante del 58 % es poco fiable [27]. Prima de mercado del 5,5 % y un punto de prima adicional por tamaño (729 M de capitalización), solo dos años en bolsa y la dependencia del fundador; sin deuda (caja neta de 15,9 M) [6]. Coste de capital y WACC: 12,0 %. Con la prima implícita del mercado (4,2 %) el WACC sería del 10,7 %.</w:t>
      </w:r>
    </w:p>
    <w:p>
      <w:pPr>
        <w:keepNext/>
        <w:spacing w:after="100"/>
      </w:pPr>
      <w:r>
        <w:rPr>
          <w:b/>
          <w:bCs/>
        </w:rPr>
        <w:t xml:space="preserve">Valor terminal.</w:t>
      </w:r>
    </w:p>
    <w:p>
      <w:pPr>
        <w:spacing w:after="100"/>
      </w:pPr>
      <w:r>
        <w:t xml:space="preserve">Crecimiento a perpetuidad del 2,5 %, por debajo del gilt (5,24 %) y del crecimiento del mercado (≈ 9 %): supone que en FY2035 la marca es madura. El valor terminal pesa el 54 % del valor; el múltiplo de salida implícito es de 6,7 veces el EBITDA, bajo frente a las transacciones del sector (13 veces) [16, 18, 34]: con un múltiplo de salida de 10 veces el DCF subiría ≈ 0,5 GBP por acción, aún muy lejos del precio.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M (21 %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 (ROIC 63,1 %)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 frente al 14,1 %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 (histórico: 57,1 %)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 (hoy: 0,6 %)</w:t>
            </w:r>
          </w:p>
        </w:tc>
      </w:tr>
    </w:tbl>
    <w:p>
      <w:pPr>
        <w:spacing w:after="160" w:before="0"/>
      </w:pPr>
    </w:p>
    <w:p>
      <w:pPr>
        <w:spacing w:after="100"/>
      </w:pPr>
      <w:r>
        <w:t xml:space="preserve">La proyección reinvierte el 21 % del NOPAT. Con el ROIC del último ejercicio (63,1 %), eso financia un crecimiento del 13,5 % anual, frente al 14,1 % de ingresos proyectado. Supone que el capital nuevo rinde un 34,2 %, frente a un ROIC incremental histórico del 57,1 %; la cuota de mercado pasaría al 0,6 % desde el 0,6 %.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ya cerrado (avance de la empresa): volumen del +44 % (supermercados británicos con Critical Whey y ABE, distribuidores internacionales, Morrisons), precio del +3 % y 2,4 puntos de licencias y colaboraciones (Swizzels, Slush Puppie) [6, 11, 12,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205 M: volumen del +14 % (Walmart y GNC en EE. UU. desde agosto de 2026, Oriente Medio), precio del +3 % (repercusión del suero) y 11,1 puntos de Nutrablend (≥ 30 M USD ≈ 22 M GBP de ventas, la mayoría maquila para terceros) [6,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+8 % y precio del +2 %: el consenso (225,6 M) [28].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+7 % y precio del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+6 % y precio del +2 %. Ventas de 265 M GBP: el 0,6 % del mercado mundial de nutrición deportiva en 2030e (≈ 41.500 M GBP con el 8,9 % anual de Euromonitor [14]), la misma cuota que hoy.</w:t>
            </w:r>
          </w:p>
        </w:tc>
      </w:tr>
    </w:tbl>
    <w:p>
      <w:pPr>
        <w:spacing w:after="160" w:before="0"/>
      </w:pPr>
    </w:p>
    <w:p>
      <w:pPr>
        <w:spacing w:after="100"/>
      </w:pPr>
      <w:r>
        <w:t xml:space="preserve">Sí. Las tres pruebas pasan: el crecimiento proyectado (14,1 % anual de media en FY2026e-FY2034e, 9,6 % sin FY2026e) es menos de un tercio del histórico (48,9 % en FY2021-FY2025) y casi igual al del mercado (8,9 % [14]); crecer apenas consume capital (reinversión del 21 % del NOPAT, con un ROIC del 63 % en FY2025 y un ROIC incremental de FY2021-FY2025 del 57 %); y la cuota implícita en 2030 (0,6 %) es la misma que hoy. El riesgo no es de financiación, sino de que la marca no repita fuera del Reino Unido lo que ha hecho dentro. El foso es estrecho: una marca reconocida en el lineal británico, integración vertical (fabrica en Knowsley y lanza productos en semanas) y relaciones con JD Sports, Tesco y los grandes supermercados [1, 3]; pero la proteína en polvo tiene poca barrera técnica y Myprotein y las marcas propias compiten en precio.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 (base: 9,6 %)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38,5 % (base: 22,0 %)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 (WACC: 12,0 %)</w:t>
            </w:r>
          </w:p>
        </w:tc>
      </w:tr>
    </w:tbl>
    <w:p>
      <w:pPr>
        <w:spacing w:after="160" w:before="0"/>
      </w:pPr>
    </w:p>
    <w:p>
      <w:pPr>
        <w:spacing w:after="100"/>
      </w:pPr>
      <w:r>
        <w:t xml:space="preserve">El DCF da 1,54 GBP por acción, un 47 % por debajo del precio, con el valor terminal en el 54 % del valor. El precio de 2,915 GBP equivale a que las ventas crezcan un 28,3 % al año de FY2027e a FY2034e (base 9,6 %) o a un margen EBITDA del 38,5 % para siempre (base 22 %), y la rentabilidad implícita es del 7,6 % anual frente a un WACC del 12,0 %. La tabla de sensibilidad (WACC del 11 % al 13 %, crecimiento terminal del 1,5 % al 3,5 %) va de 1,33 a 1,86 GBP, y con dos puntos más de margen en toda la proyección, 1,70 GBP: todo muy por debajo del precio. El mercado no paga un negocio que crece al 10 %, sino uno que sigue creciendo al 25-30 % varios años más: posible (lo ha hecho cinco años), pero no es lo que nuestro caso base puede asumir con un mercado que crece al 9 %.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Walmart y GNC no repiten pedidos, el canal británico se satura y el suero sigue caro: 5 puntos menos de crecimiento desde FY2027e (≈ 4-5 % anual a largo plazo) y margen EBITDA 3 puntos más bajo (≈ 19-21 %). El BPA de FY2028e (0,120) queda por debajo del de FY2026e.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FY2027e se cumple (205 M de ventas, 49 M de EBITDA con Nutrablend) y luego el crecimiento frena al 10 % y baja al 4 %; margen EBITDA del 24 % que converge al 22 %; sin dividendo hasta FY2027 y caja para compras pequeñas.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funciona (Walmart, GNC, licencia de Mondelēz) y la fábrica de Buffalo pasa de maquila a marca propia: 3 puntos más de crecimiento y 1,5 puntos más de margen (≈ 25,5 %).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GBP) · precio actual 2,9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1,50 GBP (-48,5 %).</w:t>
      </w:r>
    </w:p>
    <w:p>
      <w:pPr>
        <w:spacing w:after="100"/>
      </w:pPr>
      <w:r>
        <w:t xml:space="preserve">En el DCF el bajista (1,07 GBP) pierde un 63 % y el alcista (1,86 GBP) un 36 %: ni el escenario bueno llega al precio. A 12 meses, con el PER propio, el bajista pierde un 56,9 % y el alcista gana un 11,6 %. La tesis alcista del mercado necesita más que nuestro alcista: que las ventas sigan creciendo al 25 % después de FY2027 y que el mercado pague más de 20 veces el beneficio dentro de un año.</w:t>
      </w:r>
    </w:p>
    <w:p>
      <w:pPr>
        <w:pStyle w:val="Heading1"/>
      </w:pPr>
      <w:r>
        <w:t xml:space="preserve">22. Suma de partes</w:t>
      </w:r>
    </w:p>
    <w:p>
      <w:pPr>
        <w:pStyle w:val="Confianza"/>
        <w:spacing w:after="100"/>
      </w:pPr>
      <w:r>
        <w:t xml:space="preserve">Confianza: Media</w:t>
      </w:r>
    </w:p>
    <w:p>
      <w:pPr>
        <w:spacing w:after="100"/>
      </w:pPr>
      <w:r>
        <w:t xml:space="preserve">No la hacemos: la empresa publica las ventas por categoría (nutrición deportiva, salud y bienestar, belleza) y por zona, pero no el resultado por segmento; Nutrablend no tiene cuentas propias publicadas.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GBP) · precio actual 2,9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1,51 GBP (-48,2 % sobre 2,92).</w:t>
      </w:r>
    </w:p>
    <w:p>
      <w:pPr>
        <w:spacing w:after="100"/>
      </w:pPr>
      <w:r>
        <w:t xml:space="preserve">Pesamos el DCF un 50 %, los escenarios un 30 % y los comparables un 20 %. El DCF manda porque la empresa no tiene deuda, apenas consume capital y sus flujos son medibles, pero el resultado depende mucho del coste de capital: con un WACC del 12,0 % (gilt a 10 años del 5,24 % [32], beta 1,05 y un punto de prima por tamaño e historia corta) el DCF da 1,54 GBP, y con la prima implícita del mercado (4,2 %, WACC del 10,7 %) ≈ 1,80 GBP. Los comparables cotizados son baratos (mediana de PER de 10,2 veces) porque casi todos están estancados; las transacciones (Science in Sport, Alani Nu, OWYN: mediana de 13,3 veces el EBITDA) darían 2,11 GBP y no entran en el valor por ser de otro tamaño y momento [16, 18, 34]. El valor intrínseco ponderado (1,51 GBP) está un 48 % por debajo del precio: para justificar 2,915 GBP hay que suponer un crecimiento del 28 % anual durante ocho años o un margen EBITDA del 38 % para siempre.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(21.2x) ÷ 1.1 (tope: la mediana de 5 años, 17x,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bl>
    <w:p>
      <w:pPr>
        <w:spacing w:after="160" w:before="0"/>
      </w:pPr>
    </w:p>
    <w:p>
      <w:pPr>
        <w:spacing w:after="100"/>
      </w:pPr>
      <w:r>
        <w:rPr>
          <w:b/>
          <w:bCs/>
        </w:rPr>
        <w:t xml:space="preserve">Objetivo a 12 meses (ponderado):</w:t>
      </w:r>
      <w:r>
        <w:t xml:space="preserve"> 2,58 GBP · rentabilidad -11,6 % (base -0,5 %) · señal Vender.</w:t>
      </w:r>
    </w:p>
    <w:p>
      <w:pPr>
        <w:spacing w:after="100"/>
      </w:pPr>
      <w:r>
        <w:t xml:space="preserve">Para comparar, con la regla v2 (historia al cierre, mismo precio): 15,6x / 20,7x / 20,7x, -0,7 % Mantener; con el tope anterior del base (×1,3, 14-oct mediodía): -12,7 % Vender. Decide la v3 con tope ×1,1, elegida por el selector de método (historia adelantada de 2 años: decide la más baja de v3 y v2 (v3); METODO-VIGENTE.md).</w:t>
      </w:r>
    </w:p>
    <w:p>
      <w:pPr>
        <w:keepNext/>
        <w:spacing w:after="100"/>
      </w:pPr>
      <w:r>
        <w:rPr>
          <w:b/>
          <w:bCs/>
        </w:rPr>
        <w:t xml:space="preserve">Frente al consenso (solo contraste).</w:t>
      </w:r>
    </w:p>
    <w:p>
      <w:pPr>
        <w:spacing w:after="100"/>
      </w:pPr>
      <w:r>
        <w:t xml:space="preserve">No discrepamos del consenso en el negocio: nuestro BPA de FY2027e (0,1374 GBP) está un 1,3 % por debajo del de MarketScreener (0,1392) y el de FY2028e (0,1504) un 1,8 % por debajo (0,1532) [28]; las ventas y el EBITDA coinciden con la guía de la empresa (205 M y 49 M en FY2027e) [6]. La diferencia está en el múltiplo: el objetivo medio de los siete analistas (3,54 GBP, rango 2,80-3,95; Deutsche Bank 3,50) [29, 30] supone que el mercado seguirá pagando ≈ 23 veces el beneficio dentro de un año, y nosotros aplicamos la regla común, que con solo dos años de historia y una mediana de 17 veces deja el base en 19,3x. Nuestro precio base a 12 meses (2,90 GBP) queda un 18 % por debajo del objetivo medio.</w:t>
      </w:r>
    </w:p>
    <w:p>
      <w:pPr>
        <w:keepNext/>
        <w:spacing w:after="100"/>
      </w:pPr>
      <w:r>
        <w:rPr>
          <w:b/>
          <w:bCs/>
        </w:rPr>
        <w:t xml:space="preserve">Del valor intrínseco al objetivo a 12 meses.</w:t>
      </w:r>
    </w:p>
    <w:p>
      <w:pPr>
        <w:spacing w:after="100"/>
      </w:pPr>
      <w:r>
        <w:t xml:space="preserve">El objetivo a 12 meses es de 2,58 GBP: −11,6 % ponderado y −0,5 % en el base, sin dividendo (la empresa no lo prevé antes de FY2027) [3]. El base es un PER de 19,3x (el actual, 21,2x, con el tope de ×1,1) sobre un BPA de FY2028e de 0,150; el bajista, 10,5x (el PER adelantado de julio de 2025) × 0,120 = 1,26 GBP (−56,9 %); el alcista, 19,3x × 0,169 = 3,25 GBP (+11,6 %). La asimetría es mala porque el bajista vuelve al múltiplo de una empresa recién salida a bolsa que nadie seguía y el alcista no tiene múltiplo de más que pagar. Con la v2 (historia al cierre: 15,6x / 20,7x / 20,7x) daría −0,7 % (Mantener); con dos años de historia el selector toma la más baja, la v3: Vender. El objetivo medio de los siete analistas (3,54 GBP) está un 18 % por encima de nuestro base: pagan ≈ 23 veces el BPA de FY2028e, casi lo mismo que nosotros en BPA.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(auditados) y primeras semanas de FY2027 [36]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avance ya dio ventas y EBITDA [6]: lo nuevo será la caja (conversión del 51 % en el 1S), el margen bruto con el suero y la marcha de Walmart y GNC</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2027-03-10 (aprox.)</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bloqueo de 180 días de Thomas Ryder y Steven Granite tras la colocación del 11-sep-2026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Ryder conserva el 32,5 % y Granite el 4,8 % [1]: otra colocación con descuento es posible; ya han vendido dos veces (salida a bolsa y septiembre)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FY2027 (el 1S FY2026 se publicó el 23-mar) [3]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de 205 M y del margen con Nutrablend; en marzo de 2026 cayó un 7,2 % el día de resultados [27]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reposición de Walmart y GNC y lanzamiento de los productos con licencia de Mondelēz (Sour Patch Kids, Swedish Fish) [10]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EE. UU. es un segundo Reino Unido o un canal más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2026-12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dividendo (la empresa no lo prevé antes de FY2027) [3]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Pequeño; señal de madurez</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el mercado deja de pagar 21 veces el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−56,9 % a 12 meses en el bajista (10,5x × 0,120); cada 2 puntos de PER ≈ −10 % del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de FY2027e (+28 % de ventas) ya está guiado y el balance tiene caja neta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avance de resultados sin subida de previsiones o un 1S FY2027 por debajo de la mitad de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suero caro y mezcla de EE. UU. y maquila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de margen EBITDA ≈ −0,06 GBP en el DCF y −4 % en el BPA de FY2028e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subido precios dos años seguidos sin perder volumen [2,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1S FY2027 por debajo del 22 %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los fundadores y directivos (overhang)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 accionista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−6 % el día de la colocación de septiembre (275 p frente a 293 p) y −4,9 % el de JD Sports (abril) [20, 21, 27]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Bloqueo de 180 días hasta marzo de 2027; Ryder conserva el 32,5 % [1,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colocación tras el fin del bloqueo o nuevas ventas del CFO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Persona clave: Thomas Ryder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cuantificable; la empresa lo cita entre sus riesgos principales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presidente experimentado (Andy Bell) y equipo de 2021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funciones o más ventas de Ryder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Expansión en EE. UU. y Nutrablend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11 puntos del crecimiento de FY2027e dependen de Nutrablend [10]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pequeña (12 M, 1,6 % de la capitalización) con nave en propiedad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EE. UU. por debajo de 30 M USD en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alimentos y suplementos (HFSS, cafeína en pre-entrenos)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Limitaría la publicidad y algunas referencias en el Reino Unido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Gama amplia y licencias con marcas de alimentación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Consulta del Gobierno británico sobre bebidas energéticas y menores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Neutral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físico de consumo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Marcas nativas digitales que ganen cuota con recomendación personalizada</w:t>
            </w:r>
          </w:p>
        </w:tc>
      </w:tr>
    </w:tbl>
    <w:p>
      <w:pPr>
        <w:spacing w:after="160" w:before="0"/>
      </w:pPr>
    </w:p>
    <w:p>
      <w:pPr>
        <w:pStyle w:val="Heading2"/>
      </w:pPr>
      <w:r>
        <w:t xml:space="preserve">Pre-mortem</w:t>
      </w:r>
    </w:p>
    <w:p>
      <w:pPr>
        <w:spacing w:after="100"/>
      </w:pPr>
      <w:r>
        <w:t xml:space="preserve">Octubre de 2027: la acción ha perdido un 45 %. Los resultados del 1S FY2027 muestran un margen EBITDA del 21 % por el suero y Nutrablend, Walmart reduce el lineal tras la primera rotación y el crecimiento orgánico del Reino Unido baja a un dígito. En marzo, al terminar el bloqueo, Ryder coloca otro 5 % con descuento. El mercado deja de tratarla como una historia de crecimiento y le paga 12-13 veces el beneficio, como a Glanbia. Las señales: un avance sin subida de previsiones, la conversión de caja por debajo del 60 % y más ventas de directivos.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 0 % a 3-5 años; no se recoge en ningún escenario</w:t>
      </w:r>
    </w:p>
    <w:p>
      <w:pPr>
        <w:spacing w:after="100"/>
      </w:pPr>
      <w:r>
        <w:t xml:space="preserve">La IA no sustituye un batido de proteína ni un pre-entreno: es un producto físico que se compra en el supermercado, la tienda de deporte o por internet. Puede cambiar cómo se descubre la marca (recomendaciones personalizadas de nutrición, asistentes de compra) y favorecer a las marcas digitales con datos de clientes, como Myprotein, frente a una marca que vende sobre todo a través de distribuidores y lineal físico. También ayuda a lanzar productos más rápido, algo en lo que Applied Nutrition ya es fuerte. La señal: que la venta por internet con recomendación personalizada gane cuota en el Reino Unido (hoy el 70 % de la nutrición deportiva británica ya se vende por internet [14]).</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que mueven las cifras: (1) seguridad y calidad del producto (sustancias prohibidas en deporte, contenido declarado de proteína): la empresa tiene acreditaciones de laboratorio independiente y un fallo dañaría la marca y las ventas a deportistas de élite [1, 3]; (2) materias primas de origen lácteo (suero) y su huella de carbono, cada vez más vigilada por los supermercados [1]; (3) seguridad laboral en una planta de envasado con muchas horas extra en los picos [3]. Publica el informe SECR (emisiones de alcance 1 y 2) en el informe anual [1].</w:t>
      </w:r>
    </w:p>
    <w:p>
      <w:pPr>
        <w:pStyle w:val="Heading2"/>
      </w:pPr>
      <w:r>
        <w:t xml:space="preserve">Controversias</w:t>
      </w:r>
    </w:p>
    <w:p>
      <w:pPr>
        <w:spacing w:after="100"/>
      </w:pPr>
      <w:r>
        <w:t xml:space="preserve">No se encontraron sanciones, retiradas de producto ni litigios relevantes en los tres últimos años en el informe anual, los RNS ni la prensa revisada [1, 3]. El riesgo de producto figura como el primero de la lista de riesgos principales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conversión de caja esperan en FY2027 y cuánto circulante necesita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conversión del 1S FY2026 fue del 51 %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EBITDA tiene hoy Nutrablend y cuándo esperan pasar la maquila a marca propia?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mitad de la caída del margen de FY2027 [10].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vendió el director financiero casi la mitad de sus acciones en junio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venta de un directivo sin motivo declarado [23].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Fundador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¿Piensa Thomas Ryder seguir vendiendo cuando acabe el bloqueo en marzo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el 32,5 % y es el mayor riesgo de oferta de acciones [1, 21].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tiendas de Walmart y GNC tienen la marca y cómo van las reposiciones?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crecimiento después de FY2027.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Suero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la subida del suero de FY2027 está cubierta con precio o compras adelantadas?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variable del margen bruto [2].</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UK / The Twelfth Magpie (artículos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piezas de febrero y abril la presentan como valor de crecimiento «que nadie mira», con rentabilidad sobre el capital cercana al 50 % y una tendencia de bienestar duradera; ven la valoración razonable [38,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 comunitaria)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comentarios de usuarios; la narrativa automática sube el valor razonable con los objetivos de los analistas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sectorial (The Grocer)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la guía de FY27 los inversores «hacen caja»; un analista habla de valoración «bastante llena» (titular; el artículo da 405)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y sorpresas al alza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cinco subidas de previsiones en doce meses y ventas de FY26 un 31 % por encima del consenso de diciembre (nota 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llena y toma de beneficios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coincide: a 21 veces el BPA de FY27 y con un margen que baja, el precio ya descuenta mucho del crecimiento (sección de valoración).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directivos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comprobado en los RNS: CFO en junio y CEO y COO en septiembre, a 275-278 p (nota C).</w:t>
            </w:r>
          </w:p>
        </w:tc>
      </w:tr>
    </w:tbl>
    <w:p>
      <w:pPr>
        <w:spacing w:after="160" w:before="0"/>
      </w:pPr>
    </w:p>
    <w:p>
      <w:pPr>
        <w:spacing w:after="100"/>
      </w:pPr>
      <w:r>
        <w:t xml:space="preserve">Los foros británicos donde se debate el valor (LSE Chat, ADVFN, Stockopedia) devuelven 403 desde este entorno, Reddit también, y Stocktwits no tiene el símbolo; lo leído son artículos para particulares, una narrativa automática y prensa sectorial. El tono fue entusiasta en la primera mitad de 2026 y se ha enfriado desde agosto con la guía de margen y las ventas de directivos. No aporta nada que el análisis no recoja: el riesgo que señala (valoración llena) es el mismo que sale de los números. Confianza baja por la falta de foros reales.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22 de 23 controles correctos y 1 explicados. Fuentes: 41 (27 primarias); citas distintas en el texto: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34,2 % frente a un ROIC de 63,1 % y un incremental histórico de 57,1 %: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0,6 % en FY2030e frente al 0,6 %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32,0 % frente a 30,9 % real: genera una variación de circulante de 18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18 M de flujo libre medio en sus tres primeros años, frente a 9 M de media real en los tres últimos: justifica el salto (circulante, inversión, márgenes) o ajusta los supuestos. Explicación: Es a propósito y no es un salto de margen: el flujo libre medio de FY2026e-FY2028e (≈ 18 M: 12, 12 y 31 M) es mayor que el de FY2023-FY2025 (≈ 9 M) porque las ventas se duplican (de 107 M en FY2025 a 225 M en FY2028e) [2, 6]. Con el mismo margen de flujo libre sobre ventas que en FY2025 (≈ 13,6 %: 15,6 M de flujo operativo menos 1,0 M de capex y 0,3 M de arrendamientos sobre 107,1 M) [2], FY2028e daría ≈ 31 M, lo mismo que proyectamos. Además FY2024 tuvo 9,7 M de impuestos pagados de golpe por el cambio a pagos a cuenta, y FY2026e (fijo, con fracción 0 en el DCF) ya absorbe 17 M de circulante. El primer año que cuenta, FY2027e, solo da 12 M de flujo libre por los 3,5 % de capex y el circulante de Nutrablend y EE. UU.</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-48,2 % (-41,0 % con la prima del mercado) y el precio pide 18,7 puntos más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fuentes (27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informe anual FY25 (no hay deuda financiera); 2) estados intermedios a ene-26 (solo arrendamientos); 3) avance de agosto de 2026 (caja neta sin deuda)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no hay deuda financiera que vencer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y desglose del 2S FY26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Avance de resultados de 26-ago-2026 (solo ventas y EBITDA ajustado); 2) web de inversores (cuentas FY26 el 16-nov-2026); 3) consenso de MarketScreener (BPA del año, no del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hasta las cuentas de FY26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FY25 (no cita calificaciones); 2) MSCI ESG Ratings y Sustainalytics (sin ficha pública de APN); 3) web de inversores (sin informe ESG separado)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(solo «diez primeras ≈ 36 %»); 2) informe anual FY25 (sin cuota); 3) presentación FY25 (sin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cita el 36 % de las diez primeras en Porter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(cotiza desde el 29-oct-2024: un solo cierre de ejercicio con cuentas publicadas); 2) folleto de salida a bolsa (sin precio antes de 2024); 3) MarketScreener (sin múltiplos históricos útiles)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menos de tres ejercicios cotizados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la media «comprar» y 7 analistas; el reparto va en una imagen); 2) web de inversores (consenso sin recomendaciones); 3) prensa (Deutsche Bank y Cavendish, comprar)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reparto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con debate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LSE Chat (lse.co.uk ShareChat: 403) y ADVFN share chat (403); 2) Reddit (403) y Stocktwits (símbolo no encontrado); 3) Stockopedia (403) y interactive investor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con artículos de opinión y confianza baja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Accounts 2025 (ejercicio a 31-jul-2025): estados consolidados, notas, informe de remuneraciones, participaciones significativas y partes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Applied Nutrition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https://www.appliednutritionplc.com/wp-content/uploads/2025/11/web_APN_AR25.pdf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Results FY25 (RNS): cuenta, balance, flujos y notas de FY25 y FY24; revisión del director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Applied Nutrition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https://www.appliednutritionplc.com/wp-content/uploads/2025/11/APN-Full-Year-Results-2025-RNS.pdf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for the six months ended 31 January 2026 (RNS): estados intermedios no auditados, ventas por zona, circulante y capex previsto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https://www.appliednutritionplc.com/wp-content/uploads/2026/03/APN-HY26-Results-final.pdf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Prospectus, Section B: Historical Financial Information (FY22, FY23 y FY24, NIIF adoptadas en el Reino Unido, informe de BDO)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 / BDO LLP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https://www.appliednutritionplc.com/wp-content/uploads/2024/10/Historical-Financial-Information-Prospectus.pdf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Limited (09131749): Full accounts made up to 31 July 2021 (FRS 102, auditadas por Haines Watts)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Companies House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https://find-and-update.company-information.service.gov.uk/company/09131749/filing-history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Trading Update and FY27 Outlook (RNS 1371S): ventas FY26 ≈ 160 M GBP, EBITDA ajustado ≈ 43,3 M, caja neta 15,9 M; guía FY27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https://www.appliednutritionplc.com/fy26-trading-update-and-fy27-outlook/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for the six months ended 31 January 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https://www.appliednutritionplc.com/wp-content/uploads/2025/04/APN-Interim-Results-RNS-H1-FY25.pdf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HY26 Investor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https://www.appliednutritionplc.com/wp-content/uploads/2026/03/APN-HY26-Investor-Presentation-final.pdf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FY25 Investor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https://www.appliednutritionplc.com/wp-content/uploads/2025/11/APN-FY25-Investor-Presentation-1.pdf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Trading Ahead of Expectations, Acquisition of US Manufacturing Facility, and New North American Collaboration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https://www.investegate.co.uk/announcement/rns/applied-nutrition-plc--apn/trading-update-acquisition-and-collaboration/9593422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(RNS): FY26 ≈ 10 % por encima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https://www.investegate.co.uk/announcement/rns/applied-nutrition-plc--apn/trading-update/9283662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FY26 Trading Update (RNS): ventas del semestre 74,5 M; guía FY26 ≈ 140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https://www.investegate.co.uk/announcement/rns/applied-nutrition-plc--apn/h1-fy26-trading-update-/9433492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ESEF/XBRL de FY24 y FY25 (filings.xbrl.org, herramientas/cuentas.mjs): contraste de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Prospectus (oct-2024): Industry overview (Euromonitor International Consumer Health Passport 2024): mercado de nutrición deportiva, salud y bienestar por región y categoría; competidores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 / Euromonitor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https://www.appliednutritionplc.com/wp-content/uploads/2024/10/Prospectus.pdf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fichas de Glanbia, BellRing Brands, Simply Good Foods, THG, Herbalife, Celsius y Monster (ventas, margen operativo y EBITDA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Science in Sport: Recommended Cash Acquisition by Einstein Bidco (bd-capital) — ventas FY24 51,9 M GBP, EBITDA ajustado 4,2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Science in Sport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https://www.investegate.co.uk/announcement/rns/science-in-sport--sis/recommended-cash-acquisition-/8837474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Licensing agreement with Morrisons for food range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https://www.investegate.co.uk/announcement/rns/applied-nutrition-plc--apn/licensing-agreement-with-morrisons-for-food-range/9307876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to Acquire Alani Nu (nota de prensa,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https://www.sec.gov/Archives/edgar/data/1341766/000134176625000018/a991pressreleasedatedfebru.htm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(8-ene-2026): votaciones de todas las propuestas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https://www.investegate.co.uk/announcement/rns/applied-nutrition-plc--apn/result-of-agm/9342063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Secondary Placing: JD Sports Fashion vende 22.750.000 acciones a 2,15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Peel Hunt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https://www.investegate.co.uk/announcement/rns/applied-nutrition-plc--apn/results-of-secondary-placing-in-applied-nutrition/9522512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secondary placing: Thomas Ryder y Steven Granite venden 7.000.000 acciones a 275 peniques; bloqueo de 180 días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Panmure Liberum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https://www.investegate.co.uk/announcement/rns/applied-nutrition-plc--apn/result-of-secondary-placing-in-applied-nutrition-/9766676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Dealing: Ryder Holdings Ltd (4.500.000) y Steven Granite (2.500.000) a 2,75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https://www.investegate.co.uk/announcement/rns/applied-nutrition-plc--apn/director-pdmr-shareholding/9768376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Dealing: Joe Pollard vende 550.000 acciones a 2,76-2,78 GBP (3 y 4-jun-2026)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https://www.investegate.co.uk/announcement/rns/applied-nutrition-plc--apn/director-pdmr-shareholding/9602305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Dealing: Marnie Millard compra 13.257 acciones a 2,249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https://www.investegate.co.uk/announcement/rns/applied-nutrition-plc--apn/director-pdmr-shareholding/9517748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UBS Group AG (5,21 % el 8-oct-2026; 0 % el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https://www.investegate.co.uk/announcement/rns/applied-nutrition-plc--apn/holding-s-in-company/9820842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Pricing and Offer Size (salida a bolsa a 140 peniques)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https://www.appliednutritionplc.com/wp-content/uploads/2024/10/Announcement-of-Pricing-and-Offer-Size.pdf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APN.L, ^FTMC y GL9.IR (herramientas/bolsa.mjs y movimiento.mjs): precio, rango, volumen, beta, volatilidad,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https://finance.yahoo.com/quote/APN.L/history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estimaciones FY26-FY28 (ventas, EBITDA, EBIT, beneficio neto, BPA, caja neta) de Applied Nutrition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https://www.marketscreener.com/quote/stock/APPLIED-NUTRITION-PLC-177502293/finances/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analistas (7 analistas, comprar; objetivo medio 3,536 GBP, máximo 3,95, mínimo 2,80)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https://www.marketscreener.com/quote/stock/APPLIED-NUTRITION-PLC-177502293/consensus/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Bank raises Applied Nutrition target on £160m revenue forecast (335 → 350 p, comprar)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Proactive Investors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https://www.proactiveinvestors.co.uk/companies/news/1097717/deutsche-bank-raises-applied-nutrition-target-on-160m-revenue-forecast-1097717.html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los comparables (precio, capitalización, valor empresa, EBITDA, márgenes, deuda, caja, flujo libre, estimaciones de BPA y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Government Bond Yields: 10-year for United Kingdom (IRLTLT01GBM156N), septiembre de 2026: 5,24 %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OECD vía FRED (St. Louis Fed)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https://fred.stlouisfed.org/series/IRLTLT01GBM156N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Simply Good Foods Company to Acquire Only What You Need (OWYN): 280 M USD, 2,3 veces ventas y 13,3 veces el EBITDA ajustado con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Good Foods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https://www.nasdaq.com/press-release/the-simply-good-foods-company-to-acquire-only-what-you-need-owyn-2024-04-29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FCA: Short positions daily update (posiciones cortas netas ≥ 0,5 %): Mirabella Financial Services, 0,62 % en Applied Nutrition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https://www.fca.org.uk/publication/data/short-positions-daily-update.xlsx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Results &amp; Presentations: resultados FY26 el 16-nov-2026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https://www.investegate.co.uk/announcement/rns/applied-nutrition-plc--apn/notice-of-results-presentations/9816847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tipos de cambio GBPUSD=X (1,3338) y EURGBP=X (0,8417),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https://finance.yahoo.com/quote/GBPUSD=X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 can't wait to buy this excellent FTSE 250 stock for my ISA in April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UK (The Twelfth Magpie)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https://www.fool.co.uk/2026/04/11/i-cant-wait-to-buy-this-excellent-ftse-250-stock-for-my-isa-in-april/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£1,000 buys 398 shares in this red hot UK stock that's smashing Raspberry Pi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https://www.twelfthmagpie.com/2026/02/24/1000-buys-398-shares-in-this-red-hot-uk-stock-thats-smashing-raspberry-pi/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narrativa comunitaria de APN («FY26 Revenue Outlook Will Support A More Balanced Risk Profile»), actualizada el 9-sep-2026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https://simplywall.st/community/narratives/gb/household/lse-apn/applied-nutrition-shares/1dt946ob-update-for-applied-nutrition/updates/2-analysts-have-raised-their-price-target-for-applied-nutritio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Nutrition shares drop as investors cash in on rampant growth (titular y entradilla en buscador)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Grocer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https://www.thegrocer.co.uk/news/applied-nutrition-shares-drop-as-investors-cash-in-on-rampant-growth/722967.article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90,5 %</w:t>
      </w:r>
      <w:r>
        <w:t xml:space="preserve"> · Secciones con menos del 60 % de campos cubiertos: </w:t>
      </w:r>
      <w:r>
        <w:rPr>
          <w:b/>
          <w:bCs/>
        </w:rPr>
        <w:t xml:space="preserve">ninguna</w:t>
      </w:r>
      <w:r>
        <w:t xml:space="preserve"> · Generado el 19 oct 2026.</w:t>
      </w:r>
    </w:p>
    <w:p>
      <w:pPr>
        <w:pStyle w:val="Nota"/>
        <w:spacing w:after="100"/>
      </w:pPr>
      <w:r>
        <w:t xml:space="preserve">Cuentas consolidadas NIIF en millones de GBP, ejercicio a 31 de julio. FY2024 y FY2025 salen del registro ESEF/XBRL (herramientas/cuentas.mjs) [13] y del informe anual de 2025 [1, 2]; FY2023 del folleto de salida a bolsa [4]; FY2021 y FY2022 de las cuentas de la filial operativa en Companies House (FRS 102, escaneadas y transcritas a mano) [5], que no son del todo comparables (sin NIIF 16 en FY2021). </w:t>
      </w:r>
      <w:r>
        <w:rPr>
          <w:b/>
        </w:rPr>
        <w:t xml:space="preserve">FY2026 (cerrado el 31-jul-2026) aún no tiene cuentas</w:t>
      </w:r>
      <w:r>
        <w:t xml:space="preserve">: solo el avance del 26-ago-2026 (ventas ≈ 160 M, EBITDA ajustado ≈ 43,3 M y caja neta de 15,9 M, sin auditar) [6]; los resultados se publican el 16-nov-2026 [36]. Por eso FY2026e es el primer año de la proyección, fijo con el avance, y el puente de valoración usa la caja neta del 31-jul-2026. Cotiza desde el 29-oct-2024: solo hay dos cierres de ejercicio para la historia del PER y dos años de serie para la beta. Los foros de particulares (LSE Chat, ADVFN, Reddit, Stockopedia) no se pudieron leer desde este entorno (403) [E]. Precio: cierre del 16-oct-2026 en Londres, 291,5 peniques (2,915 GBP; el del 19-oct no estaba publicado a la hora del análisis) [27].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Applied Nutrition plc (APN)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2,92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(1,62 – 3,56)</c:v>
                </c:pt>
                <c:pt idx="1">
                  <c:v>Precio objetivo de los analistas (2,80 – 3,95)</c:v>
                </c:pt>
                <c:pt idx="2">
                  <c:v>Comparables: PER NTM (1,00 – 1,89)</c:v>
                </c:pt>
                <c:pt idx="3">
                  <c:v>Transacciones precedentes (EV/EBITDA) (2,01 – 2,87)</c:v>
                </c:pt>
                <c:pt idx="4">
                  <c:v>DCF (WACC y g ± 0,5) (1,42 – 1,68)</c:v>
                </c:pt>
                <c:pt idx="5">
                  <c:v>Escenarios (bajista – alcista) (1,07 – 1,86)</c:v>
                </c:pt>
                <c:pt idx="6">
                  <c:v>DCF con la prima implícita del mercado (4,2 %)</c:v>
                </c:pt>
                <c:pt idx="7">
                  <c:v>Precio actual (2,92)</c:v>
                </c:pt>
              </c:strCache>
            </c:strRef>
          </c:cat>
          <c:val>
            <c:numRef>
              <c:f>Hoja1!$B$2:$B$9</c:f>
              <c:numCache>
                <c:formatCode>#,##0.00</c:formatCode>
                <c:ptCount val="8"/>
                <c:pt idx="0">
                  <c:v>1.62</c:v>
                </c:pt>
                <c:pt idx="1">
                  <c:v>2.8</c:v>
                </c:pt>
                <c:pt idx="2">
                  <c:v>1</c:v>
                </c:pt>
                <c:pt idx="3">
                  <c:v>2.01</c:v>
                </c:pt>
                <c:pt idx="4">
                  <c:v>1.42</c:v>
                </c:pt>
                <c:pt idx="5">
                  <c:v>1.07</c:v>
                </c:pt>
                <c:pt idx="6">
                  <c:v>1.69</c:v>
                </c:pt>
                <c:pt idx="7">
                  <c:v>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(1,62 – 3,56)</c:v>
                </c:pt>
                <c:pt idx="1">
                  <c:v>Precio objetivo de los analistas (2,80 – 3,95)</c:v>
                </c:pt>
                <c:pt idx="2">
                  <c:v>Comparables: PER NTM (1,00 – 1,89)</c:v>
                </c:pt>
                <c:pt idx="3">
                  <c:v>Transacciones precedentes (EV/EBITDA) (2,01 – 2,87)</c:v>
                </c:pt>
                <c:pt idx="4">
                  <c:v>DCF (WACC y g ± 0,5) (1,42 – 1,68)</c:v>
                </c:pt>
                <c:pt idx="5">
                  <c:v>Escenarios (bajista – alcista) (1,07 – 1,86)</c:v>
                </c:pt>
                <c:pt idx="6">
                  <c:v>DCF con la prima implícita del mercado (4,2 %)</c:v>
                </c:pt>
                <c:pt idx="7">
                  <c:v>Precio actual (2,92)</c:v>
                </c:pt>
              </c:strCache>
            </c:strRef>
          </c:cat>
          <c:val>
            <c:numRef>
              <c:f>Hoja1!$C$2:$C$9</c:f>
              <c:numCache>
                <c:formatCode>#,##0.00</c:formatCode>
                <c:ptCount val="8"/>
                <c:pt idx="0">
                  <c:v>1.94</c:v>
                </c:pt>
                <c:pt idx="1">
                  <c:v>1.1500000000000004</c:v>
                </c:pt>
                <c:pt idx="2">
                  <c:v>0.8899999999999999</c:v>
                </c:pt>
                <c:pt idx="3">
                  <c:v>0.8600000000000003</c:v>
                </c:pt>
                <c:pt idx="4">
                  <c:v>0.26</c:v>
                </c:pt>
                <c:pt idx="5">
                  <c:v>0.79</c:v>
                </c:pt>
                <c:pt idx="6">
                  <c:v>0.22999999999999998</c:v>
                </c:pt>
                <c:pt idx="7">
                  <c:v>0.03000000000000025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Proteína</c:v>
                </c:pt>
              </c:strCache>
            </c:strRef>
          </c:tx>
          <c:spPr>
            <a:solidFill>
              <a:srgbClr val="2A78D6"/>
            </a:solidFill>
            <a:ln w="12700">
              <a:solidFill>
                <a:srgbClr val="FFFFFF"/>
              </a:solidFill>
            </a:ln>
          </c:spPr>
          <c:invertIfNegative val="0"/>
          <c:cat>
            <c:strRef>
              <c:f>Hoja1!$A$2:$A$5</c:f>
              <c:strCache>
                <c:ptCount val="4"/>
                <c:pt idx="0">
                  <c:v>FY2022</c:v>
                </c:pt>
                <c:pt idx="1">
                  <c:v>FY2023</c:v>
                </c:pt>
                <c:pt idx="2">
                  <c:v>FY2024</c:v>
                </c:pt>
                <c:pt idx="3">
                  <c:v>FY2025</c:v>
                </c:pt>
              </c:strCache>
            </c:strRef>
          </c:cat>
          <c:val>
            <c:numRef>
              <c:f>Hoja1!$B$2:$B$5</c:f>
              <c:numCache>
                <c:formatCode>#,##0</c:formatCode>
                <c:ptCount val="4"/>
                <c:pt idx="0">
                  <c:v>12.78</c:v>
                </c:pt>
                <c:pt idx="1">
                  <c:v>21.53</c:v>
                </c:pt>
                <c:pt idx="2">
                  <c:v>26.12</c:v>
                </c:pt>
                <c:pt idx="3">
                  <c:v>32</c:v>
                </c:pt>
              </c:numCache>
            </c:numRef>
          </c:val>
        </c:ser>
        <c:ser>
          <c:idx val="1"/>
          <c:order val="1"/>
          <c:tx>
            <c:strRef>
              <c:f>Hoja1!$C$1</c:f>
              <c:strCache>
                <c:ptCount val="1"/>
                <c:pt idx="0">
                  <c:v>Pre-entreno</c:v>
                </c:pt>
              </c:strCache>
            </c:strRef>
          </c:tx>
          <c:spPr>
            <a:solidFill>
              <a:srgbClr val="EB6834"/>
            </a:solidFill>
            <a:ln w="12700">
              <a:solidFill>
                <a:srgbClr val="FFFFFF"/>
              </a:solidFill>
            </a:ln>
          </c:spPr>
          <c:invertIfNegative val="0"/>
          <c:cat>
            <c:strRef>
              <c:f>Hoja1!$A$2:$A$5</c:f>
              <c:strCache>
                <c:ptCount val="4"/>
                <c:pt idx="0">
                  <c:v>FY2022</c:v>
                </c:pt>
                <c:pt idx="1">
                  <c:v>FY2023</c:v>
                </c:pt>
                <c:pt idx="2">
                  <c:v>FY2024</c:v>
                </c:pt>
                <c:pt idx="3">
                  <c:v>FY2025</c:v>
                </c:pt>
              </c:strCache>
            </c:strRef>
          </c:cat>
          <c:val>
            <c:numRef>
              <c:f>Hoja1!$C$2:$C$5</c:f>
              <c:numCache>
                <c:formatCode>#,##0</c:formatCode>
                <c:ptCount val="4"/>
                <c:pt idx="0">
                  <c:v>7.7</c:v>
                </c:pt>
                <c:pt idx="1">
                  <c:v>11.86</c:v>
                </c:pt>
                <c:pt idx="2">
                  <c:v>19.59</c:v>
                </c:pt>
                <c:pt idx="3">
                  <c:v>18.6</c:v>
                </c:pt>
              </c:numCache>
            </c:numRef>
          </c:val>
        </c:ser>
        <c:ser>
          <c:idx val="2"/>
          <c:order val="2"/>
          <c:tx>
            <c:strRef>
              <c:f>Hoja1!$D$1</c:f>
              <c:strCache>
                <c:ptCount val="1"/>
                <c:pt idx="0">
                  <c:v>Para llevar (grab-and-go)</c:v>
                </c:pt>
              </c:strCache>
            </c:strRef>
          </c:tx>
          <c:spPr>
            <a:solidFill>
              <a:srgbClr val="1BAF7A"/>
            </a:solidFill>
            <a:ln w="12700">
              <a:solidFill>
                <a:srgbClr val="FFFFFF"/>
              </a:solidFill>
            </a:ln>
          </c:spPr>
          <c:invertIfNegative val="0"/>
          <c:cat>
            <c:strRef>
              <c:f>Hoja1!$A$2:$A$5</c:f>
              <c:strCache>
                <c:ptCount val="4"/>
                <c:pt idx="0">
                  <c:v>FY2022</c:v>
                </c:pt>
                <c:pt idx="1">
                  <c:v>FY2023</c:v>
                </c:pt>
                <c:pt idx="2">
                  <c:v>FY2024</c:v>
                </c:pt>
                <c:pt idx="3">
                  <c:v>FY2025</c:v>
                </c:pt>
              </c:strCache>
            </c:strRef>
          </c:cat>
          <c:val>
            <c:numRef>
              <c:f>Hoja1!$D$2:$D$5</c:f>
              <c:numCache>
                <c:formatCode>#,##0</c:formatCode>
                <c:ptCount val="4"/>
                <c:pt idx="0">
                  <c:v>2.9</c:v>
                </c:pt>
                <c:pt idx="1">
                  <c:v>11.21</c:v>
                </c:pt>
                <c:pt idx="2">
                  <c:v>12.81</c:v>
                </c:pt>
                <c:pt idx="3">
                  <c:v>18.7</c:v>
                </c:pt>
              </c:numCache>
            </c:numRef>
          </c:val>
        </c:ser>
        <c:ser>
          <c:idx val="3"/>
          <c:order val="3"/>
          <c:tx>
            <c:strRef>
              <c:f>Hoja1!$E$1</c:f>
              <c:strCache>
                <c:ptCount val="1"/>
                <c:pt idx="0">
                  <c:v>Salud y bienestar</c:v>
                </c:pt>
              </c:strCache>
            </c:strRef>
          </c:tx>
          <c:spPr>
            <a:solidFill>
              <a:srgbClr val="EDA100"/>
            </a:solidFill>
            <a:ln w="12700">
              <a:solidFill>
                <a:srgbClr val="FFFFFF"/>
              </a:solidFill>
            </a:ln>
          </c:spPr>
          <c:invertIfNegative val="0"/>
          <c:cat>
            <c:strRef>
              <c:f>Hoja1!$A$2:$A$5</c:f>
              <c:strCache>
                <c:ptCount val="4"/>
                <c:pt idx="0">
                  <c:v>FY2022</c:v>
                </c:pt>
                <c:pt idx="1">
                  <c:v>FY2023</c:v>
                </c:pt>
                <c:pt idx="2">
                  <c:v>FY2024</c:v>
                </c:pt>
                <c:pt idx="3">
                  <c:v>FY2025</c:v>
                </c:pt>
              </c:strCache>
            </c:strRef>
          </c:cat>
          <c:val>
            <c:numRef>
              <c:f>Hoja1!$E$2:$E$5</c:f>
              <c:numCache>
                <c:formatCode>#,##0</c:formatCode>
                <c:ptCount val="4"/>
                <c:pt idx="0">
                  <c:v>2.74</c:v>
                </c:pt>
                <c:pt idx="1">
                  <c:v>5.15</c:v>
                </c:pt>
                <c:pt idx="2">
                  <c:v>9.67</c:v>
                </c:pt>
                <c:pt idx="3">
                  <c:v>18.2</c:v>
                </c:pt>
              </c:numCache>
            </c:numRef>
          </c:val>
        </c:ser>
        <c:ser>
          <c:idx val="4"/>
          <c:order val="4"/>
          <c:tx>
            <c:strRef>
              <c:f>Hoja1!$F$1</c:f>
              <c:strCache>
                <c:ptCount val="1"/>
                <c:pt idx="0">
                  <c:v>Control de peso</c:v>
                </c:pt>
              </c:strCache>
            </c:strRef>
          </c:tx>
          <c:spPr>
            <a:solidFill>
              <a:srgbClr val="E87BA4"/>
            </a:solidFill>
            <a:ln w="12700">
              <a:solidFill>
                <a:srgbClr val="FFFFFF"/>
              </a:solidFill>
            </a:ln>
          </c:spPr>
          <c:invertIfNegative val="0"/>
          <c:cat>
            <c:strRef>
              <c:f>Hoja1!$A$2:$A$5</c:f>
              <c:strCache>
                <c:ptCount val="4"/>
                <c:pt idx="0">
                  <c:v>FY2022</c:v>
                </c:pt>
                <c:pt idx="1">
                  <c:v>FY2023</c:v>
                </c:pt>
                <c:pt idx="2">
                  <c:v>FY2024</c:v>
                </c:pt>
                <c:pt idx="3">
                  <c:v>FY2025</c:v>
                </c:pt>
              </c:strCache>
            </c:strRef>
          </c:cat>
          <c:val>
            <c:numRef>
              <c:f>Hoja1!$F$2:$F$5</c:f>
              <c:numCache>
                <c:formatCode>#,##0</c:formatCode>
                <c:ptCount val="4"/>
                <c:pt idx="0">
                  <c:v>5.05</c:v>
                </c:pt>
                <c:pt idx="1">
                  <c:v>5.74</c:v>
                </c:pt>
                <c:pt idx="2">
                  <c:v>7.37</c:v>
                </c:pt>
                <c:pt idx="3">
                  <c:v>5.8</c:v>
                </c:pt>
              </c:numCache>
            </c:numRef>
          </c:val>
        </c:ser>
        <c:ser>
          <c:idx val="5"/>
          <c:order val="5"/>
          <c:tx>
            <c:strRef>
              <c:f>Hoja1!$G$1</c:f>
              <c:strCache>
                <c:ptCount val="1"/>
                <c:pt idx="0">
                  <c:v>Intra-entreno</c:v>
                </c:pt>
              </c:strCache>
            </c:strRef>
          </c:tx>
          <c:spPr>
            <a:solidFill>
              <a:srgbClr val="008300"/>
            </a:solidFill>
            <a:ln w="12700">
              <a:solidFill>
                <a:srgbClr val="FFFFFF"/>
              </a:solidFill>
            </a:ln>
          </c:spPr>
          <c:invertIfNegative val="0"/>
          <c:cat>
            <c:strRef>
              <c:f>Hoja1!$A$2:$A$5</c:f>
              <c:strCache>
                <c:ptCount val="4"/>
                <c:pt idx="0">
                  <c:v>FY2022</c:v>
                </c:pt>
                <c:pt idx="1">
                  <c:v>FY2023</c:v>
                </c:pt>
                <c:pt idx="2">
                  <c:v>FY2024</c:v>
                </c:pt>
                <c:pt idx="3">
                  <c:v>FY2025</c:v>
                </c:pt>
              </c:strCache>
            </c:strRef>
          </c:cat>
          <c:val>
            <c:numRef>
              <c:f>Hoja1!$G$2:$G$5</c:f>
              <c:numCache>
                <c:formatCode>#,##0</c:formatCode>
                <c:ptCount val="4"/>
                <c:pt idx="0">
                  <c:v>2.6</c:v>
                </c:pt>
                <c:pt idx="1">
                  <c:v>4.86</c:v>
                </c:pt>
                <c:pt idx="2">
                  <c:v>10.42</c:v>
                </c:pt>
                <c:pt idx="3">
                  <c:v>13.2</c:v>
                </c:pt>
              </c:numCache>
            </c:numRef>
          </c:val>
        </c:ser>
        <c:ser>
          <c:idx val="6"/>
          <c:order val="6"/>
          <c:tx>
            <c:strRef>
              <c:f>Hoja1!$H$1</c:f>
              <c:strCache>
                <c:ptCount val="1"/>
                <c:pt idx="0">
                  <c:v>Otros (materias primas, marca blanca y rappels)</c:v>
                </c:pt>
              </c:strCache>
            </c:strRef>
          </c:tx>
          <c:spPr>
            <a:solidFill>
              <a:srgbClr val="4A3AA7"/>
            </a:solidFill>
            <a:ln w="12700">
              <a:solidFill>
                <a:srgbClr val="FFFFFF"/>
              </a:solidFill>
            </a:ln>
          </c:spPr>
          <c:invertIfNegative val="0"/>
          <c:cat>
            <c:strRef>
              <c:f>Hoja1!$A$2:$A$5</c:f>
              <c:strCache>
                <c:ptCount val="4"/>
                <c:pt idx="0">
                  <c:v>FY2022</c:v>
                </c:pt>
                <c:pt idx="1">
                  <c:v>FY2023</c:v>
                </c:pt>
                <c:pt idx="2">
                  <c:v>FY2024</c:v>
                </c:pt>
                <c:pt idx="3">
                  <c:v>FY2025</c:v>
                </c:pt>
              </c:strCache>
            </c:strRef>
          </c:cat>
          <c:val>
            <c:numRef>
              <c:f>Hoja1!$H$2:$H$5</c:f>
              <c:numCache>
                <c:formatCode>#,##0</c:formatCode>
                <c:ptCount val="4"/>
                <c:pt idx="0">
                  <c:v>1.27</c:v>
                </c:pt>
                <c:pt idx="1">
                  <c:v>0.44</c:v>
                </c:pt>
                <c:pt idx="2">
                  <c:v>0.17</c:v>
                </c:pt>
                <c:pt idx="3">
                  <c:v>0.6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Proteína</c:v>
                </c:pt>
                <c:pt idx="1">
                  <c:v>Pre-entreno</c:v>
                </c:pt>
                <c:pt idx="2">
                  <c:v>Para llevar (grab-and-go)</c:v>
                </c:pt>
                <c:pt idx="3">
                  <c:v>Salud y bienestar</c:v>
                </c:pt>
                <c:pt idx="4">
                  <c:v>Control de peso</c:v>
                </c:pt>
                <c:pt idx="5">
                  <c:v>Intra-entreno</c:v>
                </c:pt>
                <c:pt idx="6">
                  <c:v>Otros (materias primas, marca blanca y rappels)</c:v>
                </c:pt>
              </c:strCache>
            </c:strRef>
          </c:cat>
          <c:val>
            <c:numRef>
              <c:f>Hoja1!$B$2:$B$8</c:f>
              <c:numCache>
                <c:formatCode>General</c:formatCode>
                <c:ptCount val="7"/>
                <c:pt idx="0">
                  <c:v>29.9</c:v>
                </c:pt>
                <c:pt idx="1">
                  <c:v>17.4</c:v>
                </c:pt>
                <c:pt idx="2">
                  <c:v>17.5</c:v>
                </c:pt>
                <c:pt idx="3">
                  <c:v>17</c:v>
                </c:pt>
                <c:pt idx="4">
                  <c:v>5.4</c:v>
                </c:pt>
                <c:pt idx="5">
                  <c:v>12.3</c:v>
                </c:pt>
                <c:pt idx="6">
                  <c:v>0.6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Reino Unido</c:v>
                </c:pt>
                <c:pt idx="1">
                  <c:v>Europa</c:v>
                </c:pt>
                <c:pt idx="2">
                  <c:v>Resto del mundo (Oriente Medio, Latinoamérica, Asia, EE. UU.)</c:v>
                </c:pt>
              </c:strCache>
            </c:strRef>
          </c:cat>
          <c:val>
            <c:numRef>
              <c:f>Hoja1!$B$2:$B$4</c:f>
              <c:numCache>
                <c:formatCode>0"%"</c:formatCode>
                <c:ptCount val="3"/>
                <c:pt idx="0">
                  <c:v>45.2</c:v>
                </c:pt>
                <c:pt idx="1">
                  <c:v>14.6</c:v>
                </c:pt>
                <c:pt idx="2">
                  <c:v>40.2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GBP (nutrición deportiva mundial, Euromonitor))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2019</c:v>
                </c:pt>
                <c:pt idx="1">
                  <c:v>2020</c:v>
                </c:pt>
                <c:pt idx="2">
                  <c:v>2021</c:v>
                </c:pt>
                <c:pt idx="3">
                  <c:v>2022</c:v>
                </c:pt>
                <c:pt idx="4">
                  <c:v>2023</c:v>
                </c:pt>
                <c:pt idx="5">
                  <c:v>2028e</c:v>
                </c:pt>
              </c:strCache>
            </c:strRef>
          </c:cat>
          <c:val>
            <c:numRef>
              <c:f>Hoja1!$B$2:$B$7</c:f>
              <c:numCache>
                <c:formatCode>#,##0</c:formatCode>
                <c:ptCount val="6"/>
                <c:pt idx="0">
                  <c:v>16000</c:v>
                </c:pt>
                <c:pt idx="1">
                  <c:v>15200</c:v>
                </c:pt>
                <c:pt idx="2">
                  <c:v>16900</c:v>
                </c:pt>
                <c:pt idx="3">
                  <c:v>19900</c:v>
                </c:pt>
                <c:pt idx="4">
                  <c:v>23000</c:v>
                </c:pt>
                <c:pt idx="5">
                  <c:v>35000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4</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Applied Nutrition</c:v>
                </c:pt>
                <c:pt idx="1">
                  <c:v>Glanbia (Optimum Nutrition, Isopure)</c:v>
                </c:pt>
                <c:pt idx="2">
                  <c:v>BellRing Brands (Premier Protein, Dymatize)</c:v>
                </c:pt>
                <c:pt idx="3">
                  <c:v>The Simply Good Foods Company (Quest, Atkins, OWYN)</c:v>
                </c:pt>
                <c:pt idx="4">
                  <c:v>THG (Myprotein)</c:v>
                </c:pt>
                <c:pt idx="5">
                  <c:v>Celsius Holdings (Celsius, Alani Nu)</c:v>
                </c:pt>
                <c:pt idx="6">
                  <c:v>Science in Sport (SiS, PhD)</c:v>
                </c:pt>
              </c:strCache>
            </c:strRef>
          </c:cat>
          <c:val>
            <c:numRef>
              <c:f>Hoja1!$B$2:$B$8</c:f>
              <c:numCache>
                <c:formatCode>0.0"%"</c:formatCode>
                <c:ptCount val="7"/>
                <c:pt idx="0">
                  <c:v>27.8</c:v>
                </c:pt>
                <c:pt idx="1">
                  <c:v>10</c:v>
                </c:pt>
                <c:pt idx="2">
                  <c:v>11.5</c:v>
                </c:pt>
                <c:pt idx="3">
                  <c:v>12.8</c:v>
                </c:pt>
                <c:pt idx="4">
                  <c:v>-0.6</c:v>
                </c:pt>
                <c:pt idx="5">
                  <c:v>19.1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3</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strCache>
            </c:strRef>
          </c:cat>
          <c:val>
            <c:numRef>
              <c:f>Hoja1!$B$2:$B$15</c:f>
              <c:numCache>
                <c:formatCode>#,##0</c:formatCode>
                <c:ptCount val="14"/>
                <c:pt idx="0">
                  <c:v>21.81</c:v>
                </c:pt>
                <c:pt idx="1">
                  <c:v>35.03</c:v>
                </c:pt>
                <c:pt idx="2">
                  <c:v>60.78</c:v>
                </c:pt>
                <c:pt idx="3">
                  <c:v>86.15</c:v>
                </c:pt>
                <c:pt idx="4">
                  <c:v>107.1</c:v>
                </c:pt>
                <c:pt idx="5">
                  <c:v>160</c:v>
                </c:pt>
                <c:pt idx="6">
                  <c:v>205</c:v>
                </c:pt>
                <c:pt idx="7">
                  <c:v>225</c:v>
                </c:pt>
                <c:pt idx="8">
                  <c:v>246</c:v>
                </c:pt>
                <c:pt idx="9">
                  <c:v>265</c:v>
                </c:pt>
                <c:pt idx="10">
                  <c:v>284</c:v>
                </c:pt>
                <c:pt idx="11">
                  <c:v>301</c:v>
                </c:pt>
                <c:pt idx="12">
                  <c:v>316</c:v>
                </c:pt>
                <c:pt idx="13">
                  <c:v>329</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strCache>
            </c:strRef>
          </c:cat>
          <c:val>
            <c:numRef>
              <c:f>Hoja1!$C$2:$C$15</c:f>
              <c:numCache>
                <c:formatCode>#,##0</c:formatCode>
                <c:ptCount val="14"/>
                <c:pt idx="0">
                  <c:v>7.3</c:v>
                </c:pt>
                <c:pt idx="1">
                  <c:v>10.42</c:v>
                </c:pt>
                <c:pt idx="2">
                  <c:v>18.54</c:v>
                </c:pt>
                <c:pt idx="3">
                  <c:v>26</c:v>
                </c:pt>
                <c:pt idx="4">
                  <c:v>30.9</c:v>
                </c:pt>
                <c:pt idx="5">
                  <c:v>43</c:v>
                </c:pt>
                <c:pt idx="6">
                  <c:v>49</c:v>
                </c:pt>
                <c:pt idx="7">
                  <c:v>54</c:v>
                </c:pt>
                <c:pt idx="8">
                  <c:v>58</c:v>
                </c:pt>
                <c:pt idx="9">
                  <c:v>61</c:v>
                </c:pt>
                <c:pt idx="10">
                  <c:v>64</c:v>
                </c:pt>
                <c:pt idx="11">
                  <c:v>66</c:v>
                </c:pt>
                <c:pt idx="12">
                  <c:v>70</c:v>
                </c:pt>
                <c:pt idx="13">
                  <c:v>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52.9</c:v>
                </c:pt>
                <c:pt idx="1">
                  <c:v>40.2</c:v>
                </c:pt>
                <c:pt idx="2">
                  <c:v>44.7</c:v>
                </c:pt>
                <c:pt idx="3">
                  <c:v>47.9</c:v>
                </c:pt>
                <c:pt idx="4">
                  <c:v>46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33.5</c:v>
                </c:pt>
                <c:pt idx="1">
                  <c:v>29.7</c:v>
                </c:pt>
                <c:pt idx="2">
                  <c:v>30.5</c:v>
                </c:pt>
                <c:pt idx="3">
                  <c:v>30.2</c:v>
                </c:pt>
                <c:pt idx="4">
                  <c:v>28.9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32.4</c:v>
                </c:pt>
                <c:pt idx="1">
                  <c:v>28.4</c:v>
                </c:pt>
                <c:pt idx="2">
                  <c:v>29.5</c:v>
                </c:pt>
                <c:pt idx="3">
                  <c:v>29.1</c:v>
                </c:pt>
                <c:pt idx="4">
                  <c:v>27.8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Hoja1!$E$2:$E$6</c:f>
              <c:numCache>
                <c:formatCode>0"%"</c:formatCode>
                <c:ptCount val="5"/>
                <c:pt idx="0">
                  <c:v>26.8</c:v>
                </c:pt>
                <c:pt idx="1">
                  <c:v>23.4</c:v>
                </c:pt>
                <c:pt idx="2">
                  <c:v>22.7</c:v>
                </c:pt>
                <c:pt idx="3">
                  <c:v>21.6</c:v>
                </c:pt>
                <c:pt idx="4">
                  <c:v>19.7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1S FY24</c:v>
                </c:pt>
                <c:pt idx="1">
                  <c:v>2S FY24</c:v>
                </c:pt>
                <c:pt idx="2">
                  <c:v>1S FY25</c:v>
                </c:pt>
                <c:pt idx="3">
                  <c:v>2S FY25</c:v>
                </c:pt>
                <c:pt idx="4">
                  <c:v>1S FY26</c:v>
                </c:pt>
                <c:pt idx="5">
                  <c:v>2S FY26 (avance, sin auditar)</c:v>
                </c:pt>
              </c:strCache>
            </c:strRef>
          </c:cat>
          <c:val>
            <c:numRef>
              <c:f>Hoja1!$B$2:$B$7</c:f>
              <c:numCache>
                <c:formatCode>0.0"%"</c:formatCode>
                <c:ptCount val="6"/>
                <c:pt idx="2">
                  <c:v>4.8</c:v>
                </c:pt>
                <c:pt idx="3">
                  <c:v>45.8</c:v>
                </c:pt>
                <c:pt idx="4">
                  <c:v>56.5</c:v>
                </c:pt>
                <c:pt idx="5">
                  <c:v>43.7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1S FY24</c:v>
                </c:pt>
                <c:pt idx="1">
                  <c:v>2S FY24</c:v>
                </c:pt>
                <c:pt idx="2">
                  <c:v>1S FY25</c:v>
                </c:pt>
                <c:pt idx="3">
                  <c:v>2S FY25</c:v>
                </c:pt>
                <c:pt idx="4">
                  <c:v>1S FY26</c:v>
                </c:pt>
                <c:pt idx="5">
                  <c:v>2S FY26 (avance, sin auditar)</c:v>
                </c:pt>
              </c:strCache>
            </c:strRef>
          </c:cat>
          <c:val>
            <c:numRef>
              <c:f>Hoja1!$C$2:$C$7</c:f>
              <c:numCache>
                <c:formatCode>0.0"%"</c:formatCode>
                <c:ptCount val="6"/>
                <c:pt idx="2">
                  <c:v>4.8</c:v>
                </c:pt>
                <c:pt idx="3">
                  <c:v>45.8</c:v>
                </c:pt>
                <c:pt idx="4">
                  <c:v>56.5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97</c:v>
                </c:pt>
                <c:pt idx="1">
                  <c:v>63</c:v>
                </c:pt>
                <c:pt idx="2">
                  <c:v>69</c:v>
                </c:pt>
                <c:pt idx="3">
                  <c:v>73</c:v>
                </c:pt>
                <c:pt idx="4">
                  <c:v>93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170</c:v>
                </c:pt>
                <c:pt idx="1">
                  <c:v>152</c:v>
                </c:pt>
                <c:pt idx="2">
                  <c:v>141</c:v>
                </c:pt>
                <c:pt idx="3">
                  <c:v>158</c:v>
                </c:pt>
                <c:pt idx="4">
                  <c:v>144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141</c:v>
                </c:pt>
                <c:pt idx="1">
                  <c:v>100</c:v>
                </c:pt>
                <c:pt idx="2">
                  <c:v>101</c:v>
                </c:pt>
                <c:pt idx="3">
                  <c:v>78</c:v>
                </c:pt>
                <c:pt idx="4">
                  <c:v>108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2.25</c:v>
                </c:pt>
                <c:pt idx="1">
                  <c:v>6.03</c:v>
                </c:pt>
                <c:pt idx="2">
                  <c:v>7.31</c:v>
                </c:pt>
                <c:pt idx="3">
                  <c:v>5.300000000000001</c:v>
                </c:pt>
                <c:pt idx="4">
                  <c:v>14.2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5.84</c:v>
                </c:pt>
                <c:pt idx="1">
                  <c:v>8.21</c:v>
                </c:pt>
                <c:pt idx="2">
                  <c:v>13.82</c:v>
                </c:pt>
                <c:pt idx="3">
                  <c:v>18.65</c:v>
                </c:pt>
                <c:pt idx="4">
                  <c:v>21.1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81.8</c:v>
                </c:pt>
                <c:pt idx="1">
                  <c:v>93.1</c:v>
                </c:pt>
                <c:pt idx="2">
                  <c:v>96.3</c:v>
                </c:pt>
                <c:pt idx="3">
                  <c:v>78.1</c:v>
                </c:pt>
                <c:pt idx="4">
                  <c:v>63.1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12</c:v>
                </c:pt>
                <c:pt idx="1">
                  <c:v>12</c:v>
                </c:pt>
                <c:pt idx="2">
                  <c:v>12</c:v>
                </c:pt>
                <c:pt idx="3">
                  <c:v>12</c:v>
                </c:pt>
                <c:pt idx="4">
                  <c:v>12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46.7</c:v>
                </c:pt>
                <c:pt idx="1">
                  <c:v>60</c:v>
                </c:pt>
                <c:pt idx="2">
                  <c:v>63.4</c:v>
                </c:pt>
                <c:pt idx="3">
                  <c:v>48.6</c:v>
                </c:pt>
                <c:pt idx="4">
                  <c:v>41.2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-0.73</c:v>
                </c:pt>
                <c:pt idx="1">
                  <c:v>-0.41</c:v>
                </c:pt>
                <c:pt idx="2">
                  <c:v>-0.58</c:v>
                </c:pt>
                <c:pt idx="3">
                  <c:v>-0.65</c:v>
                </c:pt>
                <c:pt idx="4">
                  <c:v>-0.5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0</c:v>
                </c:pt>
                <c:pt idx="1">
                  <c:v>6</c:v>
                </c:pt>
                <c:pt idx="2">
                  <c:v>0</c:v>
                </c:pt>
                <c:pt idx="3">
                  <c:v>0</c:v>
                </c:pt>
                <c:pt idx="4">
                  <c:v>14.7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Otro externo</c:v>
                </c:pt>
              </c:strCache>
            </c:strRef>
          </c:cat>
          <c:val>
            <c:numRef>
              <c:f>Hoja1!$B$2:$B$4</c:f>
              <c:numCache>
                <c:formatCode>0</c:formatCode>
                <c:ptCount val="3"/>
                <c:pt idx="0">
                  <c:v>4</c:v>
                </c:pt>
                <c:pt idx="1">
                  <c:v>3</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Thomas Ryder (Ryder Holdings)</c:v>
                </c:pt>
                <c:pt idx="1">
                  <c:v>Pentwater Capital Management</c:v>
                </c:pt>
                <c:pt idx="2">
                  <c:v>Steven Granite</c:v>
                </c:pt>
                <c:pt idx="3">
                  <c:v>Andy Bell</c:v>
                </c:pt>
                <c:pt idx="4">
                  <c:v>Peter Cowgill</c:v>
                </c:pt>
                <c:pt idx="5">
                  <c:v>JD Sports Fashion</c:v>
                </c:pt>
                <c:pt idx="6">
                  <c:v>Autocartera</c:v>
                </c:pt>
              </c:strCache>
            </c:strRef>
          </c:cat>
          <c:val>
            <c:numRef>
              <c:f>Hoja1!$B$2:$B$8</c:f>
              <c:numCache>
                <c:formatCode>0.0"%"</c:formatCode>
                <c:ptCount val="7"/>
                <c:pt idx="0">
                  <c:v>32.46</c:v>
                </c:pt>
                <c:pt idx="1">
                  <c:v>5</c:v>
                </c:pt>
                <c:pt idx="2">
                  <c:v>4.8</c:v>
                </c:pt>
                <c:pt idx="3">
                  <c:v>2.37</c:v>
                </c:pt>
                <c:pt idx="4">
                  <c:v>2</c:v>
                </c:pt>
                <c:pt idx="5">
                  <c:v>0</c:v>
                </c:pt>
                <c:pt idx="6">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79.2</c:v>
                </c:pt>
              </c:numCache>
            </c:numRef>
          </c:val>
        </c:ser>
        <c:ser>
          <c:idx val="1"/>
          <c:order val="1"/>
          <c:tx>
            <c:strRef>
              <c:f>Hoja1!$C$1</c:f>
              <c:strCache>
                <c:ptCount val="1"/>
                <c:pt idx="0">
                  <c:v>Índice</c:v>
                </c:pt>
              </c:strCache>
            </c:strRef>
          </c:tx>
          <c:spPr>
            <a:solidFill>
              <a:srgbClr val="EB6834"/>
            </a:solidFill>
            <a:ln w="9525">
              <a:noFill/>
            </a:ln>
          </c:spPr>
          <c:invertIfNegative val="0"/>
          <c:cat>
            <c:strRef>
              <c:f>Hoja1!$A$2</c:f>
              <c:strCache>
                <c:ptCount val="1"/>
                <c:pt idx="0">
                  <c:v>2025</c:v>
                </c:pt>
              </c:strCache>
            </c:strRef>
          </c:cat>
          <c:val>
            <c:numRef>
              <c:f>Hoja1!$C$2</c:f>
              <c:numCache>
                <c:formatCode>0"%"</c:formatCode>
                <c:ptCount val="1"/>
                <c:pt idx="0">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Applied Nutrition</c:v>
                </c:pt>
                <c:pt idx="1">
                  <c:v>Glanbia</c:v>
                </c:pt>
                <c:pt idx="2">
                  <c:v>BellRing Brands</c:v>
                </c:pt>
                <c:pt idx="3">
                  <c:v>Simply Good Foods</c:v>
                </c:pt>
                <c:pt idx="4">
                  <c:v>THG (Myprotein)</c:v>
                </c:pt>
                <c:pt idx="5">
                  <c:v>Herbalife</c:v>
                </c:pt>
                <c:pt idx="6">
                  <c:v>USANA Health Sciences</c:v>
                </c:pt>
                <c:pt idx="7">
                  <c:v>Celsius Holdings</c:v>
                </c:pt>
                <c:pt idx="8">
                  <c:v>Monster Beverage</c:v>
                </c:pt>
                <c:pt idx="9">
                  <c:v>Nature's Sunshine</c:v>
                </c:pt>
              </c:strCache>
            </c:strRef>
          </c:cat>
          <c:val>
            <c:numRef>
              <c:f>Hoja1!$B$2:$B$11</c:f>
              <c:numCache>
                <c:formatCode>0.0"x"</c:formatCode>
                <c:ptCount val="10"/>
                <c:pt idx="0">
                  <c:v>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Science in Sport (SiS, PhD)</c:v>
                </c:pt>
                <c:pt idx="1">
                  <c:v>Alani Nu (bebidas energéticas y suplementos)</c:v>
                </c:pt>
                <c:pt idx="2">
                  <c:v>OWYN (batidos proteicos de origen vegetal)</c:v>
                </c:pt>
                <c:pt idx="3">
                  <c:v>Nutrablend Group (negocio y activos)</c:v>
                </c:pt>
              </c:strCache>
            </c:strRef>
          </c:cat>
          <c:val>
            <c:numRef>
              <c:f>Hoja1!$B$2:$B$5</c:f>
              <c:numCache>
                <c:formatCode>0.0"x"</c:formatCode>
                <c:ptCount val="4"/>
                <c:pt idx="0">
                  <c:v>23.1</c:v>
                </c:pt>
                <c:pt idx="1">
                  <c:v>12</c:v>
                </c:pt>
                <c:pt idx="2">
                  <c:v>13.3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FY2026e</c:v>
                </c:pt>
                <c:pt idx="1">
                  <c:v>FY2027e</c:v>
                </c:pt>
                <c:pt idx="2">
                  <c:v>FY2028e</c:v>
                </c:pt>
                <c:pt idx="3">
                  <c:v>FY2029e</c:v>
                </c:pt>
                <c:pt idx="4">
                  <c:v>FY2030e</c:v>
                </c:pt>
                <c:pt idx="5">
                  <c:v>FY2031e</c:v>
                </c:pt>
                <c:pt idx="6">
                  <c:v>FY2032e</c:v>
                </c:pt>
                <c:pt idx="7">
                  <c:v>FY2033e</c:v>
                </c:pt>
                <c:pt idx="8">
                  <c:v>FY2034e</c:v>
                </c:pt>
              </c:strCache>
            </c:strRef>
          </c:cat>
          <c:val>
            <c:numRef>
              <c:f>Hoja1!$B$2:$B$10</c:f>
              <c:numCache>
                <c:formatCode>#,##0</c:formatCode>
                <c:ptCount val="9"/>
                <c:pt idx="0">
                  <c:v>11</c:v>
                </c:pt>
                <c:pt idx="1">
                  <c:v>13</c:v>
                </c:pt>
                <c:pt idx="2">
                  <c:v>31</c:v>
                </c:pt>
                <c:pt idx="3">
                  <c:v>35</c:v>
                </c:pt>
                <c:pt idx="4">
                  <c:v>35</c:v>
                </c:pt>
                <c:pt idx="5">
                  <c:v>37</c:v>
                </c:pt>
                <c:pt idx="6">
                  <c:v>39</c:v>
                </c:pt>
                <c:pt idx="7">
                  <c:v>42</c:v>
                </c:pt>
                <c:pt idx="8">
                  <c:v>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172</c:v>
                </c:pt>
                <c:pt idx="1">
                  <c:v>199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2,92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1.07</c:v>
                </c:pt>
                <c:pt idx="1">
                  <c:v>1.54</c:v>
                </c:pt>
                <c:pt idx="2">
                  <c:v>1.86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2,92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(1,62 – 3,56)</c:v>
                </c:pt>
                <c:pt idx="1">
                  <c:v>Precio objetivo de los analistas (2,80 – 3,95)</c:v>
                </c:pt>
                <c:pt idx="2">
                  <c:v>Comparables: PER NTM (1,00 – 1,89)</c:v>
                </c:pt>
                <c:pt idx="3">
                  <c:v>Transacciones precedentes (EV/EBITDA) (2,01 – 2,87)</c:v>
                </c:pt>
                <c:pt idx="4">
                  <c:v>DCF (WACC y g ± 0,5) (1,42 – 1,68)</c:v>
                </c:pt>
                <c:pt idx="5">
                  <c:v>Escenarios (bajista – alcista) (1,07 – 1,86)</c:v>
                </c:pt>
                <c:pt idx="6">
                  <c:v>DCF con la prima implícita del mercado (4,2 %)</c:v>
                </c:pt>
                <c:pt idx="7">
                  <c:v>Precio actual (2,92)</c:v>
                </c:pt>
              </c:strCache>
            </c:strRef>
          </c:cat>
          <c:val>
            <c:numRef>
              <c:f>Hoja1!$B$2:$B$9</c:f>
              <c:numCache>
                <c:formatCode>#,##0.00</c:formatCode>
                <c:ptCount val="8"/>
                <c:pt idx="0">
                  <c:v>1.62</c:v>
                </c:pt>
                <c:pt idx="1">
                  <c:v>2.8</c:v>
                </c:pt>
                <c:pt idx="2">
                  <c:v>1</c:v>
                </c:pt>
                <c:pt idx="3">
                  <c:v>2.01</c:v>
                </c:pt>
                <c:pt idx="4">
                  <c:v>1.42</c:v>
                </c:pt>
                <c:pt idx="5">
                  <c:v>1.07</c:v>
                </c:pt>
                <c:pt idx="6">
                  <c:v>1.69</c:v>
                </c:pt>
                <c:pt idx="7">
                  <c:v>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(1,62 – 3,56)</c:v>
                </c:pt>
                <c:pt idx="1">
                  <c:v>Precio objetivo de los analistas (2,80 – 3,95)</c:v>
                </c:pt>
                <c:pt idx="2">
                  <c:v>Comparables: PER NTM (1,00 – 1,89)</c:v>
                </c:pt>
                <c:pt idx="3">
                  <c:v>Transacciones precedentes (EV/EBITDA) (2,01 – 2,87)</c:v>
                </c:pt>
                <c:pt idx="4">
                  <c:v>DCF (WACC y g ± 0,5) (1,42 – 1,68)</c:v>
                </c:pt>
                <c:pt idx="5">
                  <c:v>Escenarios (bajista – alcista) (1,07 – 1,86)</c:v>
                </c:pt>
                <c:pt idx="6">
                  <c:v>DCF con la prima implícita del mercado (4,2 %)</c:v>
                </c:pt>
                <c:pt idx="7">
                  <c:v>Precio actual (2,92)</c:v>
                </c:pt>
              </c:strCache>
            </c:strRef>
          </c:cat>
          <c:val>
            <c:numRef>
              <c:f>Hoja1!$C$2:$C$9</c:f>
              <c:numCache>
                <c:formatCode>#,##0.00</c:formatCode>
                <c:ptCount val="8"/>
                <c:pt idx="0">
                  <c:v>1.94</c:v>
                </c:pt>
                <c:pt idx="1">
                  <c:v>1.1500000000000004</c:v>
                </c:pt>
                <c:pt idx="2">
                  <c:v>0.8899999999999999</c:v>
                </c:pt>
                <c:pt idx="3">
                  <c:v>0.8600000000000003</c:v>
                </c:pt>
                <c:pt idx="4">
                  <c:v>0.26</c:v>
                </c:pt>
                <c:pt idx="5">
                  <c:v>0.79</c:v>
                </c:pt>
                <c:pt idx="6">
                  <c:v>0.22999999999999998</c:v>
                </c:pt>
                <c:pt idx="7">
                  <c:v>0.03000000000000025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