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Dixon Technologies (India) Ltd</w:t>
      </w:r>
    </w:p>
    <w:p>
      <w:pPr>
        <w:spacing w:after="60"/>
        <w:rPr>
          <w:color w:val="52514E"/>
          <w:sz w:val="22"/>
          <w:szCs w:val="22"/>
        </w:rPr>
      </w:pPr>
      <w:r>
        <w:rPr>
          <w:color w:val="52514E"/>
          <w:sz w:val="22"/>
          <w:szCs w:val="22"/>
        </w:rPr>
        <w:t xml:space="preserve">DIXON · National Stock Exchange of India (NSE) y BSE · ISIN INE935N01020 · Consumer Discretionary</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INR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12.100,00 INR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14.854,14 INR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+22,8 % (base +29,1 %)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3.640,23 INR · mercado 4.217,23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747.054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26,4x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Dixon Technologies (India) Ltd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DIXON / INE935N01020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National Stock Exchange of India (NSE) y BSE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Nifty 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Consumer Discretionary / Household Durables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Noida (Uttar Pradesh) · 1993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https://www.dixoninfo.com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12.100,00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9.600,00 – 16.999,00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747.054 M INR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784.141 M INR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4.611 M INR/día (3 meses; 332.976 acciones)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14.854,14 INR</w:t>
      </w:r>
      <w:r>
        <w:t xml:space="preserve"> frente a 12.100,00 · Rentabilidad a 12 meses </w:t>
      </w:r>
      <w:r>
        <w:rPr>
          <w:b/>
          <w:bCs/>
        </w:rPr>
        <w:t xml:space="preserve">+22,8 % (base +29,1 %)</w:t>
      </w:r>
      <w:r>
        <w:t xml:space="preserve"> · Valor intrínseco 3.640,23 INR · con la prima implícita del mercado: 4.217,23 (-65,1 %) · Alcista / bajista -67,5 % / -92,8 %</w:t>
      </w:r>
    </w:p>
    <w:p>
      <w:pPr>
        <w:spacing w:after="100"/>
      </w:pPr>
      <w:r>
        <w:rPr>
          <w:b/>
        </w:rPr>
        <w:t xml:space="preserve">La recomendación y por qué.</w:t>
      </w:r>
      <w:r>
        <w:t xml:space="preserve"> Mantener (no comprar), con convicción media. Con la regla común del PER, el objetivo a 12 meses es de 14.854 INR: +22,9 % con dividendo (+29,1 % en el caso base), frente a un precio de 12.100 INR (cierre del 19-oct-2026 en la NSE) [28]. Pero el valor real del negocio (3.640 INR) está un 70 % por debajo del precio, y la regla solo compra si el valor real cubre el precio. La rentabilidad a 12 meses sale de suponer que el mercado sigue pagando 71,5 veces el beneficio; con un BPA un 10 % menor la ponderada baja a ≈ 10,5 %. Es una apuesta de múltiplo, no de valor. La convicción es media porque el negocio es bueno (ROIC del 26 %) y la historia de la acción siempre ha pagado múltiplos altos; la subiría un precio muy inferior o un margen que vuelva al 4 % con los componentes, y la bajaría un 2T FY27 con menos de 9 M de móviles o un retraso de Vivo.</w:t>
      </w:r>
    </w:p>
    <w:p>
      <w:pPr>
        <w:spacing w:after="100"/>
      </w:pPr>
      <w:r>
        <w:rPr>
          <w:b/>
        </w:rPr>
        <w:t xml:space="preserve">Qué ha pasado con la acción.</w:t>
      </w:r>
      <w:r>
        <w:t xml:space="preserve"> Del máximo de 16.999 INR (20-oct-2025) a 12.100: −29,6 % [28]. El beneficio dejó de crecer al 50-60 %: los móviles baratos se frenaron por la memoria (volumen plano en FY2027), el incentivo PLI de móviles terminó en marzo de 2026 y el margen operativo bajó al 3,0 % en el 1T FY27 [5, 13]. Las subidas vinieron de noticias de JV: HKC (pantallas), Vivo y Gemtek [20, 21, 38].</w:t>
      </w:r>
    </w:p>
    <w:p>
      <w:pPr>
        <w:spacing w:after="100"/>
      </w:pPr>
      <w:r>
        <w:rPr>
          <w:b/>
        </w:rPr>
        <w:t xml:space="preserve">El negocio.</w:t>
      </w:r>
      <w:r>
        <w:t xml:space="preserve"> Dixon monta electrónica por encargo en India: smartphones para Motorola, Transsion, Xiaomi, Oppo, Google y, desde 2026, Vivo; además televisores, lavadoras y portátiles [1]. Los móviles son el 91 % de las ventas (488.728 M INR en FY2026) [10]. Gana poco por unidad (margen EBITDA del 3-4 %), pero casi no necesita capital, porque los proveedores financian el circulante. </w:t>
      </w:r>
      <w:r>
        <w:rPr>
          <w:b/>
        </w:rPr>
        <w:t xml:space="preserve">Calidad: Sí</w:t>
      </w:r>
      <w:r>
        <w:t xml:space="preserve">: ROIC del 26,0 % frente a un WACC del 14,04 % (12 puntos) y crecimiento sostenible (</w:t>
      </w:r>
      <w:r>
        <w:rPr>
          <w:b/>
        </w:rPr>
        <w:t xml:space="preserve">sí</w:t>
      </w:r>
      <w:r>
        <w:t xml:space="preserve">): proyectamos un 14,9 % anual frente al 46 % de FY2022-FY2026.</w:t>
      </w:r>
    </w:p>
    <w:p>
      <w:pPr>
        <w:spacing w:after="100"/>
      </w:pPr>
      <w:r>
        <w:rPr>
          <w:b/>
        </w:rPr>
        <w:t xml:space="preserve">Finanzas.</w:t>
      </w:r>
      <w:r>
        <w:t xml:space="preserve"> Ventas +26 % en FY2026 y beneficio ajustado tras minoritarios de 8.450 M (+20 %); el publicado (14.386 M) lleva 6.708 M de plusvalía de Aditya Infotech [1, 10]. Caja neta de 2.260 M a junio [9]. El auditor destaca una cuenta a cobrar del PLI de 11.100 M pendiente del Gobierno [1].</w:t>
      </w:r>
    </w:p>
    <w:p>
      <w:pPr>
        <w:spacing w:after="100"/>
      </w:pPr>
      <w:r>
        <w:rPr>
          <w:b/>
        </w:rPr>
        <w:t xml:space="preserve">Equipo y gobierno.</w:t>
      </w:r>
      <w:r>
        <w:t xml:space="preserve"> El fundador, Sunil Vachani, preside; Atul B. Lall dirige desde hace más de 25 años, y la junta acaba de reelegirlos hasta 2032 [25]. La familia tiene el 28,5 % (35 % con Kamla Vachani) [24]. El consejero delegado cobró 818,9 M INR en FY2026, casi todo en opciones [1].</w:t>
      </w:r>
    </w:p>
    <w:p>
      <w:pPr>
        <w:spacing w:after="100"/>
      </w:pPr>
      <w:r>
        <w:rPr>
          <w:b/>
        </w:rPr>
        <w:t xml:space="preserve">Valoración.</w:t>
      </w:r>
      <w:r>
        <w:t xml:space="preserve"> El DCF da 2.358 INR con el bono indio al 7,06 % [30]: el precio exige un margen EBITDA del 10 % para siempre (base 3,7 %). Los comparables indios y mundiales dan 7.500-8.700 INR. A 12 meses: PER de 71,5x (actual 67,8x, mediana histórica 75,3x) sobre un BPA de FY2029e de 218 INR, un 38 % por debajo del consenso (355) [29].</w:t>
      </w:r>
    </w:p>
    <w:p>
      <w:pPr>
        <w:spacing w:after="100"/>
      </w:pPr>
      <w:r>
        <w:rPr>
          <w:b/>
        </w:rPr>
        <w:t xml:space="preserve">Riesgos y catalizadores.</w:t>
      </w:r>
      <w:r>
        <w:t xml:space="preserve"> Los principales: la dependencia de cinco marcas (perder una costaría un 15-20 % del BPA), la política industrial (el PLI era el 17 % del EBITDA) y el múltiplo (volver al mínimo de 47x es −40 %). </w:t>
      </w:r>
      <w:r>
        <w:rPr>
          <w:b/>
        </w:rPr>
        <w:t xml:space="preserve">Riesgo de IA: bajo</w:t>
      </w:r>
      <w:r>
        <w:t xml:space="preserve">, ligeramente positivo: monta hardware físico y la JV con Gemtek apunta a centros de datos. Catalizadores: 2T FY27 (sin fecha), arranque de Vivo y nuevo PLI de móviles. Veredicto de precio y noticias: no cambia.</w:t>
      </w:r>
    </w:p>
    <w:p>
      <w:pPr>
        <w:spacing w:after="100"/>
      </w:pPr>
      <w:r>
        <w:rPr>
          <w:b/>
        </w:rPr>
        <w:t xml:space="preserve">Qué cambiaría la decisión.</w:t>
      </w:r>
      <w:r>
        <w:t xml:space="preserve"> Compraríamos solo por debajo del valor real (3.640 INR). Venderíamos por encima de 16.516 INR. Un margen operativo que vuelva al 4 % con los componentes o un nuevo PLI de móviles subirían el valor real; aun así, haría falta un precio muy inferior.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14.854,14 INR</w:t>
      </w:r>
      <w:r>
        <w:t xml:space="preserve"> (rentabilidad +22,8 % (base +29,1 %)) · Valor intrínseco: 3.640,23 INR (-69,9 % sobre 12.100,00) · con la prima implícita del mercado: 4.217,23 (-65,1 %)</w:t>
      </w:r>
    </w:p>
    <w:p>
      <w:pPr>
        <w:spacing w:after="100"/>
      </w:pPr>
      <w:r>
        <w:t xml:space="preserve">Dixon es el mayor ensamblador de electrónica por encargo de India fuera de Apple, con un ROIC del 26 % que sale de rotar el capital, no del margen (3-4 % de EBITDA) [1, 10].</w:t>
      </w:r>
    </w:p>
    <w:p>
      <w:pPr>
        <w:spacing w:after="100"/>
      </w:pPr>
      <w:r>
        <w:t xml:space="preserve">Ha crecido al 46 % anual con los incentivos del PLI de móviles, que terminaron en marzo de 2026, y ahora depende de Vivo, de los componentes y de un nuevo plan del Gobierno. A 67,8 veces nuestro BPA de FY2028e, el precio paga un margen de fabricante de componentes (10 %) que Dixon no tiene.</w:t>
      </w:r>
    </w:p>
    <w:p>
      <w:pPr>
        <w:spacing w:after="100"/>
      </w:pPr>
      <w:r>
        <w:t xml:space="preserve">La regla del PER da un +22,9 % a 12 meses si el mercado mantiene el múltiplo de su historia; el valor de los flujos es un 70 % menor. Mantener: buena empresa, precio de otra empresa.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14.854,14 INR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46,7x × 154,29 = 7.205,34 · 71,5x × 218,41 = 15.616,32 · 75,3x × 278,60 = 20.978,58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 / 29,1 %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14.876,59 (nuestro base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3.640,23 INR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-67,5 % / -92,8 %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 frente a 14,0 % y 12,6 %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12,6 %)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4.217,23 INR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(14,9 % anual proyectado; financiable al ROIC actual: 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3.640,23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3.640,23 y 16.515,71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16.515,71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3.640 INR (valor real): pasaríamos a Comprar si la regla a 12 meses también lo pide.</w:t>
      </w:r>
    </w:p>
    <w:p>
      <w:pPr>
        <w:pStyle w:val="ListParagraph"/>
        <w:numPr>
          <w:ilvl w:val="0"/>
          <w:numId w:val="2"/>
        </w:numPr>
        <w:spacing w:after="60"/>
      </w:pPr>
      <w:r>
        <w:t xml:space="preserve">Precio por encima de 16.516 INR: pasaríamos a Vender.</w:t>
      </w:r>
    </w:p>
    <w:p>
      <w:pPr>
        <w:pStyle w:val="ListParagraph"/>
        <w:numPr>
          <w:ilvl w:val="0"/>
          <w:numId w:val="2"/>
        </w:numPr>
        <w:spacing w:after="60"/>
      </w:pPr>
      <w:r>
        <w:t xml:space="preserve">Margen operativo por encima del 4,5 % durante dos trimestres sin PLI: subiríamos el margen de la proyección.</w:t>
      </w:r>
    </w:p>
    <w:p>
      <w:pPr>
        <w:pStyle w:val="ListParagraph"/>
        <w:numPr>
          <w:ilvl w:val="0"/>
          <w:numId w:val="2"/>
        </w:numPr>
        <w:spacing w:after="60"/>
      </w:pPr>
      <w:r>
        <w:t xml:space="preserve">Pérdida de un cliente grande o retraso de Vivo más allá de 2027: bajaríamos el base al bajista.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Dixon seguirá creciendo como una empresa de crecimiento (consenso de BPA de FY2029e de 355 INR, +37 % anual) y que los componentes y Vivo llevarán el margen hacia el de sus pares indios.</w:t>
      </w:r>
    </w:p>
    <w:p>
      <w:pPr>
        <w:keepNext/>
        <w:spacing w:after="100"/>
      </w:pPr>
      <w:r>
        <w:rPr>
          <w:b/>
          <w:bCs/>
        </w:rPr>
        <w:t xml:space="preserve">Lo que creemos nosotros.</w:t>
      </w:r>
    </w:p>
    <w:p>
      <w:pPr>
        <w:spacing w:after="100"/>
      </w:pPr>
      <w:r>
        <w:t xml:space="preserve">El crecimiento sigue, pero más lento (BPA de FY2029e de 218 INR) y con más beneficio para los socios de las JV (26 %); el margen se queda en el 3,6-3,7 % porque el ensamblaje de móviles deja eso en todo el mundo.</w:t>
      </w:r>
    </w:p>
    <w:p>
      <w:pPr>
        <w:keepNext/>
        <w:spacing w:after="100"/>
      </w:pPr>
      <w:r>
        <w:rPr>
          <w:b/>
          <w:bCs/>
        </w:rPr>
        <w:t xml:space="preserve">Por qué podemos tener razón.</w:t>
      </w:r>
    </w:p>
    <w:p>
      <w:pPr>
        <w:spacing w:after="100"/>
      </w:pPr>
      <w:r>
        <w:t xml:space="preserve">Sin el PLI el margen operativo ya bajó al 3,0 % en el 1T FY27; el volumen de móviles sin Vivo es plano en FY2027 y Vivo se lleva el 49 % de su JV [5, 13].</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INR) · precio actual 12.1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8.736,31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2.379,54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ROIC alto</w:t>
      </w:r>
      <w:r>
        <w:t xml:space="preserve">: 26 % en FY2026 y ROCE del 45 % antes de impuestos, con circulante negativo [1, 10].</w:t>
      </w:r>
    </w:p>
    <w:p>
      <w:pPr>
        <w:pStyle w:val="ListParagraph"/>
        <w:numPr>
          <w:ilvl w:val="0"/>
          <w:numId w:val="2"/>
        </w:numPr>
        <w:spacing w:after="60"/>
      </w:pPr>
      <w:r>
        <w:rPr>
          <w:b/>
        </w:rPr>
        <w:t xml:space="preserve">Escala y aprobaciones</w:t>
      </w:r>
      <w:r>
        <w:t xml:space="preserve">: JV aprobadas con Vivo y HKC, difíciles de replicar [20, 38].</w:t>
      </w:r>
    </w:p>
    <w:p>
      <w:pPr>
        <w:pStyle w:val="ListParagraph"/>
        <w:numPr>
          <w:ilvl w:val="0"/>
          <w:numId w:val="2"/>
        </w:numPr>
        <w:spacing w:after="60"/>
      </w:pPr>
      <w:r>
        <w:rPr>
          <w:b/>
        </w:rPr>
        <w:t xml:space="preserve">Mercado en expansión</w:t>
      </w:r>
      <w:r>
        <w:t xml:space="preserve">: EMS indio de 45.000 a más de 150.000 M USD en FY2030 [17].</w:t>
      </w:r>
    </w:p>
    <w:p>
      <w:pPr>
        <w:pStyle w:val="ListParagraph"/>
        <w:numPr>
          <w:ilvl w:val="0"/>
          <w:numId w:val="2"/>
        </w:numPr>
        <w:spacing w:after="60"/>
      </w:pPr>
      <w:r>
        <w:rPr>
          <w:b/>
        </w:rPr>
        <w:t xml:space="preserve">Balance limpio</w:t>
      </w:r>
      <w:r>
        <w:t xml:space="preserve">: caja neta y rating AA [9, 16].</w:t>
      </w:r>
    </w:p>
    <w:p>
      <w:pPr>
        <w:pStyle w:val="Heading2"/>
      </w:pPr>
      <w:r>
        <w:t xml:space="preserve">En contra</w:t>
      </w:r>
    </w:p>
    <w:p>
      <w:pPr>
        <w:pStyle w:val="ListParagraph"/>
        <w:numPr>
          <w:ilvl w:val="0"/>
          <w:numId w:val="2"/>
        </w:numPr>
        <w:spacing w:after="60"/>
      </w:pPr>
      <w:r>
        <w:rPr>
          <w:b/>
        </w:rPr>
        <w:t xml:space="preserve">Precio</w:t>
      </w:r>
      <w:r>
        <w:t xml:space="preserve">: 67,8 veces el BPA de FY2028e y valor real de 3.640 INR.</w:t>
      </w:r>
    </w:p>
    <w:p>
      <w:pPr>
        <w:pStyle w:val="ListParagraph"/>
        <w:numPr>
          <w:ilvl w:val="0"/>
          <w:numId w:val="2"/>
        </w:numPr>
        <w:spacing w:after="60"/>
      </w:pPr>
      <w:r>
        <w:rPr>
          <w:b/>
        </w:rPr>
        <w:t xml:space="preserve">Fin del PLI</w:t>
      </w:r>
      <w:r>
        <w:t xml:space="preserve">: era el 17 % del EBITDA de FY2026 [1].</w:t>
      </w:r>
    </w:p>
    <w:p>
      <w:pPr>
        <w:pStyle w:val="ListParagraph"/>
        <w:numPr>
          <w:ilvl w:val="0"/>
          <w:numId w:val="2"/>
        </w:numPr>
        <w:spacing w:after="60"/>
      </w:pPr>
      <w:r>
        <w:rPr>
          <w:b/>
        </w:rPr>
        <w:t xml:space="preserve">Clientes</w:t>
      </w:r>
      <w:r>
        <w:t xml:space="preserve">: cinco marcas hacen casi todo el volumen [1].</w:t>
      </w:r>
    </w:p>
    <w:p>
      <w:pPr>
        <w:pStyle w:val="ListParagraph"/>
        <w:numPr>
          <w:ilvl w:val="0"/>
          <w:numId w:val="2"/>
        </w:numPr>
        <w:spacing w:after="60"/>
      </w:pPr>
      <w:r>
        <w:rPr>
          <w:b/>
        </w:rPr>
        <w:t xml:space="preserve">Minoritarios crecientes</w:t>
      </w:r>
      <w:r>
        <w:t xml:space="preserve">: 19,5 % del beneficio, 26 % con Vivo [10].</w:t>
      </w:r>
    </w:p>
    <w:p>
      <w:pPr>
        <w:pStyle w:val="Heading2"/>
      </w:pPr>
      <w:r>
        <w:t xml:space="preserve">Qué tiene que pasar para que la tesis funcione</w:t>
      </w:r>
    </w:p>
    <w:p>
      <w:pPr>
        <w:spacing w:after="100"/>
      </w:pPr>
      <w:r>
        <w:t xml:space="preserve">El margen operativo y el volumen de móviles. La señal de que la tesis de valor mejora: un margen operativo de vuelta al 3,8-4 % con los componentes o un nuevo PLI; la de que el múltiplo cae: volúmenes del 2T FY27 por debajo de 9 M y recortes del consenso.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(1T FY27)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efecto del fin del PLI y de la memoria.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smartphones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M (1T FY27)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 M en el 2T FY27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 las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Vivo (Adivistar)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ventas aún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aportación de la fábrica en el 4T FY27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cuarta parte de las ventas de FY2028e.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Cuenta a cobrar del PLI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11.100 M (mar-26)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Deterioro o devolución</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Párrafo de énfasis del auditor.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Beneficio de minoritarios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Reduce el BPA del accionista.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42,4x / 26,4x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89,1x / 51,1x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 · 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Dixon nació en 1993 en Noida, fundada por Sunil Vachani, para montar televisores en color por encargo [3]. Durante veinte años fabricó para marcas televisores, lavadoras, iluminación LED y decodificadores, siempre con márgenes estrechos y con una estrategia de «fabricante de diseño propio» (ODM) en algunas líneas [3]. Salió a bolsa en la NSE y la BSE en septiembre de 2017. El giro llegó con el plan de incentivos a la producción (PLI) de móviles de 2020: Padget Electronics, su filial, se convirtió en uno de los grandes ensambladores de smartphones de India para Motorola, Xiaomi, Transsion (a través de Ismartu), Oppo (a través de la JV con Longcheer) y Google [1, 3]. Las ventas se multiplicaron por siete entre FY2021 y FY2026. Desde 2025 busca subir en la cadena de valor con componentes (pantallas con HKC, cámaras con Q Tech, ópticos con Gemtek) y con JV con marcas chinas, que necesitan autorización del Gobierno (Press Note 3) [1, 20,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por Sunil Vachani en Noida (televisores)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NSE y la BSE (septiembre)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Aprobado en el PLI de móviles con Padget Electronics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por encima de 120.000 M INR; móviles ya mayoría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50,1 % de Ismartu (Transsion); JV con Longcheer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51 % de Q Tech; salida a bolsa de Aditya Infotech (participada); iluminación a la JV con Signify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Aprobaciones PN3 para HKC (marzo) y Vivo (julio); JV Adivistar con Vivo (agosto); JV con Gemtek (octubre) [1, 20, 21].</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Dixon es el mayor fabricante de electrónica por encargo de India. Monta para marcas, en fábricas propias de Noida, Tirupati, Chennai y Dehradun, smartphones y teléfonos básicos (Motorola, Transsion, Xiaomi, Oppo, Google, Vivo desde 2026), portátiles, televisores LED, lavadoras y frigoríficos, y cada vez más componentes (placas, módulos de cámara, pantallas) [1, 10]. En FY2026 los móviles y la electrónica para terceros (EMS) fueron el 91 % de las ventas, la electrónica de consumo el 6 % y los electrodomésticos el 3 % [10]. El 89 % se vende en India; el 11 % se exporta [1]. Los clientes son marcas que diseñan el producto y le compran el montaje con los componentes incluidos.</w:t>
      </w:r>
    </w:p>
    <w:p>
      <w:pPr>
        <w:pStyle w:val="Heading2"/>
      </w:pPr>
      <w:r>
        <w:t xml:space="preserve">Cómo gana dinero</w:t>
      </w:r>
    </w:p>
    <w:p>
      <w:pPr>
        <w:spacing w:after="100"/>
      </w:pPr>
      <w:r>
        <w:t xml:space="preserve">Cobra por fabricar: el precio incluye el coste de los componentes (que el cliente fija o aprueba) y un margen de montaje pequeño. Por eso el margen EBITDA es del 3-4 % y el margen bruto del 7-8 %, pero el capital que necesita es bajo: las fábricas son de montaje y los proveedores financian las existencias (circulante de −8 días) [1, 10]. El beneficio depende del volumen y de la utilización de las líneas; el incentivo PLI añadía 50-70 puntos básicos al margen de los móviles hasta marzo de 2026 [13]. Casi nada es recurrente por contrato: los clientes renuevan modelo a modelo. Estacionalidad: el 2T (julio-septiembre) es el más fuerte por las fiestas indias (Diwali), y el 4T el más flojo [10].</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Móviles y EMS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442.570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Electrónica de consumo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28.920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Electrodomésticos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(iluminación hasta su traspaso y ajustes)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IN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Móviles y EMS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330.430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442.570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Electrónica de consumo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28.920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Electrodomésticos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(iluminación hasta su traspaso y ajustes)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Pocos clientes grandes. Tres pesan más del 10 % de la cartera a cobrar cada uno [1]; por volumen, Motorola es el mayor, seguido de Transsion (Ismartu), Xiaomi y Oppo/Longcheer; Vivo entra en el 2S FY27 con el 51 % de Dixon [13]. La pérdida o la caída de un cliente mueve las ventas (Motorola bajó sus volúmenes domésticos en FY2026) [13]. Poder de precios: bajo; el cliente negocia el margen de montaje y se lleva parte del PLI (por eso hay 6.040 M a devolver a un cliente) [1]. Lo que retiene al cliente es la escala, la homologación y la capacidad de cumplir las normas de inversión china en India, no el precio.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smartphones (millones de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32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(1T FY27); FY2027 plano en ≈ 32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Plano; guía previa de 40-42 M</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Vivo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 (1T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(1T FY27)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PLI de móviles y memoria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de Móviles y EMS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(1T FY27)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ROCE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de impuestos, definición de la empresa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(días)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días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Exportaciones (millones de INR)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54.200 (FY2026, 11,1 %)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11.000 (1T FY27)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fabricación de electrónica por encargo (EMS) en India, sobre todo móviles, que es lo que hace Dixon. KPMG lo cifra en 40-45 mil M USD en FY2025 y en más de 150 mil M en FY2030, con un crecimiento de más del 25 % anual [1, 17]; Kotak recoge la misma serie (10-12 mil M USD en FY2020) [18]. La producción total de electrónica en India fue de 11,3 lakh crore INR en FY2025, con un objetivo oficial de 27,7 lakh crore en FY2028 [1]. Usamos el EMS de KPMG como mercado final, con un crecimiento del 25 % que tomamos como techo.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45.000 M USD (EMS en India, FY2025) [17]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Política industrial: PLI, PLI 2.0 de componentes y aranceles a la importación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PLI de móviles terminó en marzo de 2026 (−50-70 pb de margen); se discute un plan de móviles de 62.500 crore [1,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+ 1»: marcas que trasladan montaje a India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móviles pasaron del puesto 153 al primer producto de exportación de India en diez años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 memoria (DRAM/NAND)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Encarece los móviles baratos; volumen de Dixon plano en FY2027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Externalización de las marcas chinas por la Press Note 3</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JV aprobadas con HKC (marzo de 2026) y Vivo (julio de 2026) [1,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Consumo indio de electrónica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electrónica de 185 mil M USD en FY2025 y 415 mil M en FY2030 según KPMG [1, 17].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Foxconn, Tata Electronics y Pegatron (Apple), Bhagwati (Micromax) que crece con Longcheer, y las propias marcas (Samsung, Vivo antes de la JV)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marcas concentran casi todo el volumen y se quedan parte del incentivo PLI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Memoria, chips y pantallas importados; la subida de la memoria en 2026 frenó los volúmenes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escala y la homologación protegen, pero el capital necesario es bajo.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alternativa es que la marca monte ella misma (Samsung, Vivo antes de 2026).</w:t>
            </w:r>
          </w:p>
        </w:tc>
      </w:tr>
    </w:tbl>
    <w:p>
      <w:pPr>
        <w:spacing w:after="160" w:before="0"/>
      </w:pPr>
    </w:p>
    <w:p>
      <w:pPr>
        <w:pStyle w:val="Heading2"/>
      </w:pPr>
      <w:r>
        <w:t xml:space="preserve">Ciclo</w:t>
      </w:r>
    </w:p>
    <w:p>
      <w:pPr>
        <w:spacing w:after="100"/>
      </w:pPr>
      <w:r>
        <w:t xml:space="preserve">El mercado sigue creciendo más del 20 % al año, pero el ciclo del móvil barato está en pausa por la memoria: los volúmenes de Dixon serán planos en FY2027 [13]. En la pandemia (FY2021) las ventas de Dixon crecieron un 46 % [4 de la nota A]. Indicadores: producción de móviles en India, precio de la DRAM y aprobaciones PN3.</w:t>
      </w:r>
    </w:p>
    <w:p>
      <w:pPr>
        <w:pStyle w:val="Heading2"/>
      </w:pPr>
      <w:r>
        <w:t xml:space="preserve">Regulación</w:t>
      </w:r>
    </w:p>
    <w:p>
      <w:pPr>
        <w:spacing w:after="100"/>
      </w:pPr>
      <w:r>
        <w:t xml:space="preserve">Muy dependiente del Gobierno. (1) PLI de móviles (2020-2026) terminado; PLI 2.0 de componentes (ECMS) con aprobaciones a Dixon para cámaras y pantallas [1]. (2) Press Note 3 (2020): toda inversión de países con frontera terrestre (China) necesita autorización; Dixon la obtuvo para HKC y Vivo [20]. Desde el 1-jul-2026 China también exige aprobación a sus empresas que invierten fuera, lo que podría retrasar la JV con Vivo. (3) Aranceles a la importación de móviles y componentes.</w:t>
      </w:r>
    </w:p>
    <w:p>
      <w:pPr>
        <w:pStyle w:val="Heading2"/>
      </w:pPr>
      <w:r>
        <w:t xml:space="preserve">Tendencias y disrupción</w:t>
      </w:r>
    </w:p>
    <w:p>
      <w:pPr>
        <w:spacing w:after="100"/>
      </w:pPr>
      <w:r>
        <w:t xml:space="preserve">Tres. (1) Integración hacia componentes (pantallas, cámaras, baterías) para capturar más margen y el PLI 2.0 [1]. (2) Las marcas chinas ceden fábricas a socios indios para cumplir las normas y el Gobierno lo empuja [20]. (3) Diversificación hacia telecomunicaciones, servidores y ópticos (Gemtek) [21]. La inteligencia artificial entra en la planta (inspección visual, mantenimiento) y en la demanda (servidores y equipos ópticos para centros de datos), no en el producto que hoy monta Dixon.</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fabricante por encargo de India que no trabaja para Apple; estimación propia del 11 % del mercado EMS indio de FY2025 (ventas de 388.601 M INR ≈ 4.600 M USD frente a 40-45 mil M) [2, nota A]. Líder en televisores y lavadoras semiautomáticas por encargo y segundo exportador de móviles no Apple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Kaynes Technology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KAYNES.NS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38.989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EMS industrial y de automoción, más margen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Amber Enterprises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AMBER.NS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Aire acondicionado y electrónica por encargo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Syrma SGS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SYRMA.NS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EMS diversificado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PG Electroplast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PGEL.NS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Electrodomésticos por encargo; competidor en lavadoras y aire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Hon Hai (Foxconn)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Taiwán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2317.TW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27.196.697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del mundo; monta iPhone en India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Jabil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JBL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3.412.574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 Singapur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FLEX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2.777.877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Bhagwati Products (Micromax)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cotiza; crece con volúmenes de Longcheer.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 fabricante por encargo.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Homologación de líneas y JV con la marca (Vivo, Longcheer) que atan al cliente unos años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Aprobaciones PN3 y del PLI 2.0, difíciles de conseguir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el mayor volumen no Apple de India; circulante negativo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sitio para varios grandes y el capital necesario es bajo.</w:t>
            </w:r>
          </w:p>
        </w:tc>
      </w:tr>
    </w:tbl>
    <w:p>
      <w:pPr>
        <w:spacing w:after="160" w:before="0"/>
      </w:pPr>
    </w:p>
    <w:p>
      <w:pPr>
        <w:pStyle w:val="Heading2"/>
      </w:pPr>
      <w:r>
        <w:t xml:space="preserve">Amenazas</w:t>
      </w:r>
    </w:p>
    <w:p>
      <w:pPr>
        <w:spacing w:after="100"/>
      </w:pPr>
      <w:r>
        <w:t xml:space="preserve">Lo más probable es la presión de margen: los clientes negocian cada modelo y reparten el volumen entre varios montadores (Longcheer da volumen también a Bhagwati) [13]. Segundo, que las marcas reduzcan producción en India por la memoria o la demanda (volumen plano en FY2027) [13]. Tercero, que el Gobierno o China frenen las JV (la de Vivo necesitó un año de trámites) [1]. Foxconn y Tata compiten por clientes no Apple con más capital.</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388.601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488.728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FY2022-FY2026: ingresos </w:t>
      </w:r>
      <w:r>
        <w:rPr>
          <w:b/>
          <w:bCs/>
        </w:rPr>
        <w:t xml:space="preserve">46,2 %</w:t>
      </w:r>
      <w:r>
        <w:t xml:space="preserve">, EBITDA </w:t>
      </w:r>
      <w:r>
        <w:rPr>
          <w:b/>
          <w:bCs/>
        </w:rPr>
        <w:t xml:space="preserve">49,0 %</w:t>
      </w:r>
      <w:r>
        <w:t xml:space="preserve">, BPA </w:t>
      </w:r>
      <w:r>
        <w:rPr>
          <w:b/>
          <w:bCs/>
        </w:rPr>
        <w:t xml:space="preserve">64,8 %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IN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106.971 M INR en FY2022 a 488.728 M en FY2026: un 46 % anual, casi todo por los móviles para terceros (Motorola, Transsion a través de Ismartu, Xiaomi, Oppo a través de Longcheer y Google), que en FY2026 fueron 442.570 M, el 91 % del total [1, 10]. Es crecimiento de volumen con el coste de los componentes dentro de la factura: el margen EBITDA operativo es del 3,5-4,2 % y no sube (4,2 % en FY2023, 3,9 % en FY2024 y FY2025, 3,8 % en FY2026) [1, 2, 3]. Dentro de los ingresos están los incentivos PLI (3.140 M en FY2026 y 2.563 M en FY2025), es decir, alrededor del 17 % del EBITDA [1]. El PLI de móviles terminó en marzo de 2026 y la empresa cifra su impacto en 50-70 puntos básicos de margen [14]. En el 1T FY27 los ingresos crecieron un 21 % (155.477 M), pero el margen operativo bajó al 3,0 % (3,8 % un año antes) por el fin del PLI y el encarecimiento de la memoria [9, 13]. El beneficio publicado de FY2025 y FY2026 está inflado por la revalorización de la participación en Aditya Infotech; ajustado y tras minoritarios fue de 7.060 M (FY2025) y 8.450 M (FY2026) [10].</w:t>
      </w:r>
    </w:p>
    <w:p>
      <w:pPr>
        <w:pStyle w:val="Heading2"/>
      </w:pPr>
      <w:r>
        <w:t xml:space="preserve">Ajustes y partidas no recurrentes</w:t>
      </w:r>
    </w:p>
    <w:p>
      <w:pPr>
        <w:spacing w:after="100"/>
      </w:pPr>
      <w:r>
        <w:t xml:space="preserve">Cifras publicadas Ind AS, sin ajustes en la cuenta. Tres matices. (1) No recurrente: la plusvalía a valor razonable de las acciones de Aditya Infotech (4.599,8 M en FY2025 como partida excepcional; 6.707,5 M en FY2026 y 5.190 M en el 1T FY27 dentro de «otros ingresos») y 218,8 M de plusvalía por el traspaso de la iluminación en FY2026 [1, 2, 5]. Sin ellas, el beneficio tras minoritarios fue de 7.060 M en FY2025 y 8.450 M en FY2026 (cifra «ajustada» de la empresa) [10]. (2) BPA: el diluido publicado (202,58 y 269,35 INR) divide el beneficio antes de minoritarios; aquí se usa el atribuido a los dueños (180,06 y 235,68 INR), y en la valoración el ajustado (116,0 y 138,4 INR). (3) Los «otros incentivos» (PLI) van dentro de los ingresos de explotación: 3.140 M en FY2026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 FY27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155.477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31-jul-2026 (1T FY27) la dirección dio un objetivo de ingresos de FY2027 de unos 560.000 M INR sin Vivo, con un volumen de móviles plano en ≈ 32 M de unidades (7,5 M en el 1T y 9-9,2 M esperados en el 2T), frente a los 40-42 M que llegó a anunciar para FY2026 [13]. Explicó que la memoria (DRAM y NAND) ha encarecido los móviles baratos, que son su mercado, y que las marcas fabrican menos [13, 14]. Sobre el margen, dijo que FY2027 no mejorará y que la mejora vendrá en FY2028 con los componentes (pantallas con HKC, cámaras con Q Tech) [13]. La JV con Vivo (51 % Dixon) añadiría 20-22 M de unidades al año, unos 300.000 M INR de ingresos a pleno ritmo, a partir del 2S FY27 [13]. Lo que se preguntó y no se aclaró del todo: si hace falta además la aprobación china para la JV, cuánto margen deja Vivo a Dixon y cuándo se cobra el PLI pendiente de Padget [6, 13]. El 1T dejó un beneficio ajustado tras minoritarios de 2.180 M (−3 %), con un margen operativo del 3,0 % [9].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42.772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46.794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30.102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191.616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(FY2025: Compra del 50,1 % de Ismartu India (fabricante de los móviles de Transsion: itel, Tecno, Infinix) y venta de la JV de seguridad a Aditya Infotech a cambio de acciones de esta [2].; FY2026: Compra del 51 % de Q Tech India (módulos de cámara; fondo de comercio de 5.230 M) y traspaso del negocio de iluminación a la JV Lightanium con Signify; Dixtel (74 % con Longcheer) empieza a operar [1, 10].; FY2027: JV Adivistar con Vivo India (51 % Dixon), constituida el 13-ago-2026 y con la primera aportación el 21-sep-2026; aún sin ventas en el 1T FY27 [9, 13].).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de caja neta y muy apalancado en proveedores. Con unas ventas de 488.728 M, el circulante comercial (existencias 38.365 M + clientes 65.299 M − proveedores 107.222 M) es negativo, −3.558 M a marzo de 2026 [1]. Por eso un ROCE del 45 % convive con un margen operativo del 3,8 % [10]. El riesgo del balance es la cuenta a cobrar del PLI (11.100 M, el 24 % del patrimonio atribuido) y la concentración: tres clientes suman cada uno más del 10 % de la cartera de clientes [1]. A 30-jun-2026 la caja neta bajó a 2.260 M por el circulante del 1T (flujo operativo de −3.410 M) [9].</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IN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FY2022-FY2026: FCF </w:t>
      </w:r>
      <w:r>
        <w:rPr>
          <w:b/>
          <w:bCs/>
        </w:rPr>
        <w:t xml:space="preserve">4.383</w:t>
      </w:r>
      <w:r>
        <w:t xml:space="preserve">, conversión </w:t>
      </w:r>
      <w:r>
        <w:rPr>
          <w:b/>
          <w:bCs/>
        </w:rPr>
        <w:t xml:space="preserve">13 %</w:t>
      </w:r>
      <w:r>
        <w:t xml:space="preserve"> del beneficio neto; adquisiciones 7.515, dividendos 1.863, recompras 0.</w:t>
      </w:r>
    </w:p>
    <w:p>
      <w:pPr>
        <w:spacing w:after="100"/>
      </w:pPr>
      <w:r>
        <w:t xml:space="preserve">El flujo operativo pasó de 2.727 M en FY2022 a 17.823 M en FY2026 [1, 4]. El capex creció con las fábricas de móviles: 4.206 M en FY2022 y 10.675 M en FY2026 (2,2 % de las ventas) [1]. El flujo de caja libre (operativo − capex − arrendamientos) fue de 6.288 M en FY2026; la empresa da 7.240 M con su definición [10]. Estimación propia: capex de mantenimiento cercano a la amortización (≈ 0,8 % de las ventas); el resto es ampliación (Noida, Chennai, componentes). En FY2026 la caja también vino de vender acciones de Aditya Infotech (6.583 M) y de las aportaciones de los socios minoritarios; se fue en Q Tech (4.305 M) y dividendos (1.178 M)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 N Dhawan &amp; Co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con párrafo de énfasis (cobro del PLI de Padget, nota 59 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FY2026: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FY2026: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El auditor externo es S N Dhawan &amp; Co LLP, que en la junta de 2023 empezó su segundo mandato de cinco años (el primero arrancó en 2018) para un segundo mandato de cinco años hasta la junta de 2028 [1]. Opinión favorable sobre FY2026 con un párrafo de énfasis: el cobro del incentivo PLI de Padget (11.100 M a cobrar) depende de que el Gobierno acepte la reasignación del techo no usado por otros beneficiarios [1]. Auditoría interna de EY y Deloitte (móviles). Criterios a vigilar: (1) las plusvalías de Aditya Infotech hinchan el beneficio publicado de FY2025, FY2026 y 1T FY27 [1, 5]; (2) el BPA publicado incluye a los minoritarios, que ya se llevan el 19,5 % del beneficio ajustado [10]; (3) los pagos en acciones son altos para un fabricante por encargo (748,6 M de valor de opciones del vicepresidente en FY2026) [1]; (4) las provisiones de clientes son mínimas (95,6 M dotados en FY2026 sobre 65.299 M de cartera)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Cuenta a cobrar del PLI pendiente de reconocimiento del Gobierno (párrafo de énfasis)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11.100 M a cobrar y 6.040 M a devolver al cliente (jun-26); neto ≈ 5.060 M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publicado con plusvalías de una participación cotizada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Aditya Infotech: 4.600 M en FY2025, 6.708 M en FY2026 y 5.190 M en el 1T FY27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publicado antes de minoritarios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ajustado tras minoritarios de FY2026 es 138,4 INR frente a 269,35 publicado [10].</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29.398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45.081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5.800 M en FY2026 (el 7 % del capital invertido medio); ha subido más de un 5 % en 2 de 4 años: compra única grande. ROIC publicado 26,0 %; sin fondo de comercio, 27,9 %.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30,0 % · </w:t>
      </w:r>
      <w:r>
        <w:rPr>
          <w:b/>
          <w:bCs/>
        </w:rPr>
        <w:t xml:space="preserve">WACC</w:t>
      </w:r>
      <w:r>
        <w:t xml:space="preserve">: 14,0 %.</w:t>
      </w:r>
    </w:p>
    <w:p>
      <w:pPr>
        <w:spacing w:after="100"/>
      </w:pPr>
      <w:r>
        <w:t xml:space="preserve">Dixon crea valor con muy poco margen: ROIC del 26,0 % en FY2026 frente a un WACC del 14,04 % (12 puntos) y del 16-33 % en FY2022-FY2026 [1]. Sale de rotar el capital: 488.728 M de ventas sobre 45.081 M de capital invertido (casi 11 veces), porque los proveedores financian las existencias y los clientes [1]. La empresa da un ROCE antes de impuestos del 44,8 % (48,5 % en FY2025) [10]. El ROIC incremental de FY2022-FY2026 es del 30 %. El ROE fue del 37 % en FY2026, inflado por la plusvalía de Aditya. Sin el PLI (3.140 M en FY2026) el ROIC habría sido unos 5 puntos menor; con nuestro FY2029e (EBIT de 25.595 M y ≈ 85.000 M de capital) quedaría en ≈ 22-23 %, aún por encima del coste del capital.</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4.907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caja, bancos e inversiones a corto de 8.050 M INR frente a 5.790 M de deuda financiera (caja neta de 2.260 M, sin arrendamientos) [9]. A 31-mar-2026, 12.414 M de caja frente a 4.675 M de deuda [1]. Rating ICRA AA (Stable) / A1+, confirmado el 6-ene-2026 [16].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ICRA AA (Stable) / A1+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IN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 relevante fuera de la deuda es el incentivo PLI de Padget Electronics (filial de móviles): a 31-mar-2026 hay una cuenta a cobrar del Gobierno de 11.100 M y un pasivo frente al cliente de 7.263 M (6.040 M a 30-jun-2026), porque parte del incentivo se traslada a la marca; la exposición neta es de unos 5.060 M antes de impuestos [1, 5]. El auditor (S N Dhawan &amp; Co LLP) incluye un párrafo de énfasis sobre ese cobro, que depende de que el Gobierno reconozca el exceso sobre el techo de otros beneficiarios (nota 59 a) [1]. Sin pensiones relevantes. Proveedores de 107.222 M a marzo: el negocio se financia con ellos (circulante de −8 días) [1, 10].</w:t>
      </w:r>
    </w:p>
    <w:p>
      <w:pPr>
        <w:pStyle w:val="Heading1"/>
      </w:pPr>
      <w:r>
        <w:t xml:space="preserve">12. Asignación de capital</w:t>
      </w:r>
    </w:p>
    <w:p>
      <w:pPr>
        <w:pStyle w:val="Confianza"/>
        <w:spacing w:after="100"/>
      </w:pPr>
      <w:r>
        <w:t xml:space="preserve">Confianza: Alta</w:t>
      </w:r>
    </w:p>
    <w:p>
      <w:pPr>
        <w:spacing w:after="100"/>
      </w:pPr>
      <w:r>
        <w:t xml:space="preserve">Dividendo pequeño y creciente: 2 INR por acción en FY2022, 3 en FY2023, 5 en FY2024, 8 en FY2025 y 10 en FY2026 (pagado tras la junta de septiembre de 2026), entre el 4 % y el 7 % del beneficio ajustado [1]. Sin recompras. La prioridad es invertir: fábricas, componentes (pantallas, cámaras, baterías) y JV con marcas chinas y taiwanesas para cumplir las normas de inversión china (Press Note 3) [1, 13]. Las opciones sobre acciones diluyen un 0,5-1 % al año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IN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Ismartu India (50,1 %; móviles de Transsion)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Aporta el cliente Transsion y exportaciones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 Tech India (51 %; módulos de cámara)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(428 + 125 cr)</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5.230 M; base de componentes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Adivistar (51 %, JV con Vivo India)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Aportación de capital inicial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Constituida el 13-ago-2026; debe sumar 20-22 M de móviles al año [13].</w:t>
            </w:r>
          </w:p>
        </w:tc>
      </w:tr>
    </w:tbl>
    <w:p>
      <w:pPr>
        <w:spacing w:after="160" w:before="0"/>
      </w:pPr>
    </w:p>
    <w:p>
      <w:pPr>
        <w:spacing w:after="100"/>
      </w:pPr>
      <w:r>
        <w:t xml:space="preserve">La asignación de capital es razonable: el ROCE se mantiene en el 45-49 % porque el crecimiento se financia con proveedores, y las compras son pequeñas y de componentes [10]. El coste está en la estructura: casi todo lo nuevo se hace en JV con un socio chino o taiwanés (Longcheer 26 %, HKC 26 %, Vivo 49 %, Q Tech 49 %, Gemtek 40 %), así que una parte creciente del beneficio va a minoritarios [1, 13]. La plusvalía de Aditya Infotech (salida a bolsa en julio de 2025) es una buena inversión no recurrente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Sunil Vachani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y 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la empresa en 1993; presidente ejecutivo. Controla el grupo promotor (28,5 %), en gran parte a través de fideicomisos familiares (PSV Trust 15,45 %, KSV Trust 3,86 %) y de su familia [1, 24]. Reelegido para 2027-2032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Atul B. Lall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junio de 2000 y primer ejecutivo; artífice del giro a los móviles. Reelegido para 2027-2032 [1,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Saurabh Gupta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finanzas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consejero ejecutivo desde el 17-oct-2025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Manoj Maheshwari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externo no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Nombrado el 3-may-2025 por cinco años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40-42 M de smartphones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32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estable con el PLI</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3,8 % (3,9 % en FY2025)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 560.000 M INR sin Vivo y volumen plano (31-jul-2026)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1T: 155.477 M (+21 %)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curso</w:t>
            </w:r>
          </w:p>
        </w:tc>
      </w:tr>
    </w:tbl>
    <w:p>
      <w:pPr>
        <w:spacing w:after="160" w:before="0"/>
      </w:pPr>
    </w:p>
    <w:p>
      <w:pPr>
        <w:spacing w:after="100"/>
      </w:pPr>
      <w:r>
        <w:t xml:space="preserve">Equipo estable y fundador al mando: Vachani y Lall llevan más de 25 años juntos y la junta los ha reelegido hasta 2032 [25]. La ejecución industrial es buena (siete veces más ventas en cinco años sin perder el ROCE), pero las guías de volumen de móviles fallaron en FY2026 (32 M frente a 40-42 M) y la de la JV con Vivo se retrasó un año [12, 13]. Primer cambio en finanzas en 2025 (Saurabh Gupta) y jubilación de K K Kaul en junio de 2026 [26, 27]. No hay plan de sucesión publicado.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Sunil Vachani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Atul B. Lall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Saurabh Gupta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finanzas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Manoj Maheshwari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Arun Seth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Geeta Mathur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Rakesh Mohan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Keng Tsung Kuo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con párrafo de énfasis (cobro del PLI de Padget, nota 59 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Grupo promotor (Sunil Vachani, fideicomisos PSV y KSV, Gayatri Vachani, Suresh Vaswani)</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28,92 % un año antes; la caída es dilución por opciones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Kamla Vachani (familia, fuera del grupo promotor)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6,28 % un año antes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Atul B. Lall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3,25 % un año antes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Fondos de inversión indios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Inversores extranjeros (FPI)</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Aseguradoras y fondos de pensiones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Minoristas y no residentes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818,90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748,60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FY2026 el vicepresidente y consejero delegado, Atul B. Lall, recibió 818,9 M INR: 40,8 M de sueldo fijo, 29,5 M de comisión sobre beneficios y 748,6 M de valor de opciones ejercidas [1]. El presidente, Sunil Vachani, cobró 72,2 M (42,7 M fijo y 29,5 M de comisión) y el consejero de finanzas 265,7 M (185,0 M en opciones) [1]. No hay bonus ligado a objetivos: el variable es una comisión sobre el beneficio y opciones sobre acciones, y la junta aprobó en 2025 pagar a Vachani y Lall por encima de los límites de la ley de sociedades [1]. La mediana del consejo (7 personas) es de 2,6 M INR [1].</w:t>
      </w:r>
    </w:p>
    <w:p>
      <w:pPr>
        <w:pStyle w:val="Heading2"/>
      </w:pPr>
      <w:r>
        <w:t xml:space="preserve">Operaciones vinculadas, estructura de control y defensas</w:t>
      </w:r>
    </w:p>
    <w:p>
      <w:pPr>
        <w:spacing w:after="100"/>
      </w:pPr>
      <w:r>
        <w:t xml:space="preserve">El fundador y su familia tienen el 28,5 % como grupo promotor, más un 6,17 % de Kamla Vachani y el 3,18 % del consejero delegado: unos 38 % entre familia y dirección [24]. De hecho, la familia Vachani controla la junta y elige al presidente (que es Sunil Vachani). No hay acciones de voto múltiple ni blindajes; en India una OPA obligatoria salta al 25 %. Cuatro de los ocho consejeros son independientes y presiden auditoría [1].</w:t>
      </w:r>
    </w:p>
    <w:p>
      <w:pPr>
        <w:pStyle w:val="Heading2"/>
      </w:pPr>
      <w:r>
        <w:t xml:space="preserve">Señales de alerta</w:t>
      </w:r>
    </w:p>
    <w:p>
      <w:pPr>
        <w:pStyle w:val="ListParagraph"/>
        <w:numPr>
          <w:ilvl w:val="0"/>
          <w:numId w:val="2"/>
        </w:numPr>
        <w:spacing w:after="60"/>
      </w:pPr>
      <w:r>
        <w:t xml:space="preserve">Remuneración del consejero delegado de 818,9 M INR en FY2026, casi toda en opciones, y aprobada por encima de los límites legales [1].</w:t>
      </w:r>
    </w:p>
    <w:p>
      <w:pPr>
        <w:pStyle w:val="ListParagraph"/>
        <w:numPr>
          <w:ilvl w:val="0"/>
          <w:numId w:val="2"/>
        </w:numPr>
        <w:spacing w:after="60"/>
      </w:pPr>
      <w:r>
        <w:t xml:space="preserve">Presidente ejecutivo fundador; las comisiones de auditoría y nombramientos las presiden independientes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FY2027 la dirección da unos ingresos de ≈ 560.000 M INR sin Vivo, volumen de smartphones plano en ≈ 32 M y un margen sin mejora; la JV con Vivo sumaría 20-22 M de unidades al año a pleno ritmo (≈ 300.000 M INR) desde el 2S FY27 y los componentes mejorarían el margen en FY2028 (nota A [38]). No da guía de beneficio.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724.802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982.637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1.141.132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37.612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609.933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724.802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839.877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982.637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35.252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965.859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1.141.132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44.302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14.876,59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8.817,00 – 17.800,00</w:t>
            </w:r>
          </w:p>
        </w:tc>
      </w:tr>
    </w:tbl>
    <w:p>
      <w:pPr>
        <w:spacing w:after="160" w:before="0"/>
      </w:pPr>
    </w:p>
    <w:p>
      <w:pPr>
        <w:pStyle w:val="Heading2"/>
      </w:pPr>
      <w:r>
        <w:t xml:space="preserve">Revisiones de estimaciones</w:t>
      </w:r>
    </w:p>
    <w:p>
      <w:pPr>
        <w:spacing w:after="100"/>
      </w:pPr>
      <w:r>
        <w:t xml:space="preserve">A la baja en los últimos tres meses. CLSA pasó a Infraponderar con 10.400 INR y JM Financial a Comprar con 14.200 INR el 25-jun [35]; Baroda BNP Paribas recortó el beneficio de FY2027-FY2028 por la memoria y el retraso de Vivo (Mantener, 11.200) [40]; Jefferies está en Mantener con 10.280 y Nomura en Comprar con 13.813 [29]. El consenso de BPA de MarketScreener (183,1 INR para FY2027e) parece incluir parte de la plusvalía de Aditya del 1T (el publicado del 1T fue 117,87 INR) [29].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48"/>
        <w:gridCol w:w="2095"/>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pasó de 2.861 INR (marzo de 2023) a un máximo de 16.999 INR el 20-oct-2025 y desde entonces ha caído un 29 %, hasta 12.100 [28]. En doce meses pierde un 27,5 % frente al −11 % del Nifty 50, pero en el año está plana frente al −12,4 % del índice [28]. Las caídas: diciembre de 2025 (ampliación de normas de importación y recortes de CLSA y Morgan Stanley), febrero-marzo de 2026 (memoria; mínimo de 9.600 el 30-mar) y septiembre-octubre de 2026 (CLSA prevé volúmenes un 14-16 % menores) [35]. Las subidas: aprobaciones de HKC (+11,3 % el 10-mar) y Vivo, y resultados del 4T (+9,7 % el 13-may) [36, 38].</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 / -17,1 % / +6,4 % / -30,6 %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-29,6 % / +25,1 %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10-dic −8,6 %: se amplían las normas de importación de hardware informático y CLSA y Morgan Stanley recortan; los resultados del 2T FY26 (17-oct) ya habían mostrado un crecimiento ajustado del 15 % [28,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Memoria más cara y 3T FY26 con ventas +2 % (28-ene) [7, 11]; el 13-ene −5,1 %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9.600 INR el 30-mar por la memoria y el fin del PLI de móviles, a pesar del +11,3 % del 10-mar con la aprobación PN3 de HKC [20,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desde mínimos en abril; en mayo, −5,9 % el 12-may y +9,7 % el 13-may tras los resultados de FY2026 (beneficio ajustado de 8.450 M, +20 %) [10,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Noticia de la aprobación de Vivo (+5 % el 17-jun, aclaración a la NSE [37]), aprobación PN3 el 9-jul [38] y resultados del 1T FY27 (+21 % de ventas) el 31-jul; CLSA a Infraponderar y JM Financial a Comprar el 25-jun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 5-sep al 5-oct −12,6 %: CLSA prevé volúmenes de móviles un 14-16 % menores (16-sep) y dudas sobre la aprobación china de Vivo; la JV con Gemtek (7-oct) dio un rebote de un día [21,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FY27 sin fecha anunciada (el año pasado, el 17-oct). La empresa esperaba 9-9,2 M de móviles [13]. Pueden mover el precio más de un 5 %, pero no aplazan una decisión según el método; aquí no hay compra.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Calificación ESG de Crisil comunicada a la NSE.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o alianza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JV 60:40 con Gemtek (Taiwán) para transceptores ópticos y equipos de telecomunicaciones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o alianza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 propiedad intelectual con Aviat para Dixon Electro Appliances (telecomunicaciones).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junta reelige a Sunil Vachani y Atul B. Lall para 2027-2032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o alianza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aportación a Adivistar, JV con Vivo India (51 %)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Aprobación PN3 del Gobierno para la JV con Vivo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caída del 30 % en doce meses tiene causas conocidas y ya están en este informe: el frenazo de los volúmenes de móviles por la memoria, el fin del PLI y los recortes de CLSA; las subidas fueron noticias de JV (HKC, Vivo, Gemtek) y los resultados del 4T. Ninguna noticia de los últimos seis meses cambia la tesis, y los resultados del 2T FY27 (sin fecha) no aplazan nada porque la decisión es Mantener por valor, no por momento.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Dixon siempre ha cotizado cara: entre 47 y 115 veces el beneficio ajustado del ejercicio siguiente al cierre de cada ejercicio (FY2021-FY2026), con 47 veces en marzo de 2023 como mínimo [1, nota A]. Hoy, a 12.100 INR, son 87 veces el beneficio ajustado de FY2026 y unas 37 veces el EBITDA de los últimos doce meses. Lo que ha cambiado: el beneficio ya no crece al 50-60 % anual (FY2027 plano), el PLI terminó y una parte creciente va a minoritarios.</w:t>
      </w:r>
    </w:p>
    <w:p>
      <w:pPr>
        <w:pStyle w:val="Heading1"/>
      </w:pPr>
      <w:r>
        <w:t xml:space="preserve">18. Comparables cotizados</w:t>
      </w:r>
    </w:p>
    <w:p>
      <w:pPr>
        <w:pStyle w:val="Confianza"/>
        <w:spacing w:after="100"/>
      </w:pPr>
      <w:r>
        <w:t xml:space="preserve">Confianza: Media</w:t>
      </w:r>
    </w:p>
    <w:p>
      <w:pPr>
        <w:spacing w:after="100"/>
      </w:pPr>
      <w:r>
        <w:t xml:space="preserve">Fabricantes por encargo de electrónica cotizados en India (Kaynes, Amber, Syrma SGS, PG Electroplast, Avalon) y los grandes mundiales (Hon Hai, Jabil, Flex, Celestica). Quitamos BYD Electronic (margen operativo del 0,7 %, cuentas en CNY). PER de los próximos 12 meses = precio ÷ media de los BPA de Yahoo del ejercicio en curso y del siguiente, ponderada por los meses que quedan de cada uno.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Dixon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747.054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Kaynes Technology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Amber Enterprises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230.281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Syrma SGS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PG Electroplast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Avalon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Hon Hai (Foxconn)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9.846.067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Jabil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2.767.437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3.172.191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Celestica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3.636.556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 / 27,1x / 36,6x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4.546,21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7.508,67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10.351,44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 / 36,9x / 43,9x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3.598,70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8.736,31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10.393,61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515.848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 / 2,3x / 5,6x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9.843,26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18.365,53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46.438,89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Los EMS indios cotizan a 31-55 veces el BPA de los próximos doce meses y 27-69 veces el EBITDA, con márgenes del 7-15 %; los mundiales, a 10-15 veces con márgenes del 4-10 %. Dixon, con el margen más bajo de todos (3,6 % de EBITDA en los últimos doce meses), cotiza a 37 veces el EBITDA y a unas 55-60 veces nuestro BPA de FY2028e: en la parte alta de los indios y a cuatro veces Hon Hai, que tiene un margen parecido.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85"/>
        <w:gridCol w:w="1780"/>
        <w:gridCol w:w="1676"/>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 Tech India (51 %)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Dixon</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428 + 125 crore por el 51 %; fondo de comercio de 5.230 M; sin cuentas del objetivo publicadas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2024-2025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Ismartu India (50,1 %)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Dixon</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en caja de 3.210 M neto; sin múltiplo publicado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Adivistar (51 %, JV con Vivo India)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Dixon</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Constitución con 25,5 M de aportación inicial; los activos de Vivo se aportarán después [34].</w:t>
            </w:r>
          </w:p>
        </w:tc>
      </w:tr>
    </w:tbl>
    <w:p>
      <w:pPr>
        <w:spacing w:after="160" w:before="0"/>
      </w:pPr>
    </w:p>
    <w:p>
      <w:pPr>
        <w:spacing w:after="160" w:before="0"/>
      </w:pPr>
    </w:p>
    <w:p>
      <w:pPr>
        <w:spacing w:after="100"/>
      </w:pPr>
      <w:r>
        <w:t xml:space="preserve">No hay transacciones comparables con múltiplo publicado: las operaciones de Dixon son JV y compras de minorías en componentes. No se usan para el valor.</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46 % anual entre FY2022 y FY2026 (106.971 a 488.728 M) [1, 4], casi todo con móviles y gracias al PLI. Ese ritmo se acabó: en el 3T y el 4T FY26 crecieron un 2 % y la empresa espera volumen plano de móviles en FY2027 (≈ 32 M de unidades) por la memoria [13]. El 1T FY27 creció un 21 % por precio y mezcla [5]. Proyectamos 609.933 M en FY2027e (+24,8 %: la guía de ≈ 560.000 M sin Vivo más ≈ 50.000 M de Vivo en el 2S), 839.877 M en FY2028e (+37,7 % con Vivo un año entero, ≈ 230.000 M) y luego +15 %, +11 %, +9 %, +8 %, +7 % y +6,5 % hasta FY2034e, por debajo del mercado EMS indio (+25 % anual hasta FY2030 según KPMG) [1, 17]. El consenso va más deprisa (1,14 billones en FY2029e) [29].</w:t>
      </w:r>
    </w:p>
    <w:p>
      <w:pPr>
        <w:keepNext/>
        <w:spacing w:after="100"/>
      </w:pPr>
      <w:r>
        <w:rPr>
          <w:b/>
          <w:bCs/>
        </w:rPr>
        <w:t xml:space="preserve">Márgenes.</w:t>
      </w:r>
    </w:p>
    <w:p>
      <w:pPr>
        <w:spacing w:after="100"/>
      </w:pPr>
      <w:r>
        <w:t xml:space="preserve">El margen EBITDA operativo fue del 3,5-4,2 % en FY2022-FY2026 y el 3,0 % en el 1T FY27 [1, 2, 3, 4, 5]. Dos cosas lo bajan ahora: el fin del PLI de móviles en marzo de 2026 (50-70 puntos básicos según la empresa; en FY2026 los incentivos fueron 3.140 M, el 17 % del EBITDA) y la memoria, que comprime lo que las marcas pagan [1, 14]. La subida vendrá, si viene, de los componentes (pantallas con HKC, cámaras con Q Tech) y de las líneas nuevas (ópticos con Gemtek) desde FY2028 [13]. Proyectamos un 3,2 % en FY2027e, 3,4 % en FY2028e, 3,6 % en FY2029e y 3,7 % después: por debajo del 3,8-3,9 % de FY2024-FY2026, que llevaba el PLI. Es estructural: el ensamblaje de móviles para terceros deja un 3-5 % en todo el mundo (Hon Hai 4,5 %, BYD Electronic 4,3 % de EBITDA) [19].</w:t>
      </w:r>
    </w:p>
    <w:p>
      <w:pPr>
        <w:keepNext/>
        <w:spacing w:after="100"/>
      </w:pPr>
      <w:r>
        <w:rPr>
          <w:b/>
          <w:bCs/>
        </w:rPr>
        <w:t xml:space="preserve">Inversión y circulante.</w:t>
      </w:r>
    </w:p>
    <w:p>
      <w:pPr>
        <w:spacing w:after="100"/>
      </w:pPr>
      <w:r>
        <w:t xml:space="preserve">Capex del 2,2 % de las ventas en FY2027e-FY2028e (2,2 % en FY2026 y 2,4 % en FY2025) bajando al 1,3 % en FY2034e; amortización del 0,85-1,0 % (0,80 % en FY2026) [1]. Circulante nulo en porcentaje de las ventas (−0,7 % en FY2026, +0,2 % en FY2025): los proveedores lo financian.</w:t>
      </w:r>
    </w:p>
    <w:p>
      <w:pPr>
        <w:keepNext/>
        <w:spacing w:after="100"/>
      </w:pPr>
      <w:r>
        <w:rPr>
          <w:b/>
          <w:bCs/>
        </w:rPr>
        <w:t xml:space="preserve">Coste del capital.</w:t>
      </w:r>
    </w:p>
    <w:p>
      <w:pPr>
        <w:spacing w:after="100"/>
      </w:pPr>
      <w:r>
        <w:t xml:space="preserve">Todo en INR: bono indio a 10 años del 7,06 % (septiembre de 2026, OCDE vía FRED) [30]. Beta de 1,13 frente al Nifty 50 (60 meses) [28]. Prima de mercado del 5,5 % y prima adicional de 1 punto por la concentración de clientes (cinco marcas) y la dependencia de la política industrial (PLI, Press Note 3). Coste de la deuda del 8,5 % (rating AA [16]) y un 3 % de deuda: WACC del 14,04 %.</w:t>
      </w:r>
    </w:p>
    <w:p>
      <w:pPr>
        <w:keepNext/>
        <w:spacing w:after="100"/>
      </w:pPr>
      <w:r>
        <w:rPr>
          <w:b/>
          <w:bCs/>
        </w:rPr>
        <w:t xml:space="preserve">Valor terminal.</w:t>
      </w:r>
    </w:p>
    <w:p>
      <w:pPr>
        <w:spacing w:after="100"/>
      </w:pPr>
      <w:r>
        <w:t xml:space="preserve">Crecimiento a perpetuidad del 6 % nominal en rupias (≈ 1,5-2 % real con una inflación del 4-5 %), por debajo del bono indio menos medio punto (6,56 %). El valor terminal pesa el 67 % del valor y equivale a 6,1 veces el EBITDA de FY2034e: un múltiplo de ensamblador maduro (Hon Hai cotiza a 8,1 veces el EBITDA de los últimos doce meses) [19].</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609.933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839.877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965.859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1.072.103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1.168.592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1.262.080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1.350.425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1.438.203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9.953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IN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327.165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798.203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2.358,21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IN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5,0 %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5,5 %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6,0 %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6,5 %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7,0 %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2.511,36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3.031,85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3.262,81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2.939,48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2.232,69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2.662,75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1.957,41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2.163,09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2.285,12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2.423,33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1.810,56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1.895,61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2.095,59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2.214,24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2.548,32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3.326,04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4.112,53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4.405,65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4.968,35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5.676,75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6.061,80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64.467 M (37 %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 (ROIC 26,0 %)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 frente al 14,9 %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 (histórico: 30,0 %)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 (hoy: 11,0 %)</w:t>
            </w:r>
          </w:p>
        </w:tc>
      </w:tr>
    </w:tbl>
    <w:p>
      <w:pPr>
        <w:spacing w:after="160" w:before="0"/>
      </w:pPr>
    </w:p>
    <w:p>
      <w:pPr>
        <w:spacing w:after="100"/>
      </w:pPr>
      <w:r>
        <w:t xml:space="preserve">La proyección reinvierte el 37 % del NOPAT. Con el ROIC del último ejercicio (26,0 %), eso financia un crecimiento del 9,7 % anual, frente al 14,9 % de ingresos proyectado. Supone que el capital nuevo rinde un 27,0 %, frente a un ROIC incremental histórico del 30,0 %; la cuota de mercado pasaría al 7,5 % desde el 11,0 %.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+4 % (móviles planos en ≈ 32 M; electrodomésticos y portátiles al alza), precio y mezcla del +12 % (la memoria encarece el móvil y entra en la factura: el 1T creció un 21 % con volumen plano [5, 13]) y 8,8 puntos de Vivo (≈ 50.000 M en el 2S).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+6 %, precio del +2 % y 29,7 puntos de perímetro: Vivo un año entero (≈ 230.000 M de ventas; 300.000 M a pleno ritmo según la empresa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+10 % (Vivo a pleno ritmo y componentes) y precio del +1 %; 4 puntos de componentes propios (pantallas y cámaras).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+9 %, precio del +1 % y un punto de ópticos (Gemtek).</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+7,5 %, precio del +1 % y medio punto de líneas nuevas. Ventas de 1,07 billones INR en FY2030e: el 7,5 % del mercado EMS indio de FY2030 (&gt; 150.000 M USD según KPMG [17], 14,2 billones INR a 94,915 INR/USD [31]) frente al 11 % de hoy.</w:t>
            </w:r>
          </w:p>
        </w:tc>
      </w:tr>
    </w:tbl>
    <w:p>
      <w:pPr>
        <w:spacing w:after="160" w:before="0"/>
      </w:pPr>
    </w:p>
    <w:p>
      <w:pPr>
        <w:spacing w:after="100"/>
      </w:pPr>
      <w:r>
        <w:t xml:space="preserve">Sí. Las tres pruebas pasan: el crecimiento proyectado (14,9 % de media en FY2027e-FY2034e) es un tercio del histórico (46,2 % en FY2022-FY2026) y menor que el del mercado EMS indio (+25 % anual [17]); crecer cuesta poco capital (reinversión del 37 % del NOPAT y un rendimiento implícito del capital nuevo del 27 %, frente a un ROIC del 26 % y un incremental histórico del 30 %); y la cuota implícita en FY2030 (7,5 %) es menor que la de hoy (11 %). El riesgo no es de financiación sino de margen y de clientes: el ensamblaje para terceros se negocia modelo a modelo, cinco marcas hacen casi todo el volumen y el PLI, que era el 17 % del EBITDA, ya no está. El foso es estrecho: escala, homologación y aprobaciones del Gobierno para JV con marcas chinas.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(base: 14,9 %)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 (base: 3,7 %)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 (WACC: 14,0 %)</w:t>
            </w:r>
          </w:p>
        </w:tc>
      </w:tr>
    </w:tbl>
    <w:p>
      <w:pPr>
        <w:spacing w:after="160" w:before="0"/>
      </w:pPr>
    </w:p>
    <w:p>
      <w:pPr>
        <w:spacing w:after="100"/>
      </w:pPr>
      <w:r>
        <w:t xml:space="preserve">El DCF da 2.358 INR por acción, un 80,5 % por debajo del precio, con el valor terminal en el 67 % del valor. El precio de 12.100 INR exige un margen EBITDA del 10,2 % para siempre (base 3,7 %): con nuestro margen, ningún crecimiento razonable lo alcanza, y la rentabilidad implícita es del 8,1 % anual frente a un WACC del 14,04 %. La sensibilidad no lo arregla: el rango de WACC y crecimiento terminal ± 0,5 puntos va de 2.055 a 2.747 INR, y con un margen 2 puntos más alto en toda la proyección (5,7 %, el de Jabil o Flex) el valor llega a 5.313 INR. El mercado no paga flujos de ensamblador: paga la opción de que Dixon se convierta en un fabricante de componentes y electrónica industrial con márgenes del 8-15 %, como sus pares indios.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872,04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memoria sigue cara, los móviles baratos se estancan, Vivo tarda (aprobación china) y un cliente grande reparte volumen: 5 puntos menos de crecimiento y medio punto menos de margen (≈ 3,2 %), crecimiento terminal del 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2.358,21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Vivo entra en el 2S FY27 y suma ≈ 230.000 M en FY2028e; el resto crece con el mercado; margen del 3,6-3,7 % con los componentes; un 26 % del beneficio va a los socios de las JV.</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3.929,68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Vivo a pleno ritmo antes de lo previsto, exportaciones y componentes (pantallas, cámaras, ópticos): 4 puntos más de crecimiento y 0,4 puntos más de margen (≈ 4,1 %).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INR) · precio actual 12.1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2.379,54 INR (-80,3 %).</w:t>
      </w:r>
    </w:p>
    <w:p>
      <w:pPr>
        <w:spacing w:after="100"/>
      </w:pPr>
      <w:r>
        <w:t xml:space="preserve">En el DCF el bajista (872 INR) pierde un 92,8 % y el alcista (3.930 INR) un 67,5 %: todos los escenarios de flujos quedan muy por debajo del precio. A 12 meses, con el PER propio, el bajista pierde un 40,4 % y el alcista gana un 73,5 %. La diferencia entre los dos métodos es la tesis entera: el PER histórico de 70 veces supone que Dixon seguirá creciendo como una empresa de crecimiento; el DCF dice que, con un margen del 3-4 %, ese crecimiento vale poco.</w:t>
      </w:r>
    </w:p>
    <w:p>
      <w:pPr>
        <w:pStyle w:val="Heading1"/>
      </w:pPr>
      <w:r>
        <w:t xml:space="preserve">22. Suma de partes</w:t>
      </w:r>
    </w:p>
    <w:p>
      <w:pPr>
        <w:pStyle w:val="Confianza"/>
        <w:spacing w:after="100"/>
      </w:pPr>
      <w:r>
        <w:t xml:space="preserve">Confianza: Media</w:t>
      </w:r>
    </w:p>
    <w:p>
      <w:pPr>
        <w:spacing w:after="100"/>
      </w:pPr>
      <w:r>
        <w:t xml:space="preserve">No la hacemos: las divisiones comparten fábricas y balance y la empresa solo publica su beneficio operativo; la participación en Aditya Infotech y las JV se suman en el puente a su valor de mercado o a un múltiplo.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INR) · precio actual 12.1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16.999,00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14.876,59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8.736,31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10.393,61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3.929,68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3.080,23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3.415,01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12.039,50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12.160,50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8.736,31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2.379,54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3.640,23 INR (-69,9 % sobre 12.100,00).</w:t>
      </w:r>
    </w:p>
    <w:p>
      <w:pPr>
        <w:spacing w:after="100"/>
      </w:pPr>
      <w:r>
        <w:t xml:space="preserve">Pesamos el DCF un 50 %, los escenarios un 30 % y los comparables un 20 %. El DCF da 2.358 INR por acción con un WACC del 14,04 % (bono indio al 7,06 % [30]) y un 6 % a perpetuidad; los escenarios van de 872 a 3.930 INR; los comparables dan 7.509 INR por EV/EBITDA (mediana 27,1x de los últimos doce meses) y 8.736 por PER (36,9x, mediana de los EMS indios y mundiales). El valor ponderado es de 3.640 INR, un 70 % por debajo del precio; con la prima implícita del mercado (4,2 % [32]) el DCF sube a unos 3.100 INR. La diferencia no es de supuestos finos: con un margen EBITDA del 3,7 % y un capex del 1,3-2,2 % de las ventas, el flujo libre es el 2 % de las ventas, y el precio de hoy exige un margen del 10 % para siempre, como el de Kaynes o Syrma, que fabrican electrónica industrial, no móviles. Puente a 30-jun-2026: deuda 5.790 M, arrendamientos 5.267 M, caja 8.050 M [9]; Aditya Infotech a precio de mercado neto de impuestos (10.240 M) y las JV (2.580 M) [33]; la mitad de la exposición neta del PLI de Padget como pasivo (1.900 M) [1]; minoritarios a 45.000 M, estimación propia del 25 % del valor del capital que corresponde a los socios de las filiales (Longcheer, HKC, Q Tech, Vivo, Ismartu).</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7.205,34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(67.8x) a mitad de camino hacia la mediana de 5 años (75.3x)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15.616,32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20.978,58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+73,5 %</w:t>
            </w:r>
          </w:p>
        </w:tc>
      </w:tr>
    </w:tbl>
    <w:p>
      <w:pPr>
        <w:spacing w:after="160" w:before="0"/>
      </w:pPr>
    </w:p>
    <w:p>
      <w:pPr>
        <w:spacing w:after="100"/>
      </w:pPr>
      <w:r>
        <w:rPr>
          <w:b/>
          <w:bCs/>
        </w:rPr>
        <w:t xml:space="preserve">Objetivo a 12 meses (ponderado):</w:t>
      </w:r>
      <w:r>
        <w:t xml:space="preserve"> 14.854,14 INR · rentabilidad +22,8 % (base +29,1 %) · señal Mantener.</w:t>
      </w:r>
    </w:p>
    <w:p>
      <w:pPr>
        <w:spacing w:after="100"/>
      </w:pPr>
      <w:r>
        <w:t xml:space="preserve">Para comparar, con la regla v2 (historia al cierre, mismo precio): 67,0x / 67,8x / 88,2x, 33,4 %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FY2028e (178,4 INR) está un 36 % por debajo del consenso de MarketScreener (280,0) y el de FY2029e (218,4) un 38 % por debajo (354,9) [29]. Tres causas: (1) ventas: 965.859 M en FY2029e frente a 1.141.132 M, porque damos volumen de móviles plano sin Vivo en FY2027 (como la empresa) y a Vivo en ≈ 230.000 M en su primer año entero, no los 300.000 M de pleno ritmo [13]; (2) margen EBITDA del 3,6 % frente al 3,9 %, sin PLI de móviles; (3) minoritarios: el 26 % del beneficio con Vivo dentro (19,5 % en FY2026) [10]. Además, el consenso de FY2027e (183,1 INR) parece incluir la plusvalía de Aditya del 1T (5.190 M), que nosotros excluimos. Nuestro precio base a 12 meses (15.616 INR) queda cerca del objetivo medio de los 27 analistas (14.877; rango 8.817-17.800) porque aplicamos un PER de 71,5x, su historia.</w:t>
      </w:r>
    </w:p>
    <w:p>
      <w:pPr>
        <w:keepNext/>
        <w:spacing w:after="100"/>
      </w:pPr>
      <w:r>
        <w:rPr>
          <w:b/>
          <w:bCs/>
        </w:rPr>
        <w:t xml:space="preserve">Del valor intrínseco al objetivo a 12 meses.</w:t>
      </w:r>
    </w:p>
    <w:p>
      <w:pPr>
        <w:spacing w:after="100"/>
      </w:pPr>
      <w:r>
        <w:t xml:space="preserve">El objetivo a 12 meses (14.854 INR) da un 22,9 % con dividendo (29,1 % el base). El base es un PER de 71,5x (el actual, 67,8x, a mitad de camino hacia la mediana de 75,3x) sobre un BPA de FY2029e que crece un 19 % al año desde FY2026, más un 0,1 % de dividendo (10 INR). El bajista (46,7x, el mínimo de marzo de 2023, sobre 154,3) pierde un 40,4 %; el alcista (75,3x sobre 278,6) gana un 73,5 %. Toda la rentabilidad depende de que el mercado siga pagando 70 veces el beneficio de un ensamblador con un margen del 3-4 %: con un BPA un 10 % menor la ponderada baja a ≈ 10,5 % y el base a ≈ 16 %. No es compra porque el valor real (3.640 INR) está un 70 % por debajo del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FY27 (el 2T FY26 se publicó el 17-oct-2025; sin fecha anunciada) [8]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esperaba 9-9,2 M de móviles en el 2T [13]; CLSA ve volúmenes un 14-16 % menores. Un margen por debajo del 3 % confirmaría la presión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 de la JV con Vivo (Adivistar) y aportación de la fábrica de Noida [34, 38]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300.000 M de ventas a pleno ritmo, el 49 % del beneficio para Vivo; falta saber si China exige su propia aprobación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plan de incentivos para móviles (PLI 2.0, 62.500 crore en estudio) y aprobaciones del plan de componentes (ECMS)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Devolvería parte del margen perdido con el fin del PLI</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 del PLI pendiente de Padget (11.100 M a cobrar; párrafo de énfasis del auditor)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Cobrarlo libera caja; no cobrarlo costaría ≈ 3.800 M tras impuestos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Arranque de la producción de pantallas (HKC) y de ópticos (Gemtek, 4T FY27) [20, 21]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Primeros márgenes de componentes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pocos clientes (Motorola, Transsion, Xiaomi, Oppo/Longcheer, Vivo)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Perder un cliente grande (≈ 15-20 % del volumen) bajaría el BPA de FY2029e ≈ 15-20 %; −40 % a 12 meses en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JV con la marca (Vivo, Longcheer, Ismartu) que atan el volumen unos años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Volúmenes del 2T FY27 por debajo de 9 M de móviles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PLI de móviles y política industrial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PLI fue 3.140 M en FY2026 (17 % del EBITDA); cada 0,5 puntos de margen ≈ −14 % del BPA de FY2029e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PLI de componentes (ECMS) aprobado para cámaras y pantallas; nuevo plan de móviles en estudio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trimestral por debajo del 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Cobro de la cuenta del PLI de Padget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5.060 M netos antes de impuestos, ≈ 60 INR por acción; ya restamos la mitad en el puente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Reconocida por el ministerio para otros beneficiarios con techo no usado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Nota 59 a sin avance en los resultados semestrales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Memoria cara y demanda de móviles baratos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Volumen plano en FY2027; 5 puntos menos de crecimiento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y mezcla: la memoria se traslada a la factura [13]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la DRAM y producción de móviles en India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Aprobación china y Press Note 3 para las JV</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Retrasar Vivo un año quita ≈ 230.000 M de ventas de FY2028e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India ya aprobó HKC y Vivo [20, 38]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Calendario de aportación de activos de Vivo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múltiplo de 68 veces el BPA de FY2028e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Volver al mínimo de 47x es −40 %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 de múltiplos altos (47-115x) y comparables indios a 37-63x</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Recortes de BPA del consenso tras el 2T FY27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bajo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Neutral a ligeramente positivo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Fabrica hardware físico; la IA sube la demanda de servidores y equipos ópticos (JV con Gemtek)</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Clientes que automaticen el montaje y reduzcan la necesidad de un ensamblador</w:t>
            </w:r>
          </w:p>
        </w:tc>
      </w:tr>
    </w:tbl>
    <w:p>
      <w:pPr>
        <w:spacing w:after="160" w:before="0"/>
      </w:pPr>
    </w:p>
    <w:p>
      <w:pPr>
        <w:pStyle w:val="Heading2"/>
      </w:pPr>
      <w:r>
        <w:t xml:space="preserve">Pre-mortem</w:t>
      </w:r>
    </w:p>
    <w:p>
      <w:pPr>
        <w:spacing w:after="100"/>
      </w:pPr>
      <w:r>
        <w:t xml:space="preserve">Octubre de 2027: la acción ha perdido un 40 %. La memoria siguió cara todo FY2027 y los volúmenes de móviles cayeron un 10 %; Motorola pasó parte de su producción a otro montador; Vivo no pudo aportar su fábrica hasta mediados de 2027 por la aprobación china. El margen se quedó en el 3 % sin el PLI y el Gobierno retrasó el nuevo plan. El BPA de FY2028 quedó en 140 INR y el mercado, al ver que Dixon crece como un ensamblador, le pagó 47 veces como en 2023. Las señales: volúmenes del 2T y 3T FY27, margen por debajo del 3 % y ninguna noticia de la aportación de Vivo.</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Positivo · </w:t>
      </w:r>
      <w:r>
        <w:rPr>
          <w:b/>
          <w:bCs/>
        </w:rPr>
        <w:t xml:space="preserve">Efecto en valor (3-5 años):</w:t>
      </w:r>
      <w:r>
        <w:t xml:space="preserve"> ≈ 0 % a 3-5 años en el base; no se recoge en ningún escenario</w:t>
      </w:r>
    </w:p>
    <w:p>
      <w:pPr>
        <w:spacing w:after="100"/>
      </w:pPr>
      <w:r>
        <w:t xml:space="preserve">Dixon monta hardware físico (móviles, televisores, lavadoras, portátiles): la IA no sustituye esa fabricación. La usa en la planta (inspección visual, mantenimiento predictivo) y puede ganar por la demanda: servidores y equipos ópticos para centros de datos, que es lo que busca la JV con Gemtek (transceptores ópticos) [21]. El riesgo indirecto es doble: que los móviles con IA necesiten más memoria y encarezcan la gama baja (ya pasa en 2026) y que la automatización reduzca la ventaja de coste laboral de India frente a otros países. La señal: pedidos de servidores o de ópticos para Dixon, o marcas que repatrien montaje automatizado.</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 (DJSI)</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76/100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NSE Sustainability Ratings &amp; Analytics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SES ESG Research</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63,7/100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r>
    </w:tbl>
    <w:p>
      <w:pPr>
        <w:spacing w:after="160" w:before="0"/>
      </w:pPr>
    </w:p>
    <w:p>
      <w:pPr>
        <w:pStyle w:val="Heading2"/>
      </w:pPr>
      <w:r>
        <w:t xml:space="preserve">Asuntos materiales</w:t>
      </w:r>
    </w:p>
    <w:p>
      <w:pPr>
        <w:spacing w:after="100"/>
      </w:pPr>
      <w:r>
        <w:t xml:space="preserve">Lo material es social y de gobierno: (1) mano de obra: miles de trabajadores temporales (más de 7.000 en la matriz) y protestas salariales en Noida (abril) y Dehradun (mayo de 2026), sin impacto material según la empresa [1, 23]; (2) cadena de suministro con componentes chinos y normas de inversión; (3) residuos electrónicos (100 % reciclado por terceros autorizados) [1].</w:t>
      </w:r>
    </w:p>
    <w:p>
      <w:pPr>
        <w:pStyle w:val="Heading2"/>
      </w:pPr>
      <w:r>
        <w:t xml:space="preserve">Controversias</w:t>
      </w:r>
    </w:p>
    <w:p>
      <w:pPr>
        <w:spacing w:after="100"/>
      </w:pPr>
      <w:r>
        <w:t xml:space="preserve">Multa de GST de 15,6 lakh (mayo de 2026) [22]; protestas laborales en Noida y Dehradun en 2026 [23]. Sin litigios materiales.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Vivo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¿Necesita la JV la aprobación china de inversiones en el exterior y cuándo se aporta la fábrica de Noida?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25-30 % de las ventas de FY2028e.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deja Vivo a la JV y cuánto aportan los componentes en FY2028?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exige márgenes muy por encima del 3-4 % actual.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esperan cobrar los 11.100 M de Padget y cuánto devolverán al cliente?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Párrafo de énfasis del auditor.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 Motorola en las ventas y qué contratos tienen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Concentración de clientes no publicada.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Minoritarios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beneficio irá a los socios de las JV en FY2028?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es el 19,5 % y sube con Vivo.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la remuneración del consejero delegado (818,9 M INR) no depende del ROIC?</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variable son opciones y comisión sobre beneficios [1].</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ValuePickr (hilo de Dixon)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Escepticismo con la valoración («un 15 % de crecimiento para una acción a más de 100 veces es un crimen»), cálculo del PER ajustado por minoritarios y por Aditya (≈ 75-80 veces), miedo a la memoria (los móviles baratos han subido un 50 %) y a Bhagwati, que crece con volúmenes de Longcheer; el último post (7-oct) celebra la JV con Gemtek en ópticos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financiera india (Business Today, HDFC Sky)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Analistas divididos: JM Financial sube a Comprar con 14.200 INR y CLSA baja a Infraponderar con 10.400 INR el mismo día; la noticia de la aprobación de Vivo dio un +5 % en junio [35,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de mercado (DSIJ, Angel One)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JV con Gemtek abre telecomunicaciones y centros de datos (transceptores ópticos); tono de oportunidad, sin cifras [43].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el PER real es mucho más alto que el que se ve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el BPA publicado incluye minoritarios y plusvalías; ajustado, el PER de los últimos doce meses es de ≈ 89 veces (nota 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Memoria y móviles baratos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lo confirma: volumen plano en FY2027 y margen sin mejora (nota 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Vivo y los componentes cambian la escala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Vivo suma ≈ 300.000 M INR de ingresos a pleno ritmo, pero Dixon solo tiene el 51 %.</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 de Bhagwati y clientes que reparten volumen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cifras primarias de Bhagwati; Longcheer es socio de Dixon en Dixtel.</w:t>
            </w:r>
          </w:p>
        </w:tc>
      </w:tr>
    </w:tbl>
    <w:p>
      <w:pPr>
        <w:spacing w:after="160" w:before="0"/>
      </w:pPr>
    </w:p>
    <w:p>
      <w:pPr>
        <w:spacing w:after="100"/>
      </w:pPr>
      <w:r>
        <w:t xml:space="preserve">El inversor particular informado (ValuePickr) es escéptico con el precio, no con el negocio: calcula bien el beneficio ajustado y no paga 75-80 veces por un crecimiento que se ha frenado. La prensa vive de las noticias de JV (Vivo, HKC, Gemtek), que dan subidas de un día. Coincide con los datos en que FY2027 será un año plano en beneficio y en que la acción depende de que Vivo y los componentes lleguen a tiempo.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23 controles correctos y 4 explicados. Fuentes: 43 (27 primarias); citas distintas en el texto: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solución en un rango razonable: revisa circulante, capex o márgenes del DCF (un supuesto extremo hace que el valor no responda al crecimiento). Explicación: Con un margen EBITDA del 3,7 % ningún crecimiento razonable llega al precio: el valor por acción apenas responde al crecimiento porque el flujo libre es el 2 % de las ventas y el WACC (14,04 %) es mucho mayor que el crecimiento terminal. Lo que el precio descuenta se lee en el margen: un 10,2 % de EBITDA para siempre (base 3,7 %), y en la rentabilidad implícita (8,1 % anual).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27,0 % frente a un ROIC de 26,0 % y un incremental histórico de 30,0 %: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7,5 % en FY2030e frente al 11,0 %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-0,7 % real: genera una variación de circulante de 3.558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6,00 %. Explicación: El DCF está en rupias, con un bono a 10 años del 7,06 % y una inflación india del 4-5 %: un 6 % nominal a perpetuidad equivale a un 1,5-2 % real, por debajo del crecimiento real de la economía india y del bono menos medio punto (6,56 %). Con un 5 % el valor baja a 2.009 INR por acción; no cambia ninguna conclusión.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(FY2028e)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-19,0 % frente al consenso: justifica la diferencia en el DCF. Explicación: Nuestro EBITDA de FY2028e (28.556 M) es un 19 % menor que el de MarketScreener (35.252 M): suponemos 840.000 M de ventas frente a 982.637 M (la JV con Vivo arranca a medio ritmo y el volumen de móviles sin Vivo sigue plano por la memoria) y un margen del 3,4 % frente al 3,6 %, porque el PLI de móviles terminó y la empresa no espera mejora hasta FY2028 [13, 14]. Explicado en dcf.justificacion.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(FY2029e)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-21,5 % frente al consenso: justifica la diferencia en el DCF. Explicación: EBITDA de FY2029e 21,5 % por debajo del consenso (34.771 M frente a 44.302 M): ventas de 965.859 M frente a 1.141.132 M y margen del 3,6 % frente al 3,9 %. Ver la diferencia de BPA en valoracion.objetivo_12m.diferencia_consenso.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 fuentes (27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consenso vigente); 2) presentaciones (no lo dan); 3) prensa de cada publicación (cifras dispares entre medios)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de las divisiones de FY2022-FY2024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(un solo segmento contable, «Electronics Goods»); 2) presentaciones de 4T de cada año (no descargadas las de FY2024);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ingresos de FY2024 del informe de gestión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Cuotas de mercado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(no da cuotas); 2) KPMG (solo tamaño); 3) prensa (cifras de unidades sin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cuota estimada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la junta de 2026 sobre la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Anuncio de resultados de la junta en la NSE (resumen sin porcentajes por punto); 2) informe de escrutinio (no localizado en la NSE);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de entrada de los independientes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gobierno (da cargos, no fechas); 2) web de la empresa; 3) anuncios de la NSE (solo los de 2025-2026)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operaciones del sector EMS indio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Dixon (sin cuentas de los objetivos); 2) prensa de las operaciones de Kaynes, Syrma y Amber (sin EV/EBITDA); 3) MarketScreener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NSE (préstamo de valores sin saldo agregado público); 2) Yahoo (no da);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(r/IndianStockMarket)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API de Reddit (bloqueada desde este entorno); 2) búsqueda web (sin hilos recientes); 3) ValuePickr como sustituto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Integrated Annual Report 2025-26: estados consolidados Ind AS de FY2026 y FY2025 (situación, resultados, flujos, notas), informe del auditor con párrafo de énfasis (nota 59 a),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Dixon Technologies (India)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https://dixon-website.s3.ap-south-1.amazonaws.com/uploads/7056e7e5-184b-47b4-8f6f-9c2d4b639eaf-AnnualReportFY2025-26.pdf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2024-25: estados consolidados de FY2025 y FY2024; plusvalía de Aditya Infotech como partida excepcional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Dixon Technologies (India)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https://dixon-website.s3.ap-south-1.amazonaws.com/uploads/a7a34b02-4b9e-4b24-be18-d2853458a9f6-AnnualReport-2024-25.pdf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2023-24: estados consolidados de FY2024 y 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Dixon Technologies (India)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https://dixon-website.s3.ap-south-1.amazonaws.com/uploads/1745428945732_dixon-annual-report-2023-24.pdf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2021-22: estados consolidados de FY2022 y FY2021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Dixon Technologies (India)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https://dixon-website.s3.dualstack.ap-south-1.amazonaws.com/new_uploads/Investor%20Structure%20with%20docs/Financial%20Performance-20250331T105053Z-001/Financial%20Performance/Annual%20Reports/Annual%20Report%202021-22.pdf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consolidados no auditados del trimestre a 30-jun-2026 (1T FY27), con comparativas de 4T FY26 y 1T FY26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Dixon Technologies (India) Ltd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https://dixon-website.s3.ap-south-1.amazonaws.com/uploads/fd85d87b-9753-4b1d-968c-7465159e226a-FullResultsQ1-FY27-31.07.2026.pdf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consolidados auditados de FY2026 y del 4T FY26 (con balance y flujos y la nota del incentivo PLI de Padget)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Dixon Technologies (India) Ltd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https://dixon-website.s3.ap-south-1.amazonaws.com/uploads/58a8adb5-b90e-49b8-a384-47594f33e1bd-FullresultsQ4FY26-12.05.2026.pdf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consolidados del 3T FY26 (a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Dixon Technologies (India) Ltd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https://dixon-website.s3.ap-south-1.amazonaws.com/uploads/ecc652a5-3caf-41ef-ab3e-87427ead1a47-Financials-31.12.2025.pdf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consolidados del 2T FY26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Dixon Technologies (India) Ltd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https://dixon-website.s3.ap-south-1.amazonaws.com/uploads/634e2f79-abbe-4cf4-92bd-586d46e19594-Q2FinancialResults-17.10.2025.pdf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Presentation 1T FY27: beneficio operativo, beneficio ajustado tras minoritarios, divisiones, balance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Dixon Technologies (India)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https://dixon-website.s3.ap-south-1.amazonaws.com/uploads/07150914-1f3b-43ce-82f2-f8543b60027d-EarningPresentation-Q1FY26-27.pdf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Presentation 4T FY26: resultados de FY2026, divisiones, ROCE, ROE, circulante, flujo de caja libre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Dixon Technologies (India)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https://dixon-website.s3.ap-south-1.amazonaws.com/uploads/355b2e69-f5a3-4a7f-bd0c-21482263cd92-EarningPresentation-Q4FY25-26.pdf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Presentation 3T FY26 (9M FY26): beneficio ajustado por trimestre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Dixon Technologies (India)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https://dixon-website.s3.ap-south-1.amazonaws.com/uploads/df5e9e1f-011d-4145-801c-4a57e9dab68d-EarningPresentation-Q39MFY25-26.pdf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Presentation 2T FY26 (1S FY26)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Dixon Technologies (India)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https://dixon-website.s3.ap-south-1.amazonaws.com/uploads/6e2f3ec7-3971-4406-a6f8-3bcc30c21287-EarningPresentation-Q2H1-FY25-26.pdf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1T FY27 (volúmenes de móviles, objetivo de ingresos de FY27, Vivo, margen)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Dixon Technologies (India)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https://dixon-website.s3.ap-south-1.amazonaws.com/uploads/0682e687-050b-41b2-afc6-54f26a960066-EarningCallTranscript-Q1FY27-31.07.2026.pdf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 FY26 (fin del PLI de móviles, memoria, guía de FY27)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Dixon Technologies (India)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https://dixon-website.s3.ap-south-1.amazonaws.com/uploads/17eb4df3-5044-40f5-b3c4-3def219cbd19-EarningTranscriptQ4FY26.pdf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 FY26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Dixon Technologies (India)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https://dixon-website.s3.ap-south-1.amazonaws.com/uploads/0c5cefdb-c2c9-4335-90d4-94831b7d2aff-Q3EarningCallTrsnacript.pdf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ICRA: rating AA (Stable) / A1+ confirmado (comunicación a la NSE)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Dixon Technologies (India) Ltd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https://nsearchives.nseindia.com/corporate/DIXON_07012026155143_CreditRatingDisclosure07012026.pdf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India’s Electronic Manufacturing Services (EMS) opportunity: EMS indio de 40-45 mil M USD en FY2025 a más de 150 mil M en FY2030 (+25 %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KPMG India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https://assets.kpmg.com/content/dam/kpmgsites/in/pdf/2026/06/indias-electronic-manufacturing-services-ems-opportunity.pdf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Electronic manufacturing services in India (EMS de 10-12 mil M USD en FY2020 a 40-45 mil M en FY2025; escenarios a 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Kotak Mahindra AMC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https://www.kotakmf.com/Information/blogs/electronic-manufacturing-services-india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Kaynes, Amber, Syrma SGS, PG Electroplast, Avalon, Hon Hai, Jabil, Flex y Celestica (ventas y márgenes de los últimos doce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https://finance.yahoo.com/quote/KAYNES.NS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a la NSE: aprobación de la Press Note 3 para la JV con HKC (pantallas)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Dixon Technologies (India) Ltd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https://nsearchives.nseindia.com/corporate/DIXON_09032026193414_Regulation30DisclosurePN3.pdf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a la NSE: JV 60:40 con Gemtek Technology (transceptores ópticos)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Dixon Technologies (India) Ltd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https://nsearchives.nseindia.com/corporate/DIXON_07102026150006_Regulation30_DisclosureGemtek07102026.pdf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a la NSE: multa de GST de 15,6 lakh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Dixon Technologies (India) Ltd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https://nsearchives.nseindia.com/corporate/DIXON_08052026193006_Reg30DisclosurePenalty08052026.pdf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Anuncios a la NSE: aclaración de las protestas laborales de Noida (13-abr-2026) y Dehradun (15-may-2026)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Dixon Technologies (India) Ltd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https://nsearchives.nseindia.com/corporate/DIXON_13042026184056_Reg_30_DIsclosure_Clarification_on_Labour_issues_Noida.pdf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Accionariado trimestral a 30-sep-2026 y 30-sep-2025 (XBRL de la NSE)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NSE India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https://www.nseindia.com/get-quotes/equity?symbol=DIXON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a la NSE: resultados de la junta del 28-sep-2026 (reelección de Sunil Vachani y Atul B. Lall para 2027-2032)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Dixon Technologies (India) Ltd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https://nsearchives.nseindia.com/corporate/DIXON_29092026182828_Regulation30DisclosureAGM28092026.pdf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a la NSE: nombramiento de Saurabh Gupta como consejero de finanzas (votación postal, 23-dic-2025)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Dixon Technologies (India) Ltd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https://nsearchives.nseindia.com/corporate/DIXON_23122025173234_Regulation30DisclosureAppointment23122025.pdf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a la NSE: jubilación de K K Kaul (alta dirección)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Dixon Technologies (India) Ltd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https://nsearchives.nseindia.com/corporate/DIXON_30062026215609_ChangeinSeniorManagementMrKKKaul_30062026.pdf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DIXON.NS y del Nifty 50 (^NSEI); cierres de cada ejercicio, beta y volatilidad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https://finance.yahoo.com/quote/DIXON.NS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Dixon Technologies: consenso FY2027-FY2029 (ventas, EBITDA, EBIT, beneficio, BPA, DPA), 27 analistas y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https://in.marketscreener.com/quote/stock/DIXON-TECHNOLOGIES-INDIA-42739483/finances/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Government Bond Yields: 10-year for India (INDIRLTLT01STM), septiembre de 2026: 7,06 %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OECD vía 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https://fred.stlouisfed.org/series/INDIRLTLT01STM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USDINR (94,915), TWDINR (2,921) y HKDINR (12,0965),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https://finance.yahoo.com/quote/USDINR=X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Aditya Infotech (CPPLUS.NS): precio de 4.010 INR y 122,63 M de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https://finance.yahoo.com/quote/CPPLUS.NS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a la NSE: aportación a Adivistar (JV con Vivo India, 51 %)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Dixon Technologies (India) Ltd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https://nsearchives.nseindia.com/corporate/DIXON_21092026184010_AcquisitionAdivistarFinal21092026.pdf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Today: «Dixon Technologies shares fall from 52-week high; mixed views on outlook, price targets» (CLSA infraponderar con 10.400 INR)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https://www.businesstoday.in/markets/stocks/story/dixon-technologies-shares-fall-from-52-week-high-mixed-views-on-outlook-price-targets-539076-2026-06-25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Today: Nomura ve un 50 % de potencial tras la aprobación de la JV con HKC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https://www.businesstoday.in/amp/markets/stocks/story/dixon-tech-share-price-target-nomura-sees-50-upside-after-hkc-display-jv-approval-519805-2026-03-10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a la NSE: aclaración sobre la noticia de la aprobación de la JV con Vivo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Dixon Technologies (India) Ltd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https://nsearchives.nseindia.com/corporate/DIXON_17062026133723_Reg30NewsVerificationNSE.pdf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a la NSE: aprobación PN3 de la JV con Vivo India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Dixon Technologies (India) Ltd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https://nsearchives.nseindia.com/corporate/DIXON_09072026203710_AnnouncemnetPN309072026Final.pdf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Angel One: Dixon firma la JV con Gemtek; la acción a 12.990 INR el 7-oct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Angel 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https://www.angelone.in/news/stocks/dixon-technologies-share-price-in-focus-signs-jv-agreement-with-gemtek-to-manufacture-telecom-products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Baroda BNP Paribas: Dixon Technologies, revisión del 4T FY26 (Mantener, 11.200 INR; recorte de estimaciones por la memoria y el retraso de Vivo)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Baroda BNP Paribas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https://www.barodaetrade.com/Reports/DixonTechnologies-Q4FY26ResultReview13May26-Research.pdf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ValuePickr, hilo «Dixon Technologies» (posts de octubre de 2025 a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ValuePickr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https://forum.valuepickr.com/t/dixon-technologies/19020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HDFC Sky: «Dixon Tech shares jump 5 % on Vivo JV approval buzz»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HDFC Sky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https://hdfcsky.com/news/dixon-tech-shares-jump-5percent-on-vivo-jv-approval-buzz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DSIJ: «Strategic JV Alert! This Tech Manufacturer Expands Into Optical Connectivity» (Gemtek)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Dalal Street Investment Journal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https://insights.dsij.in/dsijarticledetail/strategic-jv-alert-this-tech-manufacturer-expands-into-optical-connectivity-id022</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86,3 %</w:t>
      </w:r>
      <w:r>
        <w:t xml:space="preserve"> · Secciones con menos del 60 % de campos cubiertos: </w:t>
      </w:r>
      <w:r>
        <w:rPr>
          <w:b/>
          <w:bCs/>
        </w:rPr>
        <w:t xml:space="preserve">ninguna</w:t>
      </w:r>
      <w:r>
        <w:t xml:space="preserve"> · Generado el 19 oct 2026.</w:t>
      </w:r>
    </w:p>
    <w:p>
      <w:pPr>
        <w:pStyle w:val="Nota"/>
        <w:spacing w:after="100"/>
      </w:pPr>
      <w:r>
        <w:t xml:space="preserve">Cuentas consolidadas Ind AS en millones de INR (los estados vienen en lakhs: ÷ 10). Ejercicio de abril a marzo: FY2026 = abril de 2025 a marzo de 2026. India no tiene XBRL en herramientas/cuentas.mjs: FY2022-FY2026 salen de los informes anuales auditados [1, 2, 3, 4] (FY2023 de las comparativas del informe de FY2024; el de FY2023 no se pudo descargar) y los trimestres de los resultados publicados en la NSE y de las presentaciones [5, 6, 7, 8, 9, 10, 11, 12]. Dixon publica un solo segmento contable («Electronics Goods»): las divisiones son las de sus presentaciones, con resultado solo para FY2025-FY2026. El beneficio publicado de FY2025, FY2026 y el 1T FY27 incluye plusvalías de Aditya Infotech; la valoración usa el BPA ajustado tras minoritarios. Precio: cierre del 19-oct-2026 en la NSE (12.100 INR) [28]. Los resultados del 2T FY27 aún no tienen fecha.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Dixon Technologies (India) Ltd (DIXON)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(INR) · precio actual 12.100,00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(9.600,00 – 16.999,00)</c:v>
                </c:pt>
                <c:pt idx="1">
                  <c:v>Precio objetivo de los analistas (8.817,00 – 17.800,00)</c:v>
                </c:pt>
                <c:pt idx="2">
                  <c:v>Comparables: PER NTM (3.598,70 – 10.393,61)</c:v>
                </c:pt>
                <c:pt idx="3">
                  <c:v>DCF (WACC y g ± 0,5) (2.054,56 – 2.746,89)</c:v>
                </c:pt>
                <c:pt idx="4">
                  <c:v>Escenarios (bajista – alcista) (872,04 – 3.929,68)</c:v>
                </c:pt>
                <c:pt idx="5">
                  <c:v>DCF con la prima implícita del mercado (4,2 %)</c:v>
                </c:pt>
                <c:pt idx="6">
                  <c:v>Precio actual (12.100,00)</c:v>
                </c:pt>
              </c:strCache>
            </c:strRef>
          </c:cat>
          <c:val>
            <c:numRef>
              <c:f>Hoja1!$B$2:$B$8</c:f>
              <c:numCache>
                <c:formatCode>#,##0</c:formatCode>
                <c:ptCount val="7"/>
                <c:pt idx="0">
                  <c:v>9600</c:v>
                </c:pt>
                <c:pt idx="1">
                  <c:v>8817</c:v>
                </c:pt>
                <c:pt idx="2">
                  <c:v>3598.7</c:v>
                </c:pt>
                <c:pt idx="3">
                  <c:v>2054.56</c:v>
                </c:pt>
                <c:pt idx="4">
                  <c:v>872.04</c:v>
                </c:pt>
                <c:pt idx="5">
                  <c:v>2793.27</c:v>
                </c:pt>
                <c:pt idx="6">
                  <c:v>12039.5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(9.600,00 – 16.999,00)</c:v>
                </c:pt>
                <c:pt idx="1">
                  <c:v>Precio objetivo de los analistas (8.817,00 – 17.800,00)</c:v>
                </c:pt>
                <c:pt idx="2">
                  <c:v>Comparables: PER NTM (3.598,70 – 10.393,61)</c:v>
                </c:pt>
                <c:pt idx="3">
                  <c:v>DCF (WACC y g ± 0,5) (2.054,56 – 2.746,89)</c:v>
                </c:pt>
                <c:pt idx="4">
                  <c:v>Escenarios (bajista – alcista) (872,04 – 3.929,68)</c:v>
                </c:pt>
                <c:pt idx="5">
                  <c:v>DCF con la prima implícita del mercado (4,2 %)</c:v>
                </c:pt>
                <c:pt idx="6">
                  <c:v>Precio actual (12.100,00)</c:v>
                </c:pt>
              </c:strCache>
            </c:strRef>
          </c:cat>
          <c:val>
            <c:numRef>
              <c:f>Hoja1!$C$2:$C$8</c:f>
              <c:numCache>
                <c:formatCode>#,##0</c:formatCode>
                <c:ptCount val="7"/>
                <c:pt idx="0">
                  <c:v>7399</c:v>
                </c:pt>
                <c:pt idx="1">
                  <c:v>8983</c:v>
                </c:pt>
                <c:pt idx="2">
                  <c:v>6794.910000000001</c:v>
                </c:pt>
                <c:pt idx="3">
                  <c:v>692.3299999999999</c:v>
                </c:pt>
                <c:pt idx="4">
                  <c:v>3057.64</c:v>
                </c:pt>
                <c:pt idx="5">
                  <c:v>621.7400000000002</c:v>
                </c:pt>
                <c:pt idx="6">
                  <c:v>121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(INR, millones)</a:t>
            </a:r>
          </a:p>
        </c:rich>
      </c:tx>
      <c:overlay val="0"/>
    </c:title>
    <c:autoTitleDeleted val="0"/>
    <c:plotArea>
      <c:layout/>
      <c:barChart>
        <c:barDir val="col"/>
        <c:grouping val="stacked"/>
        <c:varyColors val="0"/>
        <c:ser>
          <c:idx val="0"/>
          <c:order val="0"/>
          <c:tx>
            <c:strRef>
              <c:f>Hoja1!$B$1</c:f>
              <c:strCache>
                <c:ptCount val="1"/>
                <c:pt idx="0">
                  <c:v>Móviles y EMS</c:v>
                </c:pt>
              </c:strCache>
            </c:strRef>
          </c:tx>
          <c:spPr>
            <a:solidFill>
              <a:srgbClr val="2A78D6"/>
            </a:solidFill>
            <a:ln w="12700">
              <a:solidFill>
                <a:srgbClr val="FFFFFF"/>
              </a:solidFill>
            </a:ln>
          </c:spPr>
          <c:invertIfNegative val="0"/>
          <c:cat>
            <c:strRef>
              <c:f>Hoja1!$A$2:$A$4</c:f>
              <c:strCache>
                <c:ptCount val="3"/>
                <c:pt idx="0">
                  <c:v>FY2024</c:v>
                </c:pt>
                <c:pt idx="1">
                  <c:v>FY2025</c:v>
                </c:pt>
                <c:pt idx="2">
                  <c:v>FY2026</c:v>
                </c:pt>
              </c:strCache>
            </c:strRef>
          </c:cat>
          <c:val>
            <c:numRef>
              <c:f>Hoja1!$B$2:$B$4</c:f>
              <c:numCache>
                <c:formatCode>#,##0</c:formatCode>
                <c:ptCount val="3"/>
                <c:pt idx="0">
                  <c:v>109190</c:v>
                </c:pt>
                <c:pt idx="1">
                  <c:v>330430</c:v>
                </c:pt>
                <c:pt idx="2">
                  <c:v>442570</c:v>
                </c:pt>
              </c:numCache>
            </c:numRef>
          </c:val>
        </c:ser>
        <c:ser>
          <c:idx val="1"/>
          <c:order val="1"/>
          <c:tx>
            <c:strRef>
              <c:f>Hoja1!$C$1</c:f>
              <c:strCache>
                <c:ptCount val="1"/>
                <c:pt idx="0">
                  <c:v>Electrónica de consumo</c:v>
                </c:pt>
              </c:strCache>
            </c:strRef>
          </c:tx>
          <c:spPr>
            <a:solidFill>
              <a:srgbClr val="EB6834"/>
            </a:solidFill>
            <a:ln w="12700">
              <a:solidFill>
                <a:srgbClr val="FFFFFF"/>
              </a:solidFill>
            </a:ln>
          </c:spPr>
          <c:invertIfNegative val="0"/>
          <c:cat>
            <c:strRef>
              <c:f>Hoja1!$A$2:$A$4</c:f>
              <c:strCache>
                <c:ptCount val="3"/>
                <c:pt idx="0">
                  <c:v>FY2024</c:v>
                </c:pt>
                <c:pt idx="1">
                  <c:v>FY2025</c:v>
                </c:pt>
                <c:pt idx="2">
                  <c:v>FY2026</c:v>
                </c:pt>
              </c:strCache>
            </c:strRef>
          </c:cat>
          <c:val>
            <c:numRef>
              <c:f>Hoja1!$C$2:$C$4</c:f>
              <c:numCache>
                <c:formatCode>#,##0</c:formatCode>
                <c:ptCount val="3"/>
                <c:pt idx="0">
                  <c:v>41480</c:v>
                </c:pt>
                <c:pt idx="1">
                  <c:v>35900</c:v>
                </c:pt>
                <c:pt idx="2">
                  <c:v>28920</c:v>
                </c:pt>
              </c:numCache>
            </c:numRef>
          </c:val>
        </c:ser>
        <c:ser>
          <c:idx val="2"/>
          <c:order val="2"/>
          <c:tx>
            <c:strRef>
              <c:f>Hoja1!$D$1</c:f>
              <c:strCache>
                <c:ptCount val="1"/>
                <c:pt idx="0">
                  <c:v>Electrodomésticos</c:v>
                </c:pt>
              </c:strCache>
            </c:strRef>
          </c:tx>
          <c:spPr>
            <a:solidFill>
              <a:srgbClr val="1BAF7A"/>
            </a:solidFill>
            <a:ln w="12700">
              <a:solidFill>
                <a:srgbClr val="FFFFFF"/>
              </a:solidFill>
            </a:ln>
          </c:spPr>
          <c:invertIfNegative val="0"/>
          <c:cat>
            <c:strRef>
              <c:f>Hoja1!$A$2:$A$4</c:f>
              <c:strCache>
                <c:ptCount val="3"/>
                <c:pt idx="0">
                  <c:v>FY2024</c:v>
                </c:pt>
                <c:pt idx="1">
                  <c:v>FY2025</c:v>
                </c:pt>
                <c:pt idx="2">
                  <c:v>FY2026</c:v>
                </c:pt>
              </c:strCache>
            </c:strRef>
          </c:cat>
          <c:val>
            <c:numRef>
              <c:f>Hoja1!$D$2:$D$4</c:f>
              <c:numCache>
                <c:formatCode>#,##0</c:formatCode>
                <c:ptCount val="3"/>
                <c:pt idx="0">
                  <c:v>7870</c:v>
                </c:pt>
                <c:pt idx="1">
                  <c:v>13660</c:v>
                </c:pt>
                <c:pt idx="2">
                  <c:v>14260</c:v>
                </c:pt>
              </c:numCache>
            </c:numRef>
          </c:val>
        </c:ser>
        <c:ser>
          <c:idx val="3"/>
          <c:order val="3"/>
          <c:tx>
            <c:strRef>
              <c:f>Hoja1!$E$1</c:f>
              <c:strCache>
                <c:ptCount val="1"/>
                <c:pt idx="0">
                  <c:v>Otros (iluminación hasta su traspaso y ajustes)</c:v>
                </c:pt>
              </c:strCache>
            </c:strRef>
          </c:tx>
          <c:spPr>
            <a:solidFill>
              <a:srgbClr val="EDA100"/>
            </a:solidFill>
            <a:ln w="12700">
              <a:solidFill>
                <a:srgbClr val="FFFFFF"/>
              </a:solidFill>
            </a:ln>
          </c:spPr>
          <c:invertIfNegative val="0"/>
          <c:cat>
            <c:strRef>
              <c:f>Hoja1!$A$2:$A$4</c:f>
              <c:strCache>
                <c:ptCount val="3"/>
                <c:pt idx="0">
                  <c:v>FY2024</c:v>
                </c:pt>
                <c:pt idx="1">
                  <c:v>FY2025</c:v>
                </c:pt>
                <c:pt idx="2">
                  <c:v>FY2026</c:v>
                </c:pt>
              </c:strCache>
            </c:strRef>
          </c:cat>
          <c:val>
            <c:numRef>
              <c:f>Hoja1!$E$2:$E$4</c:f>
              <c:numCache>
                <c:formatCode>#,##0</c:formatCode>
                <c:ptCount val="3"/>
                <c:pt idx="0">
                  <c:v>18369</c:v>
                </c:pt>
                <c:pt idx="1">
                  <c:v>8611</c:v>
                </c:pt>
                <c:pt idx="2">
                  <c:v>2978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Móviles y EMS</c:v>
                </c:pt>
                <c:pt idx="1">
                  <c:v>Electrónica de consumo</c:v>
                </c:pt>
                <c:pt idx="2">
                  <c:v>Electrodomésticos</c:v>
                </c:pt>
                <c:pt idx="3">
                  <c:v>Otros (iluminación hasta su traspaso y ajustes)</c:v>
                </c:pt>
              </c:strCache>
            </c:strRef>
          </c:cat>
          <c:val>
            <c:numRef>
              <c:f>Hoja1!$B$2:$B$5</c:f>
              <c:numCache>
                <c:formatCode>General</c:formatCode>
                <c:ptCount val="4"/>
                <c:pt idx="0">
                  <c:v>90.6</c:v>
                </c:pt>
                <c:pt idx="1">
                  <c:v>5.9</c:v>
                </c:pt>
                <c:pt idx="2">
                  <c:v>2.9</c:v>
                </c:pt>
                <c:pt idx="3">
                  <c:v>0.6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India</c:v>
                </c:pt>
                <c:pt idx="1">
                  <c:v>Exportación</c:v>
                </c:pt>
              </c:strCache>
            </c:strRef>
          </c:cat>
          <c:val>
            <c:numRef>
              <c:f>Hoja1!$B$2:$B$3</c:f>
              <c:numCache>
                <c:formatCode>0"%"</c:formatCode>
                <c:ptCount val="2"/>
                <c:pt idx="0">
                  <c:v>88.9</c:v>
                </c:pt>
                <c:pt idx="1">
                  <c:v>11.1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FY2020</c:v>
                </c:pt>
                <c:pt idx="1">
                  <c:v>FY2025</c:v>
                </c:pt>
                <c:pt idx="2">
                  <c:v>FY2030e</c:v>
                </c:pt>
              </c:strCache>
            </c:strRef>
          </c:cat>
          <c:val>
            <c:numRef>
              <c:f>Hoja1!$B$2:$B$4</c:f>
              <c:numCache>
                <c:formatCode>#,##0</c:formatCode>
                <c:ptCount val="3"/>
                <c:pt idx="0">
                  <c:v>11000</c:v>
                </c:pt>
                <c:pt idx="1">
                  <c:v>45000</c:v>
                </c:pt>
                <c:pt idx="2">
                  <c:v>150000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5</c:v>
                </c:pt>
                <c:pt idx="2">
                  <c:v>4</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Dixon</c:v>
                </c:pt>
                <c:pt idx="1">
                  <c:v>Kaynes Technology</c:v>
                </c:pt>
                <c:pt idx="2">
                  <c:v>Amber Enterprises</c:v>
                </c:pt>
                <c:pt idx="3">
                  <c:v>Syrma SGS</c:v>
                </c:pt>
                <c:pt idx="4">
                  <c:v>PG Electroplast</c:v>
                </c:pt>
                <c:pt idx="5">
                  <c:v>Hon Hai (Foxconn)</c:v>
                </c:pt>
                <c:pt idx="6">
                  <c:v>Jabil</c:v>
                </c:pt>
                <c:pt idx="7">
                  <c:v>Flex</c:v>
                </c:pt>
                <c:pt idx="8">
                  <c:v>Bhagwati Products (Micromax)</c:v>
                </c:pt>
              </c:strCache>
            </c:strRef>
          </c:cat>
          <c:val>
            <c:numRef>
              <c:f>Hoja1!$B$2:$B$10</c:f>
              <c:numCache>
                <c:formatCode>0.0"%"</c:formatCode>
                <c:ptCount val="9"/>
                <c:pt idx="0">
                  <c:v>3</c:v>
                </c:pt>
                <c:pt idx="1">
                  <c:v>11.7</c:v>
                </c:pt>
                <c:pt idx="2">
                  <c:v>5.2</c:v>
                </c:pt>
                <c:pt idx="3">
                  <c:v>8.8</c:v>
                </c:pt>
                <c:pt idx="4">
                  <c:v>6</c:v>
                </c:pt>
                <c:pt idx="5">
                  <c:v>3.8</c:v>
                </c:pt>
                <c:pt idx="6">
                  <c:v>5.9</c:v>
                </c:pt>
                <c:pt idx="7">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2</c:v>
                </c:pt>
                <c:pt idx="3">
                  <c:v>3</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(INR,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strCache>
            </c:strRef>
          </c:cat>
          <c:val>
            <c:numRef>
              <c:f>Hoja1!$B$2:$B$14</c:f>
              <c:numCache>
                <c:formatCode>#,##0</c:formatCode>
                <c:ptCount val="13"/>
                <c:pt idx="0">
                  <c:v>106970.8</c:v>
                </c:pt>
                <c:pt idx="1">
                  <c:v>121920.1</c:v>
                </c:pt>
                <c:pt idx="2">
                  <c:v>176909</c:v>
                </c:pt>
                <c:pt idx="3">
                  <c:v>388601</c:v>
                </c:pt>
                <c:pt idx="4">
                  <c:v>488728</c:v>
                </c:pt>
                <c:pt idx="5">
                  <c:v>609933</c:v>
                </c:pt>
                <c:pt idx="6">
                  <c:v>839877</c:v>
                </c:pt>
                <c:pt idx="7">
                  <c:v>965859</c:v>
                </c:pt>
                <c:pt idx="8">
                  <c:v>1072103</c:v>
                </c:pt>
                <c:pt idx="9">
                  <c:v>1168592</c:v>
                </c:pt>
                <c:pt idx="10">
                  <c:v>1262080</c:v>
                </c:pt>
                <c:pt idx="11">
                  <c:v>1350425</c:v>
                </c:pt>
                <c:pt idx="12">
                  <c:v>1438203</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strCache>
            </c:strRef>
          </c:cat>
          <c:val>
            <c:numRef>
              <c:f>Hoja1!$C$2:$C$14</c:f>
              <c:numCache>
                <c:formatCode>#,##0</c:formatCode>
                <c:ptCount val="13"/>
                <c:pt idx="0">
                  <c:v>3791.1</c:v>
                </c:pt>
                <c:pt idx="1">
                  <c:v>5127.5</c:v>
                </c:pt>
                <c:pt idx="2">
                  <c:v>6976.3</c:v>
                </c:pt>
                <c:pt idx="3">
                  <c:v>15075.8</c:v>
                </c:pt>
                <c:pt idx="4">
                  <c:v>18665.2</c:v>
                </c:pt>
                <c:pt idx="5">
                  <c:v>19518</c:v>
                </c:pt>
                <c:pt idx="6">
                  <c:v>28556</c:v>
                </c:pt>
                <c:pt idx="7">
                  <c:v>34771</c:v>
                </c:pt>
                <c:pt idx="8">
                  <c:v>39668</c:v>
                </c:pt>
                <c:pt idx="9">
                  <c:v>43238</c:v>
                </c:pt>
                <c:pt idx="10">
                  <c:v>46697</c:v>
                </c:pt>
                <c:pt idx="11">
                  <c:v>49966</c:v>
                </c:pt>
                <c:pt idx="12">
                  <c:v>53214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8.6</c:v>
                </c:pt>
                <c:pt idx="1">
                  <c:v>9.6</c:v>
                </c:pt>
                <c:pt idx="2">
                  <c:v>9.3</c:v>
                </c:pt>
                <c:pt idx="3">
                  <c:v>7.8</c:v>
                </c:pt>
                <c:pt idx="4">
                  <c:v>7.4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3.5</c:v>
                </c:pt>
                <c:pt idx="1">
                  <c:v>4.2</c:v>
                </c:pt>
                <c:pt idx="2">
                  <c:v>3.9</c:v>
                </c:pt>
                <c:pt idx="3">
                  <c:v>3.9</c:v>
                </c:pt>
                <c:pt idx="4">
                  <c:v>3.8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2.8</c:v>
                </c:pt>
                <c:pt idx="1">
                  <c:v>3.3</c:v>
                </c:pt>
                <c:pt idx="2">
                  <c:v>3</c:v>
                </c:pt>
                <c:pt idx="3">
                  <c:v>3.2</c:v>
                </c:pt>
                <c:pt idx="4">
                  <c:v>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1.8</c:v>
                </c:pt>
                <c:pt idx="1">
                  <c:v>2.1</c:v>
                </c:pt>
                <c:pt idx="2">
                  <c:v>2.1</c:v>
                </c:pt>
                <c:pt idx="3">
                  <c:v>2.8</c:v>
                </c:pt>
                <c:pt idx="4">
                  <c:v>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 FY25</c:v>
                </c:pt>
                <c:pt idx="1">
                  <c:v>3T FY25</c:v>
                </c:pt>
                <c:pt idx="2">
                  <c:v>4T FY25</c:v>
                </c:pt>
                <c:pt idx="3">
                  <c:v>1T FY26</c:v>
                </c:pt>
                <c:pt idx="4">
                  <c:v>2T FY26</c:v>
                </c:pt>
                <c:pt idx="5">
                  <c:v>3T FY26</c:v>
                </c:pt>
                <c:pt idx="6">
                  <c:v>4T FY26</c:v>
                </c:pt>
                <c:pt idx="7">
                  <c:v>1T FY27</c:v>
                </c:pt>
              </c:strCache>
            </c:strRef>
          </c:cat>
          <c:val>
            <c:numRef>
              <c:f>Hoja1!$B$2:$B$9</c:f>
              <c:numCache>
                <c:formatCode>0.0"%"</c:formatCode>
                <c:ptCount val="8"/>
                <c:pt idx="0">
                  <c:v>132.2</c:v>
                </c:pt>
                <c:pt idx="1">
                  <c:v>117.1</c:v>
                </c:pt>
                <c:pt idx="2">
                  <c:v>120.8</c:v>
                </c:pt>
                <c:pt idx="3">
                  <c:v>95.1</c:v>
                </c:pt>
                <c:pt idx="4">
                  <c:v>28.8</c:v>
                </c:pt>
                <c:pt idx="5">
                  <c:v>2.1</c:v>
                </c:pt>
                <c:pt idx="6">
                  <c:v>2.1</c:v>
                </c:pt>
                <c:pt idx="7">
                  <c:v>21.1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46</c:v>
                </c:pt>
                <c:pt idx="1">
                  <c:v>51</c:v>
                </c:pt>
                <c:pt idx="2">
                  <c:v>48</c:v>
                </c:pt>
                <c:pt idx="3">
                  <c:v>65</c:v>
                </c:pt>
                <c:pt idx="4">
                  <c:v>49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41</c:v>
                </c:pt>
                <c:pt idx="1">
                  <c:v>30</c:v>
                </c:pt>
                <c:pt idx="2">
                  <c:v>36</c:v>
                </c:pt>
                <c:pt idx="3">
                  <c:v>39</c:v>
                </c:pt>
                <c:pt idx="4">
                  <c:v>30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82</c:v>
                </c:pt>
                <c:pt idx="1">
                  <c:v>77</c:v>
                </c:pt>
                <c:pt idx="2">
                  <c:v>87</c:v>
                </c:pt>
                <c:pt idx="3">
                  <c:v>106</c:v>
                </c:pt>
                <c:pt idx="4">
                  <c:v>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(INR,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-2045.4999999999995</c:v>
                </c:pt>
                <c:pt idx="1">
                  <c:v>1908.2000000000003</c:v>
                </c:pt>
                <c:pt idx="2">
                  <c:v>-923.4999999999998</c:v>
                </c:pt>
                <c:pt idx="3">
                  <c:v>185.29999999999995</c:v>
                </c:pt>
                <c:pt idx="4">
                  <c:v>5258.500000000001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1901.7</c:v>
                </c:pt>
                <c:pt idx="1">
                  <c:v>2555.2</c:v>
                </c:pt>
                <c:pt idx="2">
                  <c:v>3677.5</c:v>
                </c:pt>
                <c:pt idx="3">
                  <c:v>10955.4</c:v>
                </c:pt>
                <c:pt idx="4">
                  <c:v>14386.4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16.4</c:v>
                </c:pt>
                <c:pt idx="1">
                  <c:v>20.8</c:v>
                </c:pt>
                <c:pt idx="2">
                  <c:v>23.4</c:v>
                </c:pt>
                <c:pt idx="3">
                  <c:v>32.8</c:v>
                </c:pt>
                <c:pt idx="4">
                  <c:v>26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14</c:v>
                </c:pt>
                <c:pt idx="1">
                  <c:v>14</c:v>
                </c:pt>
                <c:pt idx="2">
                  <c:v>14</c:v>
                </c:pt>
                <c:pt idx="3">
                  <c:v>14</c:v>
                </c:pt>
                <c:pt idx="4">
                  <c:v>14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19.1</c:v>
                </c:pt>
                <c:pt idx="1">
                  <c:v>22.4</c:v>
                </c:pt>
                <c:pt idx="2">
                  <c:v>24.7</c:v>
                </c:pt>
                <c:pt idx="3">
                  <c:v>46.6</c:v>
                </c:pt>
                <c:pt idx="4">
                  <c:v>37.4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0.92</c:v>
                </c:pt>
                <c:pt idx="1">
                  <c:v>0.38</c:v>
                </c:pt>
                <c:pt idx="2">
                  <c:v>0.4</c:v>
                </c:pt>
                <c:pt idx="3">
                  <c:v>0.27</c:v>
                </c:pt>
                <c:pt idx="4">
                  <c:v>-0.13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(INR,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FY2027</c:v>
                </c:pt>
                <c:pt idx="1">
                  <c:v>FY2028+</c:v>
                </c:pt>
              </c:strCache>
            </c:strRef>
          </c:cat>
          <c:val>
            <c:numRef>
              <c:f>Hoja1!$B$2:$B$3</c:f>
              <c:numCache>
                <c:formatCode>#,##0</c:formatCode>
                <c:ptCount val="2"/>
                <c:pt idx="0">
                  <c:v>1078</c:v>
                </c:pt>
                <c:pt idx="1">
                  <c:v>3597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(INR,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0</c:v>
                </c:pt>
                <c:pt idx="1">
                  <c:v>0</c:v>
                </c:pt>
                <c:pt idx="2">
                  <c:v>0</c:v>
                </c:pt>
                <c:pt idx="3">
                  <c:v>3209.8</c:v>
                </c:pt>
                <c:pt idx="4">
                  <c:v>4305.1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58.6</c:v>
                </c:pt>
                <c:pt idx="1">
                  <c:v>118.7</c:v>
                </c:pt>
                <c:pt idx="2">
                  <c:v>178.6</c:v>
                </c:pt>
                <c:pt idx="3">
                  <c:v>329.1</c:v>
                </c:pt>
                <c:pt idx="4">
                  <c:v>1178.3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Otro externo</c:v>
                </c:pt>
                <c:pt idx="2">
                  <c:v>Independiente</c:v>
                </c:pt>
              </c:strCache>
            </c:strRef>
          </c:cat>
          <c:val>
            <c:numRef>
              <c:f>Hoja1!$B$2:$B$4</c:f>
              <c:numCache>
                <c:formatCode>0</c:formatCode>
                <c:ptCount val="3"/>
                <c:pt idx="0">
                  <c:v>3</c:v>
                </c:pt>
                <c:pt idx="1">
                  <c:v>1</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Grupo promotor (Sunil Vachani, fideicomisos PSV y KSV, Gayatri Vachani, Suresh Vaswani)</c:v>
                </c:pt>
                <c:pt idx="1">
                  <c:v>Kamla Vachani (familia, fuera del grupo promotor)</c:v>
                </c:pt>
                <c:pt idx="2">
                  <c:v>Atul B. Lall</c:v>
                </c:pt>
                <c:pt idx="3">
                  <c:v>Fondos de inversión indios</c:v>
                </c:pt>
                <c:pt idx="4">
                  <c:v>Inversores extranjeros (FPI)</c:v>
                </c:pt>
                <c:pt idx="5">
                  <c:v>Aseguradoras y fondos de pensiones</c:v>
                </c:pt>
                <c:pt idx="6">
                  <c:v>Minoristas y no residentes</c:v>
                </c:pt>
              </c:strCache>
            </c:strRef>
          </c:cat>
          <c:val>
            <c:numRef>
              <c:f>Hoja1!$B$2:$B$8</c:f>
              <c:numCache>
                <c:formatCode>0.0"%"</c:formatCode>
                <c:ptCount val="7"/>
                <c:pt idx="0">
                  <c:v>28.5</c:v>
                </c:pt>
                <c:pt idx="1">
                  <c:v>6.17</c:v>
                </c:pt>
                <c:pt idx="2">
                  <c:v>3.18</c:v>
                </c:pt>
                <c:pt idx="3">
                  <c:v>19.26</c:v>
                </c:pt>
                <c:pt idx="4">
                  <c:v>18.96</c:v>
                </c:pt>
                <c:pt idx="5">
                  <c:v>8.91</c:v>
                </c:pt>
                <c:pt idx="6">
                  <c:v>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-50.8</c:v>
                </c:pt>
                <c:pt idx="1">
                  <c:v>84.2</c:v>
                </c:pt>
                <c:pt idx="2">
                  <c:v>254</c:v>
                </c:pt>
                <c:pt idx="3">
                  <c:v>104.8</c:v>
                </c:pt>
                <c:pt idx="4">
                  <c:v>-29.1</c:v>
                </c:pt>
                <c:pt idx="5">
                  <c:v>68.2</c:v>
                </c:pt>
                <c:pt idx="6">
                  <c:v>173.1</c:v>
                </c:pt>
                <c:pt idx="7">
                  <c:v>-32.5</c:v>
                </c:pt>
              </c:numCache>
            </c:numRef>
          </c:val>
        </c:ser>
        <c:ser>
          <c:idx val="1"/>
          <c:order val="1"/>
          <c:tx>
            <c:strRef>
              <c:f>Hoja1!$C$1</c:f>
              <c:strCache>
                <c:ptCount val="1"/>
                <c:pt idx="0">
                  <c:v>Índice</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3.2</c:v>
                </c:pt>
                <c:pt idx="1">
                  <c:v>12</c:v>
                </c:pt>
                <c:pt idx="2">
                  <c:v>14.9</c:v>
                </c:pt>
                <c:pt idx="3">
                  <c:v>24.1</c:v>
                </c:pt>
                <c:pt idx="4">
                  <c:v>4.3</c:v>
                </c:pt>
                <c:pt idx="5">
                  <c:v>20</c:v>
                </c:pt>
                <c:pt idx="6">
                  <c:v>8.8</c:v>
                </c:pt>
                <c:pt idx="7">
                  <c:v>10.5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68.5</c:v>
                </c:pt>
                <c:pt idx="1">
                  <c:v>33.8</c:v>
                </c:pt>
                <c:pt idx="2">
                  <c:v>64.8</c:v>
                </c:pt>
                <c:pt idx="3">
                  <c:v>53.8</c:v>
                </c:pt>
                <c:pt idx="4">
                  <c:v>31.9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0.0"x"</c:formatCode>
                <c:ptCount val="5"/>
                <c:pt idx="0">
                  <c:v>53.8</c:v>
                </c:pt>
                <c:pt idx="1">
                  <c:v>53.8</c:v>
                </c:pt>
                <c:pt idx="2">
                  <c:v>53.8</c:v>
                </c:pt>
                <c:pt idx="3">
                  <c:v>53.8</c:v>
                </c:pt>
                <c:pt idx="4">
                  <c:v>53.8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Dixon</c:v>
                </c:pt>
                <c:pt idx="1">
                  <c:v>Kaynes Technology</c:v>
                </c:pt>
                <c:pt idx="2">
                  <c:v>Amber Enterprises</c:v>
                </c:pt>
                <c:pt idx="3">
                  <c:v>Syrma SGS</c:v>
                </c:pt>
                <c:pt idx="4">
                  <c:v>PG Electroplast</c:v>
                </c:pt>
                <c:pt idx="5">
                  <c:v>Avalon Technologies</c:v>
                </c:pt>
                <c:pt idx="6">
                  <c:v>Hon Hai (Foxconn)</c:v>
                </c:pt>
                <c:pt idx="7">
                  <c:v>Jabil</c:v>
                </c:pt>
                <c:pt idx="8">
                  <c:v>Flex</c:v>
                </c:pt>
                <c:pt idx="9">
                  <c:v>Celestica</c:v>
                </c:pt>
              </c:strCache>
            </c:strRef>
          </c:cat>
          <c:val>
            <c:numRef>
              <c:f>Hoja1!$B$2:$B$11</c:f>
              <c:numCache>
                <c:formatCode>0.0"x"</c:formatCode>
                <c:ptCount val="10"/>
                <c:pt idx="0">
                  <c:v>26.4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(INR,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-1042</c:v>
                </c:pt>
                <c:pt idx="1">
                  <c:v>4829</c:v>
                </c:pt>
                <c:pt idx="2">
                  <c:v>9055</c:v>
                </c:pt>
                <c:pt idx="3">
                  <c:v>13133</c:v>
                </c:pt>
                <c:pt idx="4">
                  <c:v>16652</c:v>
                </c:pt>
                <c:pt idx="5">
                  <c:v>19247</c:v>
                </c:pt>
                <c:pt idx="6">
                  <c:v>21944</c:v>
                </c:pt>
                <c:pt idx="7">
                  <c:v>24809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(INR,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59678</c:v>
                </c:pt>
                <c:pt idx="1">
                  <c:v>123005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(INR) · precio actual 12.100,00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872.04</c:v>
                </c:pt>
                <c:pt idx="1">
                  <c:v>2358.21</c:v>
                </c:pt>
                <c:pt idx="2">
                  <c:v>3929.68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(INR) · precio actual 12.100,00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(9.600,00 – 16.999,00)</c:v>
                </c:pt>
                <c:pt idx="1">
                  <c:v>Precio objetivo de los analistas (8.817,00 – 17.800,00)</c:v>
                </c:pt>
                <c:pt idx="2">
                  <c:v>Comparables: PER NTM (3.598,70 – 10.393,61)</c:v>
                </c:pt>
                <c:pt idx="3">
                  <c:v>DCF (WACC y g ± 0,5) (2.054,56 – 2.746,89)</c:v>
                </c:pt>
                <c:pt idx="4">
                  <c:v>Escenarios (bajista – alcista) (872,04 – 3.929,68)</c:v>
                </c:pt>
                <c:pt idx="5">
                  <c:v>DCF con la prima implícita del mercado (4,2 %)</c:v>
                </c:pt>
                <c:pt idx="6">
                  <c:v>Precio actual (12.100,00)</c:v>
                </c:pt>
              </c:strCache>
            </c:strRef>
          </c:cat>
          <c:val>
            <c:numRef>
              <c:f>Hoja1!$B$2:$B$8</c:f>
              <c:numCache>
                <c:formatCode>#,##0</c:formatCode>
                <c:ptCount val="7"/>
                <c:pt idx="0">
                  <c:v>9600</c:v>
                </c:pt>
                <c:pt idx="1">
                  <c:v>8817</c:v>
                </c:pt>
                <c:pt idx="2">
                  <c:v>3598.7</c:v>
                </c:pt>
                <c:pt idx="3">
                  <c:v>2054.56</c:v>
                </c:pt>
                <c:pt idx="4">
                  <c:v>872.04</c:v>
                </c:pt>
                <c:pt idx="5">
                  <c:v>2793.27</c:v>
                </c:pt>
                <c:pt idx="6">
                  <c:v>12039.5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(9.600,00 – 16.999,00)</c:v>
                </c:pt>
                <c:pt idx="1">
                  <c:v>Precio objetivo de los analistas (8.817,00 – 17.800,00)</c:v>
                </c:pt>
                <c:pt idx="2">
                  <c:v>Comparables: PER NTM (3.598,70 – 10.393,61)</c:v>
                </c:pt>
                <c:pt idx="3">
                  <c:v>DCF (WACC y g ± 0,5) (2.054,56 – 2.746,89)</c:v>
                </c:pt>
                <c:pt idx="4">
                  <c:v>Escenarios (bajista – alcista) (872,04 – 3.929,68)</c:v>
                </c:pt>
                <c:pt idx="5">
                  <c:v>DCF con la prima implícita del mercado (4,2 %)</c:v>
                </c:pt>
                <c:pt idx="6">
                  <c:v>Precio actual (12.100,00)</c:v>
                </c:pt>
              </c:strCache>
            </c:strRef>
          </c:cat>
          <c:val>
            <c:numRef>
              <c:f>Hoja1!$C$2:$C$8</c:f>
              <c:numCache>
                <c:formatCode>#,##0</c:formatCode>
                <c:ptCount val="7"/>
                <c:pt idx="0">
                  <c:v>7399</c:v>
                </c:pt>
                <c:pt idx="1">
                  <c:v>8983</c:v>
                </c:pt>
                <c:pt idx="2">
                  <c:v>6794.910000000001</c:v>
                </c:pt>
                <c:pt idx="3">
                  <c:v>692.3299999999999</c:v>
                </c:pt>
                <c:pt idx="4">
                  <c:v>3057.64</c:v>
                </c:pt>
                <c:pt idx="5">
                  <c:v>621.7400000000002</c:v>
                </c:pt>
                <c:pt idx="6">
                  <c:v>121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