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Marriott International, Inc.</w:t>
      </w:r>
    </w:p>
    <w:p>
      <w:pPr>
        <w:spacing w:after="60"/>
        <w:rPr>
          <w:color w:val="52514E"/>
          <w:sz w:val="22"/>
          <w:szCs w:val="22"/>
        </w:rPr>
      </w:pPr>
      <w:r>
        <w:rPr>
          <w:color w:val="52514E"/>
          <w:sz w:val="22"/>
          <w:szCs w:val="22"/>
        </w:rPr>
        <w:t xml:space="preserve">MAR · Nasdaq Global Select Market · ISIN US5719032022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397,31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353,83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-10,3 % (base -0,5 %)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170,93 USD · mercado 208,76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103.618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Marriott International,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 / US5719032022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Hoteles, complejos y cruceros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Bethesda (Maryland) · 1927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https://www.marriott.com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397,31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256,76 – 410,98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103.618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119.731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550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353,83 USD</w:t>
      </w:r>
      <w:r>
        <w:t xml:space="preserve"> frente a 397,31 · Rentabilidad a 12 meses </w:t>
      </w:r>
      <w:r>
        <w:rPr>
          <w:b/>
          <w:bCs/>
        </w:rPr>
        <w:t xml:space="preserve">-10,3 % (base -0,5 %)</w:t>
      </w:r>
      <w:r>
        <w:t xml:space="preserve"> · Valor intrínseco 170,93 USD · con la prima implícita del mercado: 208,76 (-47,5 %) · Alcista / bajista -55,0 % / -75,3 %</w:t>
      </w:r>
    </w:p>
    <w:p>
      <w:pPr>
        <w:spacing w:after="100"/>
      </w:pPr>
      <w:r>
        <w:rPr>
          <w:b/>
        </w:rPr>
        <w:t xml:space="preserve">La recomendación y por qué.</w:t>
      </w:r>
      <w:r>
        <w:t xml:space="preserve"> Vender, con convicción baja. El objetivo a 12 meses es de 353,83 USD (nuestro BPA ajustado de 2028e × el PER de la regla común), una rentabilidad ponderada del −10,3 % con el dividendo y del −0,5 % en el caso base, frente a un precio de 397,31 USD (cierre del 20-oct-2026; 405,44 en la sesión del 21-oct a las 15:55 UTC). La ponderada está justo en el umbral de Vender: un 1 % menos de precio la dejaría en Mantener; por eso la convicción es baja. El valor intrínseco (170,93 USD) queda un 57 % bajo el precio y el objetivo medio de los analistas (385,38) un 3 % bajo. La razón: Marriott es un negocio excelente que el mercado ya paga a 30,5 veces el BPA de 2027, frente a una mediana de 24,7 en cinco años.</w:t>
      </w:r>
    </w:p>
    <w:p>
      <w:pPr>
        <w:spacing w:after="100"/>
      </w:pPr>
      <w:r>
        <w:rPr>
          <w:b/>
        </w:rPr>
        <w:t xml:space="preserve">El negocio.</w:t>
      </w:r>
      <w:r>
        <w:t xml:space="preserve"> El mayor grupo hotelero del mundo (1,78 M de habitaciones, 9 % del total) cobra comisiones de franquicia, gestión y tarjetas sin tener hoteles [1, 13]. Sobre los ingresos ajustados (sin costes reembolsados) gana un 64 % de margen operativo. El ROIC es del 29,7 % con el capital de financiación y del 16,0 % sin restar el pasivo de fidelidad: entre 5,8 y 19,5 puntos sobre el WACC del 10,2 %. Calidad: pasa. Sostenibilidad del crecimiento: «Sí», con una cartera de 629.000 habitaciones.</w:t>
      </w:r>
    </w:p>
    <w:p>
      <w:pPr>
        <w:spacing w:after="100"/>
      </w:pPr>
      <w:r>
        <w:rPr>
          <w:b/>
        </w:rPr>
        <w:t xml:space="preserve">Finanzas.</w:t>
      </w:r>
      <w:r>
        <w:t xml:space="preserve"> El BPA ajustado pasó de 3,19 USD (2021) a 10,02 (2025) y la guía de 2026 es de 11,64-11,81, con el salto de las tarjetas [2, 4]. El patrimonio es negativo (−4.525 M) por las recompras; la deuda (16.915 M) es ≈ 2,9 veces el EBITDA, en grado de inversión (Baa2/BBB) [6, 9]. El pasivo de fidelidad (8.444 M) es financiación de clientes, no deuda.</w:t>
      </w:r>
    </w:p>
    <w:p>
      <w:pPr>
        <w:spacing w:after="100"/>
      </w:pPr>
      <w:r>
        <w:rPr>
          <w:b/>
        </w:rPr>
        <w:t xml:space="preserve">Equipo y gobierno.</w:t>
      </w:r>
      <w:r>
        <w:t xml:space="preserve"> Capuano cumple la guía cada año. Familia con el 17,6 %, presidente de la familia y consejero coordinador independiente. En contra: 66,4 M USD de ventas de directivos sin ninguna compra y relevo de la directora financiera [23, 24].</w:t>
      </w:r>
    </w:p>
    <w:p>
      <w:pPr>
        <w:spacing w:after="100"/>
      </w:pPr>
      <w:r>
        <w:rPr>
          <w:b/>
        </w:rPr>
        <w:t xml:space="preserve">Valoración.</w:t>
      </w:r>
      <w:r>
        <w:t xml:space="preserve"> El DCF da 155,82 USD (201,58 con la prima del mercado): el precio descuenta un crecimiento del 19,7 % anual frente al 6,0 % de nuestro base en el mismo periodo. La regla a 12 meses lleva el PER de 30,5 a 27,7 veces (tope de ÷1,1) y el bajista al mínimo de 17,6 (diciembre de 2022).</w:t>
      </w:r>
    </w:p>
    <w:p>
      <w:pPr>
        <w:spacing w:after="100"/>
      </w:pPr>
      <w:r>
        <w:rPr>
          <w:b/>
        </w:rPr>
        <w:t xml:space="preserve">Riesgos y catalizadores.</w:t>
      </w:r>
      <w:r>
        <w:t xml:space="preserve"> El mayor riesgo es el múltiplo; después, el ciclo de viajes (RevPAR de EE. UU. +5 % en el 2T26 pero viajero internacional −4,7 % y Oriente Medio −43 %), la deuda para recompras, la competencia de Hilton y Airbnb, los propietarios que quieren parte de las tarjetas y la IA (exposición media: agentes de reserva que pueden quitar poder a la marca o reforzar Bonvoy; −10 % a +5 %). Catalizador: resultados del 3T26 el 2-nov. La subida del último mes (+16,5 %) es de todo el sector y no cambia la decisión (regla 13).</w:t>
      </w:r>
    </w:p>
    <w:p>
      <w:pPr>
        <w:spacing w:after="100"/>
      </w:pPr>
      <w:r>
        <w:rPr>
          <w:b/>
        </w:rPr>
        <w:t xml:space="preserve">Qué cambiaría la decisión.</w:t>
      </w:r>
      <w:r>
        <w:t xml:space="preserve"> Mantener por debajo de ≈ 396 USD; Comprar exigiría a la vez rentabilidad ponderada ≥ 15 % y valor intrínseco ≥ precio, que con nuestro DCF no se da por encima de 171 USD. Una guía de 2027 por encima de 14 USD o un RevPAR de EE. UU. que acelere mejorarían la lectura; una recesión o una caída del RevPAR la empeorarían.</w:t>
      </w:r>
    </w:p>
    <w:p>
      <w:r>
        <w:br w:type="page"/>
      </w:r>
    </w:p>
    <w:p>
      <w:pPr>
        <w:pStyle w:val="Heading1"/>
      </w:pPr>
      <w:r>
        <w:t xml:space="preserve">Resumen ejecutivo</w:t>
      </w:r>
    </w:p>
    <w:p>
      <w:pPr>
        <w:spacing w:after="100"/>
      </w:pPr>
      <w:r>
        <w:rPr>
          <w:b/>
          <w:bCs/>
        </w:rPr>
        <w:t xml:space="preserve">Recomendación: Vender</w:t>
      </w:r>
      <w:r>
        <w:t xml:space="preserve"> · Convicción: Baja · Horizonte: 12 meses · Objetivo a 12 meses: </w:t>
      </w:r>
      <w:r>
        <w:rPr>
          <w:b/>
          <w:bCs/>
        </w:rPr>
        <w:t xml:space="preserve">353,83 USD</w:t>
      </w:r>
      <w:r>
        <w:t xml:space="preserve"> (rentabilidad -10,3 % (base -0,5 %)) · Valor intrínseco: 170,93 USD (-57,0 % sobre 397,31) · con la prima implícita del mercado: 208,76 (-47,5 %)</w:t>
      </w:r>
    </w:p>
    <w:p>
      <w:pPr>
        <w:spacing w:after="100"/>
      </w:pPr>
      <w:r>
        <w:t xml:space="preserve">Marriott es el mayor sistema hotelero del mundo y su negocio es casi una franquicia de marcas: cobra el 4-7 % de los ingresos por habitación de hoteles que pagan otros, más las tarjetas de crédito y la gestión. Con 295 M de socios de Bonvoy y una cartera de 629.000 habitaciones, puede crecer un 6-7 % al año en ingresos y más del 10 % en BPA con recompras, sin capital propio [1, 4].</w:t>
      </w:r>
    </w:p>
    <w:p>
      <w:pPr>
        <w:spacing w:after="100"/>
      </w:pPr>
      <w:r>
        <w:t xml:space="preserve">El problema es el precio: 30,5 veces el BPA de 2027 deja poco margen a un negocio cíclico. El DCF solo cuadra con un crecimiento del 19,7 % anual, y la historia adelantada (mediana de 24,7 veces, mínimo de 17,6) dice que el múltiplo actual está en la parte alta. La IA es la incógnita de largo plazo: puede reforzar Bonvoy o cobrar peaje por cada reserva.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 × 12,63 = 222,29 · 27,7x × 14,17 = 392,51 · 27,7x × 14,73 = 408,02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 -0,5 %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385,38 (nuestro base +1,9 %)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170,93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 / -75,3 %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frente a 10,2 % y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208,76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-56,3 % (-46,8 % con la prima del mercado) y el precio pide 13,7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170,93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170,93 y 396,08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396,08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 396 USD: Mantener (rentabilidad ponderada por encima de −10 %).</w:t>
      </w:r>
    </w:p>
    <w:p>
      <w:pPr>
        <w:pStyle w:val="ListParagraph"/>
        <w:numPr>
          <w:ilvl w:val="0"/>
          <w:numId w:val="2"/>
        </w:numPr>
        <w:spacing w:after="60"/>
      </w:pPr>
      <w:r>
        <w:t xml:space="preserve">Comprar: exigiría un valor intrínseco por encima del precio (≈ 171 USD con nuestro DCF) y una rentabilidad ponderada ≥ 15 %.</w:t>
      </w:r>
    </w:p>
    <w:p>
      <w:pPr>
        <w:pStyle w:val="ListParagraph"/>
        <w:numPr>
          <w:ilvl w:val="0"/>
          <w:numId w:val="2"/>
        </w:numPr>
        <w:spacing w:after="60"/>
      </w:pPr>
      <w:r>
        <w:t xml:space="preserve">Guía de BPA ajustado de 2027 por encima de 14 USD sin recompras nuevas: revisar al alza.</w:t>
      </w:r>
    </w:p>
    <w:p>
      <w:pPr>
        <w:pStyle w:val="ListParagraph"/>
        <w:numPr>
          <w:ilvl w:val="0"/>
          <w:numId w:val="2"/>
        </w:numPr>
        <w:spacing w:after="60"/>
      </w:pPr>
      <w:r>
        <w:t xml:space="preserve">RevPAR de EE. UU. negativo dos trimestres: reforzar Vender.</w:t>
      </w:r>
    </w:p>
    <w:p>
      <w:pPr>
        <w:pStyle w:val="ListParagraph"/>
        <w:numPr>
          <w:ilvl w:val="0"/>
          <w:numId w:val="2"/>
        </w:numPr>
        <w:spacing w:after="60"/>
      </w:pPr>
      <w:r>
        <w:t xml:space="preserve">Acuerdo con los propietarios que recorte las comisiones de tarjetas: reforzar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BPA ajustado crece un 12-14 % al año durante años (habitaciones, RevPAR, tarjetas, recompras) y que el PER de ≈ 30 veces es el nuevo normal de los negocios de marca y fidelidad.</w:t>
      </w:r>
    </w:p>
    <w:p>
      <w:pPr>
        <w:keepNext/>
        <w:spacing w:after="100"/>
      </w:pPr>
      <w:r>
        <w:rPr>
          <w:b/>
          <w:bCs/>
        </w:rPr>
        <w:t xml:space="preserve">Lo que creemos nosotros.</w:t>
      </w:r>
    </w:p>
    <w:p>
      <w:pPr>
        <w:spacing w:after="100"/>
      </w:pPr>
      <w:r>
        <w:t xml:space="preserve">Coincidimos en el BPA (11,74 en 2026e, 13,03 en 2027e frente a 11,74 y 13,15) y discrepamos en el múltiplo: el negocio es mejor que en 2022, pero un PER de 30 en máximos de ciclo de RevPAR, con deuda creciente y la IA cambiando la distribución, no deja margen.</w:t>
      </w:r>
    </w:p>
    <w:p>
      <w:pPr>
        <w:keepNext/>
        <w:spacing w:after="100"/>
      </w:pPr>
      <w:r>
        <w:rPr>
          <w:b/>
          <w:bCs/>
        </w:rPr>
        <w:t xml:space="preserve">Por qué podemos tener razón.</w:t>
      </w:r>
    </w:p>
    <w:p>
      <w:pPr>
        <w:spacing w:after="100"/>
      </w:pPr>
      <w:r>
        <w:t xml:space="preserve">La historia adelantada muestra 17-28 veces desde 2017; el precio actual exige 19,7 % de crecimiento anual en el DCF inverso.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97,3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Mayor sistema del mundo</w:t>
      </w:r>
      <w:r>
        <w:t xml:space="preserve">: 1,78 M de habitaciones y una cartera de 629.000.</w:t>
      </w:r>
    </w:p>
    <w:p>
      <w:pPr>
        <w:pStyle w:val="ListParagraph"/>
        <w:numPr>
          <w:ilvl w:val="0"/>
          <w:numId w:val="2"/>
        </w:numPr>
        <w:spacing w:after="60"/>
      </w:pPr>
      <w:r>
        <w:rPr>
          <w:b/>
        </w:rPr>
        <w:t xml:space="preserve">Bonvoy y tarjetas</w:t>
      </w:r>
      <w:r>
        <w:t xml:space="preserve">: 295 M de socios; comisiones de tarjetas ≈ 1.000 M USD en 2026.</w:t>
      </w:r>
    </w:p>
    <w:p>
      <w:pPr>
        <w:pStyle w:val="ListParagraph"/>
        <w:numPr>
          <w:ilvl w:val="0"/>
          <w:numId w:val="2"/>
        </w:numPr>
        <w:spacing w:after="60"/>
      </w:pPr>
      <w:r>
        <w:rPr>
          <w:b/>
        </w:rPr>
        <w:t xml:space="preserve">Ligero en capital</w:t>
      </w:r>
      <w:r>
        <w:t xml:space="preserve">: ROIC del 16-30 %; el capital lo ponen los propietarios.</w:t>
      </w:r>
    </w:p>
    <w:p>
      <w:pPr>
        <w:pStyle w:val="ListParagraph"/>
        <w:numPr>
          <w:ilvl w:val="0"/>
          <w:numId w:val="2"/>
        </w:numPr>
        <w:spacing w:after="60"/>
      </w:pPr>
      <w:r>
        <w:rPr>
          <w:b/>
        </w:rPr>
        <w:t xml:space="preserve">Guía cumplida</w:t>
      </w:r>
      <w:r>
        <w:t xml:space="preserve">: cuatro años en guía; 2026 subida dos veces.</w:t>
      </w:r>
    </w:p>
    <w:p>
      <w:pPr>
        <w:pStyle w:val="ListParagraph"/>
        <w:numPr>
          <w:ilvl w:val="0"/>
          <w:numId w:val="2"/>
        </w:numPr>
        <w:spacing w:after="60"/>
      </w:pPr>
      <w:r>
        <w:rPr>
          <w:b/>
        </w:rPr>
        <w:t xml:space="preserve">Recompras</w:t>
      </w:r>
      <w:r>
        <w:t xml:space="preserve">: ≈ 3 % de las acciones al año.</w:t>
      </w:r>
    </w:p>
    <w:p>
      <w:pPr>
        <w:pStyle w:val="Heading2"/>
      </w:pPr>
      <w:r>
        <w:t xml:space="preserve">En contra</w:t>
      </w:r>
    </w:p>
    <w:p>
      <w:pPr>
        <w:pStyle w:val="ListParagraph"/>
        <w:numPr>
          <w:ilvl w:val="0"/>
          <w:numId w:val="2"/>
        </w:numPr>
        <w:spacing w:after="60"/>
      </w:pPr>
      <w:r>
        <w:rPr>
          <w:b/>
        </w:rPr>
        <w:t xml:space="preserve">Caro</w:t>
      </w:r>
      <w:r>
        <w:t xml:space="preserve">: 30,5 veces el BPA de 2027 frente a una mediana de 24,7; DCF un 61 % por debajo.</w:t>
      </w:r>
    </w:p>
    <w:p>
      <w:pPr>
        <w:pStyle w:val="ListParagraph"/>
        <w:numPr>
          <w:ilvl w:val="0"/>
          <w:numId w:val="2"/>
        </w:numPr>
        <w:spacing w:after="60"/>
      </w:pPr>
      <w:r>
        <w:rPr>
          <w:b/>
        </w:rPr>
        <w:t xml:space="preserve">Cíclico</w:t>
      </w:r>
      <w:r>
        <w:t xml:space="preserve">: el RevPAR cae con las recesiones y la guía del 3T26 decepcionó.</w:t>
      </w:r>
    </w:p>
    <w:p>
      <w:pPr>
        <w:pStyle w:val="ListParagraph"/>
        <w:numPr>
          <w:ilvl w:val="0"/>
          <w:numId w:val="2"/>
        </w:numPr>
        <w:spacing w:after="60"/>
      </w:pPr>
      <w:r>
        <w:rPr>
          <w:b/>
        </w:rPr>
        <w:t xml:space="preserve">Deuda para recompras</w:t>
      </w:r>
      <w:r>
        <w:t xml:space="preserve">: patrimonio −4.525 M USD; 1.250 M de bonos en agosto.</w:t>
      </w:r>
    </w:p>
    <w:p>
      <w:pPr>
        <w:pStyle w:val="ListParagraph"/>
        <w:numPr>
          <w:ilvl w:val="0"/>
          <w:numId w:val="2"/>
        </w:numPr>
        <w:spacing w:after="60"/>
      </w:pPr>
      <w:r>
        <w:rPr>
          <w:b/>
        </w:rPr>
        <w:t xml:space="preserve">IA en la distribución</w:t>
      </w:r>
      <w:r>
        <w:t xml:space="preserve">: puede convertir la marca en un proveedor más.</w:t>
      </w:r>
    </w:p>
    <w:p>
      <w:pPr>
        <w:pStyle w:val="ListParagraph"/>
        <w:numPr>
          <w:ilvl w:val="0"/>
          <w:numId w:val="2"/>
        </w:numPr>
        <w:spacing w:after="60"/>
      </w:pPr>
      <w:r>
        <w:rPr>
          <w:b/>
        </w:rPr>
        <w:t xml:space="preserve">Directivos vendedores</w:t>
      </w:r>
      <w:r>
        <w:t xml:space="preserve">: 66,4 M USD en 12 meses, ninguna compra.</w:t>
      </w:r>
    </w:p>
    <w:p>
      <w:pPr>
        <w:pStyle w:val="Heading2"/>
      </w:pPr>
      <w:r>
        <w:t xml:space="preserve">Qué tiene que pasar para que la tesis funcione</w:t>
      </w:r>
    </w:p>
    <w:p>
      <w:pPr>
        <w:spacing w:after="100"/>
      </w:pPr>
      <w:r>
        <w:t xml:space="preserve">La tesis depende de que el RevPAR siga creciendo al ritmo de la inflación, las habitaciones netas se mantengan en el 4-4,5 % y las tarjetas sigan creciendo después del salto de 2026. La señal en contra sería un RevPAR de EE. UU. negativo, una guía de 2027 por debajo de 13 USD o una caída de las reservas directas.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RevPAR mundial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(2T26); guía 2026 +3-3,5 %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comisiones lo siguen casi uno a uno.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Habitaciones netas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otro 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11,64-11,81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11,64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nuestro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sobre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2,9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de las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Reservas por canales propios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70 %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65 %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el poder de la marca frente a agencias y agentes de 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41,8x / 30,9x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 · 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J. Willard y Alice Marriott abrieron en 1927 un puesto de cerveza de raíz en Washington que creció hasta una cadena de restaurantes (Hot Shoppes); en 1957 abrieron su primer hotel en Arlington (Virginia) [1]. En los años ochenta y noventa Marriott separó los inmuebles (Host Marriott, 1993) del negocio de gestión y marcas: el origen del modelo «ligero en activos» de hoy. En 1995 compró parte de Ritz-Carlton. La compra de Starwood (2016, ≈ 13.200 M USD) la convirtió en el mayor grupo hotelero del mundo y trajo Sheraton, Westin, St. Regis y W; en 2018 se descubrió la fuga de datos de los huéspedes de Starwood y en 2019 nació Marriott Bonvoy al unir los programas de fidelidad [1]. La pandemia hundió el RevPAR un 60 % en 2020; Arne Sorenson murió en 2021 y le sucedió Anthony Capuano. Desde 2022 la empresa devuelve más de lo que gana con recompras financiadas con deuda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 Willard y Alice Marriott abren un puesto de bebidas en Washington, origen de Hot Shoppes.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hotel, en Arlington (Virginia).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los inmuebles (Host Marriott) y del negocio de gestión y marcas.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Starwood (≈ 13.200 M USD): el mayor grupo hotelero del mundo.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Fuga de datos de Starwood; nace Marriott Bonvoy.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(RevPAR −60 %); Capuano consejero delegado tras la muerte de Sorenson.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City Express y citizenM; más de 3.000 M USD de recompras cada año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nuevos de tarjetas con JPMorgan Chase y American Express; Ask Bonvoy (IA); 1,78 M de habitaciones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Marriott es el mayor grupo hotelero del mundo: 9.805 hoteles y 1,78 M de habitaciones con más de 30 marcas, del lujo (Ritz-Carlton, St. Regis, JW Marriott) a la gama media (Courtyard, Fairfield, City Express) [1]. Casi no tiene hoteles: el 78 % de los hoteles son franquiciados y el 20 % gestionados, y solo 51 propios o arrendados [1]. Une a todos con Marriott Bonvoy, el programa de fidelidad con 295 M de socios, y con su sistema de reservas [4].</w:t>
      </w:r>
    </w:p>
    <w:p>
      <w:pPr>
        <w:pStyle w:val="Heading2"/>
      </w:pPr>
      <w:r>
        <w:t xml:space="preserve">Cómo gana dinero</w:t>
      </w:r>
    </w:p>
    <w:p>
      <w:pPr>
        <w:spacing w:after="100"/>
      </w:pPr>
      <w:r>
        <w:t xml:space="preserve">Cobra comisiones: de franquicia (4-7 % de los ingresos por habitación del hotel; 3.325 M USD en 2025, incluidas las de marca de las tarjetas de crédito), de gestión base (≈ 3 % de los ingresos del hotel; 1.322 M) y de incentivo (un porcentaje del beneficio del hotel; 791 M, dos tercios de fuera de EE. UU.) [1]. Las comisiones crecen con el RevPAR y con el número de habitaciones. Las tarjetas Bonvoy (JPMorgan Chase y American Express en EE. UU.) pagan por usar la marca y comprar puntos, y son el motor de 2026 [4]. El margen operativo ajustado es del 64 % sobre los ingresos sin reembolsos [1]. El resto de los ingresos (costes reembolsados, 73 % de las ventas GAAP) son gastos de los hoteles que Marriott paga y repercute sin margen.</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y Canadá</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Oriente Medio y África (EMEA)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 China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China (APEC)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tarjetas, propiedad y otros (no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y Canadá</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Oriente Medio y África (EMEA)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 China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China (APEC)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tarjetas, propiedad y otros (no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Comisiones netas asignadas a segmentos en 2025 (2.921 de 4.172 M USD) [1]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Dos clientes distintos: los propietarios de los hoteles (que pagan comisiones de franquicia del 4-7 % de los ingresos por habitación, comisiones de gestión base y de incentivo sobre el beneficio del hotel) y los viajeros (que reservan, sobre todo por canales propios: el 75 % de las noches de EE. UU. son de socios Bonvoy) [1]. Ningún propietario pesa de forma relevante; la familia Marriott es dueña de 18 hoteles gestionados (13,4 M USD de comisiones) [1]. Los bancos de las tarjetas (JPMorgan Chase y American Express en EE. UU.) pagan comisiones de marca crecientes; los contratos nuevos de 2026 son el gran motor del año [4]. El poder de precio está en la marca y en Bonvoy: los propietarios aceptan comisiones del 4-7 % porque la marca les trae clientes más baratos que las agencias en línea.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11,64-11,81 (+16-18 %)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brutas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6.025-6.055 (+11 %), con los contratos nuevos de tarjetas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RevPAR mundial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+3-3,5 %; 2T26 +3,4 %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Habitaciones (sistema)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1,71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proyectos de ≈ 629.000 habitaciones (44 % en construcción) a junio de 2026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Socios de Marriott Bonvoy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260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M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 de las noches de EE. UU. y 68 % de las mundiales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diluidas medias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260,8 M en circulación el 27-jul-2026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la industria hotelera mundial, de la que Marriott cobra comisiones por marca, distribución (Bonvoy) y gestión. Se mide en ingresos de la industria (≈ 750.000 M USD en 2025 según IHG con datos de STR) y en habitaciones (≈ 19 M en el mundo; el 57 % afiliadas a una cadena y el 24 % a los cinco grandes) [12]. Marriott tiene el 17 % de las habitaciones de EE. UU. y el 4 % del resto del mundo según su 10-K [1]. Quedan fuera los alquileres de corta estancia (Airbnb, Vrbo), que compiten por la demanda de ocio y el 10-K cita como competidores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750.000 M USD de ingresos de la industria hotelera mundial en 2025 (IHG/STR) [12]; Marriott, 1,78 M de habitaciones (≈ 9 % de las ≈ 19 M del mundo) [1,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la industria hotelera mundial; 2026-2028 estimación con +4 % anu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viajes y RevPAR (precio × ocupación)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mundial +2,0 % en 2025 y +3,4 % en el 2T26 (EE. UU. y Canadá +5,0 %; Oriente Medio −43 %) [1, 4]. En 2009 y 2020 el RevPAR cayó un 17 % y un 60 %: las comisiones siguen al RevPAR casi uno a uno.</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habitaciones de marca (conversiones, cartera)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Habitaciones netas +4,5 % anual; cartera de 629.000 habitaciones (≈ 35 % del sistema) [4]. Los hoteles independientes se pasan a una marca por la distribución.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nueva de habitaciones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oferta del 0,4 % en 2026 y 0,6 % en 2027 según Freedom Broker: poca construcción sostiene el precio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Viajero internacional hacia EE. UU. y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Llegadas internacionales a EE. UU. −5,5 % en 2025 y −4,7 % hasta julio de 2026 (visados, aranceles, Canadá −20 %) [14]; Gran China +0,4 % de RevPAR en 2025 y +3 % en el 2T26 [1,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Tarjetas de crédito y fidelidad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tarjetas ≈ 1.000 M USD en 2026 (+35 %) con los contratos nuevos de JPMorgan y American Express [4,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en la búsqueda y reserva de viajes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10-K avisa de que la IA de los intermediarios puede erosionar la lealtad a la marca y subir los costes de distribución [1]; Marriott responde con Ask Bonvoy y acuerdos con Google y OpenAI [15, 16].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grandes con el 24 % de las habitaciones del mundo compiten por firmar hoteles (comisiones, «key money») y por el viajero (fidelidad) [12,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propietarios negocian comisiones y «key money» y en 2026 51 de ellos pidieron más parte de las tarjetas [17]; el viajero compara precios en un clic.</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Marriott no tiene hoteles: los «proveedores» son los propietarios, que necesitan la marca para llenar habitaciones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marca y un programa de 295 M de socios no se replican; sí entran las plataformas (Airbnb ofrece hoteles) [1,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Alquileres de corta estancia en ocio, agencias en línea y, ahora, agentes de IA que pueden intermediar la reserva [1, 16].</w:t>
            </w:r>
          </w:p>
        </w:tc>
      </w:tr>
    </w:tbl>
    <w:p>
      <w:pPr>
        <w:spacing w:after="160" w:before="0"/>
      </w:pPr>
    </w:p>
    <w:p>
      <w:pPr>
        <w:pStyle w:val="Heading2"/>
      </w:pPr>
      <w:r>
        <w:t xml:space="preserve">Ciclo</w:t>
      </w:r>
    </w:p>
    <w:p>
      <w:pPr>
        <w:spacing w:after="100"/>
      </w:pPr>
      <w:r>
        <w:t xml:space="preserve">El RevPAR crece en EE. UU. (+5 % en el 2T26, el mejor en 13 trimestres) con poca oferta nueva y el Mundial de 2026, pero el viajero internacional hacia EE. UU. cae y Oriente Medio sufre la guerra de Irán [4, 14, 18]. Es una expansión madura: el RevPAR ya supera al de 2019 y su crecimiento real es bajo; una recesión lo bajaría con rapidez (−17 % en 2009).</w:t>
      </w:r>
    </w:p>
    <w:p>
      <w:pPr>
        <w:pStyle w:val="Heading2"/>
      </w:pPr>
      <w:r>
        <w:t xml:space="preserve">Regulación</w:t>
      </w:r>
    </w:p>
    <w:p>
      <w:pPr>
        <w:spacing w:after="100"/>
      </w:pPr>
      <w:r>
        <w:t xml:space="preserve">La regulación pesa poco en el negocio de comisiones: franquicias (ley de franquicias de EE. UU.), protección de datos (multas por la fuga de Starwood en Reino Unido y EE. UU.), tarjetas de crédito (una ley de topes a las comisiones de intercambio, como la Credit Card Competition Act, recortaría las comisiones de las tarjetas) y la IA [1]. Los visados, aranceles y restricciones de viaje de EE. UU. afectan a la demanda [14].</w:t>
      </w:r>
    </w:p>
    <w:p>
      <w:pPr>
        <w:pStyle w:val="Heading2"/>
      </w:pPr>
      <w:r>
        <w:t xml:space="preserve">Tendencias y disrupción</w:t>
      </w:r>
    </w:p>
    <w:p>
      <w:pPr>
        <w:spacing w:after="100"/>
      </w:pPr>
      <w:r>
        <w:t xml:space="preserve">Las cadenas ganan cuota frente a los independientes con conversiones y marcas de gama media y alargada (City Express, Four Points Flex, StudioRes); el lujo y los «resorts» crecen más (RevPAR de lujo en EE. UU. +9 % en el 2T26) [4]. La fidelidad y las tarjetas se convierten en el segundo motor de comisiones. La distribución se mueve hacia la IA: buscadores conversacionales (Ask Bonvoy), aplicaciones dentro de ChatGPT de IHG, Wyndham y Accor, y agentes de reserva [15,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del mundo por habitaciones (1,78 M a fin de 2025; ≈ 9 % de las habitaciones del mundo, estimación con ≈ 19 M); 17 % de las de EE. UU. y 4 % fuera [1, 12,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Hilton Worldwide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HLT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1,35 M de habitaciones; el rival más directo (mismo modelo y gamas) y el que más crece en habitaciones netas (6-7 %) [12,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Jin Jiang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600754.SS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1,55 M de habitaciones, casi todas en China y gama económica; poco solapamiento con el lujo de Marriott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Hotels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 M de habitaciones; más gama media (Holiday Inn) y China [12,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0,88 M de habitaciones; líder en Europa y Oriente Medio [12,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Wyndham Hotels &amp; Resorts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0,87 M de habitaciones; franquicia económica de EE. UU. [12,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Choice Hotels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0,66 M de habitaciones; económica y media en EE. UU. [12,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Hyatt Hotels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Lujo y «todo incluido» (Playa, 2025); menos habitaciones pero el mismo cliente de alto gasto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Airbnb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ABNB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Sustituto en ocio y estancias largas; empieza a ofrecer hoteles [1,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Bonvoy (295 M de socios) atrae viajeros que atraen propietarios que amplían el sistema: 75 % de las noches de EE. UU. son de socios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franquicia de 20 años o más y de gestión de 20-30; cambiar de marca cuesta obras y pérdida de distribución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Ritz-Carlton, St. Regis, JW Marriott, Westin, Sheraton y otras 30 marcas; 6.207 M USD de marcas en balance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tecnología y distribución propia (70 % de reservas por canales propios, más baratos que las agencias)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mayor sistema del mundo reparte la fidelidad y la tecnología entre 9.805 hoteles [1].</w:t>
            </w:r>
          </w:p>
        </w:tc>
      </w:tr>
    </w:tbl>
    <w:p>
      <w:pPr>
        <w:spacing w:after="160" w:before="0"/>
      </w:pPr>
    </w:p>
    <w:p>
      <w:pPr>
        <w:pStyle w:val="Heading2"/>
      </w:pPr>
      <w:r>
        <w:t xml:space="preserve">Amenazas</w:t>
      </w:r>
    </w:p>
    <w:p>
      <w:pPr>
        <w:spacing w:after="100"/>
      </w:pPr>
      <w:r>
        <w:t xml:space="preserve">Lo que más puede erosionar el foso es la distribución: si los agentes de IA (ChatGPT, Gemini, Perplexity) se convierten en la puerta de entrada del viajero, el poder de elegir el hotel pasa de la marca al algoritmo, y Marriott tendría que pagar por aparecer como paga a las agencias en línea [1, 15]. Segundo, la tensión con los propietarios por el reparto del dinero de las tarjetas y la fidelidad [17]. Tercero, Hilton crece más en habitaciones netas y compite por los mismos contratos [12].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19,6 %</w:t>
      </w:r>
      <w:r>
        <w:t xml:space="preserve">, EBITDA </w:t>
      </w:r>
      <w:r>
        <w:rPr>
          <w:b/>
          <w:bCs/>
        </w:rPr>
        <w:t xml:space="preserve">25,5 %</w:t>
      </w:r>
      <w:r>
        <w:t xml:space="preserve">, BPA </w:t>
      </w:r>
      <w:r>
        <w:rPr>
          <w:b/>
          <w:bCs/>
        </w:rPr>
        <w:t xml:space="preserve">29,9 %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Marriott cobra comisiones: no tiene hoteles (51 propios o arrendados de 9.805) [1]. Por eso la base útil son los ingresos ajustados, que quitan los costes reembolsados (nóminas y gastos de los hoteles que la empresa paga y repercute al propietario sin margen: 19.204 M USD de 26.186 en 2025) [2]. En esa base, los ingresos subieron de 3.415 M en 2021 (aún con la pandemia) a 6.997 M en 2025 y el resultado operativo ajustado de 1.649 a 4.476 M, un 64 % de margen [2, 3]. Desde 2023 el crecimiento es del 5-6 % anual: comisiones de franquicia +7 %, gestión base +3 %, incentivos +3 % y la tarjeta de crédito Bonvoy, que crece más que todo lo demás [1]. En 2026 se acelera: las comisiones de franquicia y gestión base subieron un 14 % en el 2T26 por los nuevos contratos de tarjetas con JPMorgan Chase y American Express en EE. UU. [4]. El RevPAR (ingreso por habitación disponible) mundial creció un 2,0 % en 2025 (EE. UU. y Canadá +0,7 %; internacional +5,1 %) [1].</w:t>
      </w:r>
    </w:p>
    <w:p>
      <w:pPr>
        <w:pStyle w:val="Heading2"/>
      </w:pPr>
      <w:r>
        <w:t xml:space="preserve">Ajustes y partidas no recurrentes</w:t>
      </w:r>
    </w:p>
    <w:p>
      <w:pPr>
        <w:spacing w:after="100"/>
      </w:pPr>
      <w:r>
        <w:t xml:space="preserve">El resultado operativo ajustado quita la diferencia entre ingresos y gastos reembolsados (−299 M USD en 2025: los gastos reembolsados superaron a los ingresos, sobre todo por el programa de fidelidad), la reestructuración y fusiones (−2 M) y los deterioros y gastos de Sonder (38 M) [2]. El BPA ajustado de 2025 fue de 10,02 USD frente a 9,51 GAAP [2]. El de 2023 (9,99) incluye 1,52 USD de beneficios fiscales que no se repiten (0,77 de una reestructuración de propiedad intelectual y 0,75 de la liberación de una provisión de activos fiscales) [11]: normalizado, ≈ 8,47. El de 2018 (6,21) incluye 0,65 de plusvalías por ventas de activos [10]. El ajustado NO quita los pagos en acciones (236 M en 2025), pero el EBITDA ajustado de la empresa (5.383 M) sí los suma: aquí se tratan como coste.</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Ingresos ajustados (sin costes reembolsados), EBITDA ajustado y BPA ajustado de la empresa [2, 4, 5]. En el 2T26 (3-ago-2026) el BPA ajustado fue de 3,19 USD, 0,11 sobre el consenso, con ventas totales de 7.070 M algo por debajo; el RevPAR mundial subió un 3,4 % (EE. UU. y Canadá +5,0 %, el mejor trimestre en 13; internacional −0,5 % por Oriente Medio, −43 % con la guerra de Irán; Gran China +3 %; Asia-Pacífico sin China +5 %) [4]. Guía 2026 subida: RevPAR +3-3,5 %, comisiones brutas 6.025-6.055 M, EBITDA ajustado 5.965-6.025 M, BPA ajustado 11,64-11,81 USD (11,32-11,57 en febrero), tipo del 26-26,5 %, inversión de 1.250-1.350 M y más de 4.500 M de devolución al accionista; habitaciones netas en la parte baja del +4,5-5 % [2, 4]. La acción cayó un 7 % el día por la guía del 3T (BPA ajustado 2,74-2,82 USD; RevPAR +3,5-4 %), por debajo de lo que esperaba el mercado [4]. Resultados del 3T26: 2-nov-2026.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Compra de la marca citizenM (≈ 355 M USD) y acuerdos de gestión y franquicia de sus hoteles; la inversión en Sonder (licencia de 2024) se rompió en noviembre de 2025 con 38 M de deterioros y gastos [1, 2].; 2023: Compra de la marca City Express (≈ 100 M USD, México y Latinoamérica) [3].; 2026: Entrada en el bienestar de lujo con Lefay (participación y marca, junio de 2026); deterioro de 68 M por la venta de un hotel en el 2T26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patrimonio es NEGATIVO (−3.771 M USD en 2025 y −4.525 M a 30-jun-2026) por las recompras: 27.900 M de autocartera acumulada frente a 18.414 M de reservas [1, 6]. No es un problema de solvencia sino de política (se devuelve más de lo que se gana y se financia con deuda); invalida el ROE, el Altman y el ROIC contable. La deuda financiera (16.915 M a 30-jun-2026, con arrendamientos financieros) menos la caja (462) deja 16.453 M de deuda neta, ≈ 2,9 veces el EBITDA ajustado de los últimos doce meses (≈ 5.750 M) y dentro del objetivo de la empresa de 3,0-3,5 veces; las emisiones de agosto (1.250 M) la subieron después [4, 6, 9]. Coste medio del 4,5 % y vida media de 5,4 años a fin de 2025; las emisiones nuevas pagan un 4,5-5,65 % [1, 9].</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10.350</w:t>
      </w:r>
      <w:r>
        <w:t xml:space="preserve">, conversión </w:t>
      </w:r>
      <w:r>
        <w:rPr>
          <w:b/>
          <w:bCs/>
        </w:rPr>
        <w:t xml:space="preserve">90 %</w:t>
      </w:r>
      <w:r>
        <w:t xml:space="preserve"> del beneficio neto; adquisiciones 450, dividendos 2.308, recompras 13.581.</w:t>
      </w:r>
    </w:p>
    <w:p>
      <w:pPr>
        <w:spacing w:after="100"/>
      </w:pPr>
      <w:r>
        <w:t xml:space="preserve">El flujo operativo fue de 3.212 M USD en 2025 (2.749 en 2024), después de 434 M de inversión en contratos («key money» que Marriott paga a propietarios para firmar hoteles, dentro del flujo operativo) [1]. La inversión en inmovilizado y tecnología fue de 604 M (750 en 2024). Flujo libre ≈ 2.600 M después de ambos, frente a 4.018 M devueltos al accionista (3.300 de recompras y 718 de dividendos): la diferencia se pagó con deuda [1]. En el 1S26, 1.806 M de flujo operativo (el pasivo de fidelidad aportó 339 M) [6]. La guía de 2026 es de 1.250-1.350 M de inversión total (incluye inversión en contratos, préstamos y la entrada en Lefay) y más de 4.500 M de devolución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también sobre el control interno; asuntos clave: el programa de fidelidad (precio de cada punto y «breakage») y el reparto de gastos entre generales y reembolsados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pero la cifra de ventas GAAP engaña: el 73 % son costes reembolsados sin margen. El juicio contable más importante es el programa de fidelidad (7.992 M USD de pasivo): el precio de cada punto y el porcentaje que nunca se canjea deciden cuánto ingreso se reconoce y cuándo [1]. El BPA ajustado se aleja poco del GAAP (10,02 frente a 9,51 en 2025) y no excluye los pagos en acciones [2]. Señales a vigilar: los gastos reembolsados superan a los ingresos reembolsados desde 2024 (−299 M en 2025), que la empresa excluye del ajustado porque dice que se compensan a largo plazo [2]; y el cambio de directora financiera en 2026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reembolsados que inflan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19.204 M USD de 26.186 en 2025; sin margen. Se usan los ingresos ajustados (6.997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reembolsados por encima de los ingresos reembolsados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−299 M USD en 2025 y −317 M en 2024 fuera del ajustado: si no se compensan, el resultado ajustado sobrestima ≈ 6 %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Juicio contable de la fidelidad (breakage)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menos de breakage = +50 M de pasivo; asunto clave de auditoría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negativo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−3.771 M USD (−4.525 M en junio de 2026); invalida ROE y Altman, no la solvencia (grado de inversión) [1, 6,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de 2023 con beneficios fiscales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1,52 USD por acción que no se repiten; se normaliza en la historia del PER [11].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8.907 M en 2025 (el 76 % del capital invertido medio); ha subido más de un 5 % en 0 de 4 años: sin compras. ROIC publicado 29,7 %; sin fondo de comercio, 124,8 %. Sin compras relevantes: el publicado ya es el ROIC del negocio.</w:t>
      </w:r>
    </w:p>
    <w:p>
      <w:pPr>
        <w:spacing w:after="100"/>
      </w:pPr>
      <w:r>
        <w:rPr>
          <w:b/>
          <w:bCs/>
        </w:rPr>
        <w:t xml:space="preserve">ROIC incremental</w:t>
      </w:r>
      <w:r>
        <w:t xml:space="preserve"> (variación del NOPAT sobre variación del capital invertido en el periodo): 134,5 % · </w:t>
      </w:r>
      <w:r>
        <w:rPr>
          <w:b/>
          <w:bCs/>
        </w:rPr>
        <w:t xml:space="preserve">WACC</w:t>
      </w:r>
      <w:r>
        <w:t xml:space="preserve">: 10,2 %.</w:t>
      </w:r>
    </w:p>
    <w:p>
      <w:pPr>
        <w:spacing w:after="100"/>
      </w:pPr>
      <w:r>
        <w:t xml:space="preserve">El ROE no sirve: el patrimonio es negativo (−3.771 M USD) por las recompras [1]. El ROIC del motor (29,7 % en 2025) usa el capital invertido de financiación (patrimonio + deuda − caja ≈ 11.600 M), que equivale al capital invertido operativo neto de los pasivos de explotación, incluido el pasivo de fidelidad (7.992 M), que Marriott cobra antes de dar las noches. La medida exigente, sin restar ese pasivo (inmovilizado 1.954 + marcas 6.207 + contratos 4.129 + fondo de comercio 8.907 − circulante 466 ≈ 20.700 M) y con el resultado operativo ajustado después de un 26 % de impuestos (4.476 × 0,74 = 3.312 M), da un 16,0 %: ROIC − WACC de +5,8 puntos con nuestro WACC del 10,2 % y de +19,5 con la medida del motor [1, 2]. Sin el fondo de comercio de Starwood el ROIC pasa del 100 %: el negocio de comisiones casi no necesita capital; lo caro fue comprar Starwood. Calidad: pasa (≥ 5 puntos en las dos medidas).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462 M USD a 30-jun-2026 [6]. Línea de crédito multidivisa (respaldo del papel comercial) ampliada el 23-sep-2026 de 4.500 a 5.000 M y hasta el 23-sep-2031; covenant de deuda sobre EBITDA ≤ 4,5 veces [8]. Emisiones de 2026: 600 M al 4,5 % 2033 y 850 M al 5,1 % 2038 (febrero); 250 M al 4,875 % 2029 y 1.000 M al 5,65 % 2036 (agosto) [6,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Baa2 (Moody's) y BBB (S&amp;P), grado de inversión, en los folletos de las emisiones de 2026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 del programa de fidelidad (Marriott Bonvoy): 7.992 M USD a 31-dic-2025 (3.497 a corto y 4.495 a largo) y 8.444 M a 30-jun-2026 [1, 6]. Son puntos emitidos y cobrados (a hoteles y a los bancos de las tarjetas) que se canjearán por noches: el programa está diseñado para ser neutro a largo plazo y el pasivo crece con el sistema (+473 M en 2025, +452 M en el 1S26), así que funciona como financiación de los clientes, no como deuda. Un punto menos de «breakage» (puntos que no se canjean) sumaría ≈ 50 M al pasivo [1]. Ingresos diferidos de 1.200 M (sobre todo cuotas de franquicia y de las tarjetas cobradas por adelantado) [1]. Arrendamientos operativos: 978 M de pasivo (fuera del puente, US GAAP) [1]. Garantías a propietarios de hasta 225 M (96 M provisionados) [1]. Fuga de datos de Starwood (2018): la apelación anuló en junio de 2025 la certificación de la acción colectiva; la provisión no es material [1].</w:t>
      </w:r>
    </w:p>
    <w:p>
      <w:pPr>
        <w:pStyle w:val="Heading1"/>
      </w:pPr>
      <w:r>
        <w:t xml:space="preserve">12. Asignación de capital</w:t>
      </w:r>
    </w:p>
    <w:p>
      <w:pPr>
        <w:pStyle w:val="Confianza"/>
        <w:spacing w:after="100"/>
      </w:pPr>
      <w:r>
        <w:t xml:space="preserve">Confianza: Alta</w:t>
      </w:r>
    </w:p>
    <w:p>
      <w:pPr>
        <w:spacing w:after="100"/>
      </w:pPr>
      <w:r>
        <w:t xml:space="preserve">Prioridades declaradas: mantener el grado de inversión (deuda ajustada de 3,0-3,5 veces el EBITDA ajustado), invertir en el crecimiento del sistema (inversión en contratos, tecnología), un dividendo creciente (0,73 USD trimestrales desde mayo de 2026, +9 %) y devolver el resto con recompras: más de 4.500 M USD en 2026 [2, 4]. Recompras de 6,2 M de acciones por 2.200 M en lo que iba de 2026 hasta el 29-jul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Starwood Hotels &amp; Resorts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Hizo de Marriott el mayor grupo hotelero del mundo; integración de los programas de fidelidad en Bonvoy (2019); fuga de datos de 2018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City Express (marca de gama media en México y Latinoamérica)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como City Express by Marriott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citizenM (marca y contratos)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marca sin hoteles: 350 M de adquisiciones en el flujo de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Lefay (marca de bienestar de lujo, participación)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Anunciada en abril-junio de 2026; importe no publicado [4].</w:t>
            </w:r>
          </w:p>
        </w:tc>
      </w:tr>
    </w:tbl>
    <w:p>
      <w:pPr>
        <w:spacing w:after="160" w:before="0"/>
      </w:pPr>
    </w:p>
    <w:p>
      <w:pPr>
        <w:spacing w:after="100"/>
      </w:pPr>
      <w:r>
        <w:t xml:space="preserve">La asignación de capital es la de un negocio de comisiones maduro: invierte poco (≈ 1.000 M USD al año entre tecnología y contratos, 15 % de los ingresos ajustados) y devuelve más de lo que gana. Entre 2022 y 2025 recompró 13.581 M y pagó 2.308 M de dividendos; las acciones diluidas bajaron de 329 M (2021) a 274 M (2025), un 4,5 % anual [1, 7]. Las compras recientes son de marcas, no de hoteles (City Express, citizenM, Lefay), y la licencia con Sonder (2024) acabó mal en 2025 [1]. La deuda ha subido de 10.000 M en 2021 a 16.915 M en junio de 2026 para pagar recompras: el apalancamiento se mantiene en el objetivo porque el EBITDA crece, pero no hay margen para una recesión sin parar las recompras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G. Capuano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Marriott desde 1995; dirigió el desarrollo mundial (la cartera de proyectos) antes de suceder a Arne Sorenson en febrero de 2021. Con él, el BPA ajustado pasó de 3,19 USD (2021) a 10,02 (2025) y la guía de 2026 es de 11,64-11,81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Jennifer C. Mason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Nombrada en julio de 2025 para suceder a Leeny Oberg (directora financiera desde 2016) tras el 10-K de 2025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Satya Anand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grupo para EE. UU. y Canadá (con CALA)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presidente de EMEA; sustituye a Liam Brown, que dejó el cargo el 28-mar-2026 y se retira el 30-jun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Neal Jones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EMEA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Sustituye a Satya Anand en la región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S. Marriott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Nieto del fundador; presidente desde 2021, cuando J.W. Marriott Jr. pasó a presidente emérito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7,23-7,91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9,99 (8,47 sin 1,52 de beneficios fiscales)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9,18-9,52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9,82-10,19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11,32-11,57 USD (febrero); subida a 11,64-11,81 en agosto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(consenso 11,74)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curso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EBITDA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5.295-5.435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5.383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creíble: cumple la guía cada año, en general en la mitad del rango (2024 y 2025) y por encima en 2023 por el rebote de los viajes [2]. Capuano es un hombre de la casa que conoce la parte que da el crecimiento (desarrollo). En 2026 hay relevo amplio: directora financiera nueva (Mason, nombrada en julio de 2025) y nuevos presidentes de EE. UU. y Canadá, EMEA y CALA; la continuidad la da la familia en el consejo [22, 23]. La guía de 2026 se subió dos veces, aunque la del 3T decepcionó [2].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 Marriott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(familia)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G. Capuano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Frederick A. Henderson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M. Harrison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(familia)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Isabella D. Goren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Aylwin B.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Margaret M. McCarthy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y Seguridad de la Información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C. Schwab</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Horacio D. Rozanski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 R. Hobart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Grant F. Reid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Sean C. Tresvant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también sobre el control interno; asuntos clave: el programa de fidelidad (precio de cada punto y «breakage») y el reparto de gastos entre generales y reembolsados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62,70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Marriott (incluida JWM Family Enterprises, 8,30 %)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 13,22 % en el grupo principal; 5,66 M de acciones pignoradas (2,13 %)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(con la familia en el consejo)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66,4 M USD en 12 meses, ninguna compra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G. Capuano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Deborah M. Harrison (consejera, familia)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William P. Brown (directivo)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Rena H. Reiss / Peggy Fang Roe / Benjamin Breland y otros directivos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S. Marriott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J.W. Marriott Jr. (presidente emérito)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22,97 M USD en 2025: 1,40 M de fijo, 4,53 M de bonus, 12,01 M en acciones y 4,13 M en derechos de revalorización, más 0,91 M de otros [20]. El bonus se liga en un 60 % al EBITDA ajustado y en un 40 % a objetivos de crecimiento y pagó el 162 %; las acciones por objetivos se ligan al EBITDA ajustado de 2027 con un modificador de ±20 % por la rentabilidad relativa para el accionista (el plan 2023-2025 pagó el 200 %) [20]. Premia el EBITDA, no el retorno sobre el capital; hay cláusula de recuperación. Ratio frente al empleado mediano: 474 veces [20]. En la junta del 8-may-2026 la remuneración tuvo un 92,7 % de apoyo y un ≈ 7 % en contra [21].</w:t>
      </w:r>
    </w:p>
    <w:p>
      <w:pPr>
        <w:pStyle w:val="Heading2"/>
      </w:pPr>
      <w:r>
        <w:t xml:space="preserve">Operaciones vinculadas, estructura de control y defensas</w:t>
      </w:r>
    </w:p>
    <w:p>
      <w:pPr>
        <w:spacing w:after="100"/>
      </w:pPr>
      <w:r>
        <w:t xml:space="preserve">Sin accionista de control: la familia Marriott suma un 17,6 % con sus sociedades y está en el consejo con el presidente (David S. Marriott) y una consejera (Deborah Harrison) [20]. Una acción, un voto; consejo elegido cada año; presidente separado del consejero delegado y consejero coordinador independiente; 10 de 13 consejeros independientes y todas las comisiones independientes [20]. Operaciones vinculadas pequeñas: 18 hoteles de la familia gestionados (13,4 M USD de comisiones) y 13 de otros consejeros (6,2 M) [20]. La pignoración de 5,66 M de acciones de la sociedad familiar (2,1 %) es un riesgo menor de ventas forzosas [20].</w:t>
      </w:r>
    </w:p>
    <w:p>
      <w:pPr>
        <w:pStyle w:val="Heading2"/>
      </w:pPr>
      <w:r>
        <w:t xml:space="preserve">Señales de alerta</w:t>
      </w:r>
    </w:p>
    <w:p>
      <w:pPr>
        <w:pStyle w:val="ListParagraph"/>
        <w:numPr>
          <w:ilvl w:val="0"/>
          <w:numId w:val="2"/>
        </w:numPr>
        <w:spacing w:after="60"/>
      </w:pPr>
      <w:r>
        <w:t xml:space="preserve">Ventas de consejeros y directivos por 66,4 M USD en 12 meses (22,6 M del consejero delegado y 21,7 M de una consejera de la familia), ninguna compra y ninguna con plan 10b5-1 [24].</w:t>
      </w:r>
    </w:p>
    <w:p>
      <w:pPr>
        <w:pStyle w:val="ListParagraph"/>
        <w:numPr>
          <w:ilvl w:val="0"/>
          <w:numId w:val="2"/>
        </w:numPr>
        <w:spacing w:after="60"/>
      </w:pPr>
      <w:r>
        <w:t xml:space="preserve">Relevo amplio en 2026: directora financiera y presidentes de EE. UU. y Canadá, EMEA y CALA [22, 23].</w:t>
      </w:r>
    </w:p>
    <w:p>
      <w:pPr>
        <w:pStyle w:val="ListParagraph"/>
        <w:numPr>
          <w:ilvl w:val="0"/>
          <w:numId w:val="2"/>
        </w:numPr>
        <w:spacing w:after="60"/>
      </w:pPr>
      <w:r>
        <w:t xml:space="preserve">Retribución ligada al EBITDA ajustado, no al retorno sobre el capital: incentiva crecer con «key money» y deuda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(3-ago-2026): RevPAR mundial +3-3,5 %; habitaciones netas en la parte baja del +4,5-5 %; comisiones brutas de 6.025-6.055 M USD; gastos generales de 895-875 M; EBITDA ajustado de 5.965-6.025 M; BPA ajustado de 11,64-11,81 USD; tipo efectivo del 26-26,5 %; inversión de 1.250-1.350 M; más de 4.500 M de devolución al accionista. 3T26: RevPAR +3,5-4 %, EBITDA ajustado de 1.439-1.468 M y BPA ajustado de 2,74-2,82 USD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29 analistas (ventas totales, con reembolsos)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29 analistas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13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385,38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280,00 – 429,00</w:t>
            </w:r>
          </w:p>
        </w:tc>
      </w:tr>
    </w:tbl>
    <w:p>
      <w:pPr>
        <w:spacing w:after="160" w:before="0"/>
      </w:pPr>
    </w:p>
    <w:p>
      <w:pPr>
        <w:pStyle w:val="Heading2"/>
      </w:pPr>
      <w:r>
        <w:t xml:space="preserve">Revisiones de estimaciones</w:t>
      </w:r>
    </w:p>
    <w:p>
      <w:pPr>
        <w:spacing w:after="100"/>
      </w:pPr>
      <w:r>
        <w:t xml:space="preserve">El BPA ajustado de 2026 del consenso pasó de 11,63 USD hace 90 días a 11,74 y el de 2027 de 13,11 a 13,15: casi sin cambios tras la guía de agosto [26]. Los objetivos de precio suben en octubre con la acción: JPMorgan 388 → 406 USD (neutral, 21-oct), Evercore 400 → 420 (19-oct), Wells Fargo 425 → 426 (sobreponderar), Barclays 348 → 363 (igual que el mercado, 16-oct), Morgan Stanley 380 → 384 (sobreponderar, 12-oct); Freedom Broker empieza con comprar y 408 (14-oct) [18, 26]. Objetivo medio de 26 analistas: 385,38 USD (280-429), por debajo del precio. Sin consenso gratuito de 2028.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bl>
    <w:p>
      <w:pPr>
        <w:spacing w:after="160" w:before="0"/>
      </w:pPr>
    </w:p>
    <w:p>
      <w:pPr>
        <w:spacing w:after="100"/>
      </w:pPr>
      <w:r>
        <w:t xml:space="preserve">La acción ha batido al índice en uno, tres, cinco y diez años: rentabilidad total del +49,2 % en 12 meses, +29,5 % anual en tres años, +21,6 % en cinco y +20,5 % en diez, frente al +15,8 %, 23,7 %, 12,6 % y 15,5 % del S&amp;P 500 [25]. Lo explica el BPA ajustado (de 3,19 USD en 2021 a 10,02 en 2025), las recompras y la subida del múltiplo (de ≈ 18 veces el BPA del año siguiente a fin de 2022 a ≈ 30 hoy) [2, 25]. Beta de 1,17 mensual a cinco años (1,11 ajustada; 0,90 semanal a dos años) y volatilidad del 27 %; la mayor caída en el último año fue del −30,5 % entre febrero y abril de 2025 (aranceles) y la mayor de un día, −7 % el 3-ago-2026 por la guía del 3T [25].</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 / +11,2 % / +10,4 % / +55,9 %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+55,6 %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4T25 y guía de 2026 con más de 4.000 M de devolución al accionista; +9,1 % el día [2,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con el mercado al acercarse el fin de la guerra de Irán (petróleo a la baja) y la entrada en Lefay; máximos de abril con Hilton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(3-ago): BPA por encima pero guía del 3T por debajo de lo esperado; −7 % el día [4,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 todo el sector hotelero (Hilton +17 %, Hyatt +13 %, IHG +11 % en un mes con el S&amp;P 500 plano) con subidas de objetivo de los analistas y la tesis de poca oferta nueva en EE. UU.; sin noticia propia de Marriott [18, 25,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2-nov antes de la apertura; guía de BPA ajustado de 2,74-2,82 USD y consenso de 2,84 [26,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JPMorgan sube el objetivo a 406 USD (neutral); Evercore a 420; objetivo medio de los analistas ≈ 385 USD, por debajo del precio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de crédito ampliada a 5.000 M USD hasta 2031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Reunión de la Casa Blanca con directivos del turismo (Marriott incluida) por la caída del viajero internacional a EE. UU. (−4,7 % hasta julio)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1.250 M USD de bonos (4,875 % 2029 y 5,65 % 2036) para fines generales y recompras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BPA ajustado de 3,19 USD (+0,11 sobre el consenso), guía anual subida y guía del 3T por debajo; −7 % el día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 propietarios con ≈ 1.000 hoteles piden a Marriott más parte del dinero de las tarjetas Bonvoy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Ask Bonvoy, buscador de hoteles con IA, en beta en EE. UU.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trimestral subido un 9 %, a 0,73 USD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2025-10-21 a 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consejeros y directivos por 66,4 M USD, ninguna compra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máximos (16,5 % en un mes, 55,9 % en un año) y no salta ningún aviso P de la herramienta [25]. La subida del último mes no es de Marriott sino del sector: Hilton +17 %, Hyatt +13 % e IHG +11 % con el S&amp;P 500 plano, empujados por subidas de objetivo de los analistas y la tesis de poca oferta nueva de habitaciones en EE. UU. [18, 25]. No hay ampliaciones, colocaciones ni decisiones con fecha que puedan mover el precio más de un 5 % en contra; los resultados del 2-nov no retrasan nada (regla 11). Una subida sectorial sin cambio del negocio no cambia la decisión, que ya es de no comprar por valoración.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año de Yahoo [25]. En base ajustada adelantada (la de la regla a 12 meses: cierre ÷ BPA ajustado real del año siguiente), Marriott cotizó a ≈ 24 veces a fin de 2017, 18 a fin de 2018, 25 a fin de 2021, 18 a fin de 2022 (con el BPA de 2023 sin beneficios fiscales), 24 a fin de 2023, 28 a fin de 2024 y 26 a fin de 2025; hoy, ≈ 30 veces nuestro BPA de 2027 [2]. Los cierres de 2019 y 2020 no sirven (BPA de la pandemia del año siguiente: 0,18 y 3,19 USD).</w:t>
      </w:r>
    </w:p>
    <w:p>
      <w:pPr>
        <w:pStyle w:val="Heading1"/>
      </w:pPr>
      <w:r>
        <w:t xml:space="preserve">18. Comparables cotizados</w:t>
      </w:r>
    </w:p>
    <w:p>
      <w:pPr>
        <w:pStyle w:val="Confianza"/>
        <w:spacing w:after="100"/>
      </w:pPr>
      <w:r>
        <w:t xml:space="preserve">Confianza: Media</w:t>
      </w:r>
    </w:p>
    <w:p>
      <w:pPr>
        <w:spacing w:after="100"/>
      </w:pPr>
      <w:r>
        <w:t xml:space="preserve">Grupos hoteleros de marca, con el modelo de franquicia y gestión: Hilton, IHG, Hyatt, Wyndham, Choice y Accor [26]. Hilton es el comparable más directo (mismo modelo, gamas y país); Wyndham y Choice son franquicia económica de EE. UU., más baratas; Hyatt y Accor tienen aún hoteles propios. No se incluyen Airbnb ni las agencias en línea (otro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Marriott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Hilton Worldwide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Hotels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Hyatt Hotels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Wyndham Hotels &amp; Resorts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Choice Hotels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 / 15,0x / 24,9x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 / 21,5x / 32,5x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r>
    </w:tbl>
    <w:p>
      <w:pPr>
        <w:spacing w:after="160" w:before="0"/>
      </w:pPr>
    </w:p>
    <w:p>
      <w:pPr>
        <w:spacing w:after="100"/>
      </w:pPr>
      <w:r>
        <w:t xml:space="preserve">Marriott cotiza a ≈ 30,8 veces el BPA de 2027 del consenso, por debajo de Hilton (34,9) y Hyatt (36,8) y muy por encima de IHG (25,3), Accor (17,7), Wyndham (14,7) y Choice (15,3) [26]. La mediana (21,5 veces) mezcla dos grupos: los grandes del lujo y la gama alta (Marriott, Hilton, Hyatt), que el mercado paga a 30-37 veces por el crecimiento de habitaciones y la fidelidad, y los de gama económica, a 15. El EV/EBITDA de IHG de Yahoo no es fiable y se deja en blanco; crecimiento, margen y deuda de los comparables, de los análisis de IHG e Hilton [12].</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Starwood Hotels &amp; Resorts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Marriott International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compra (acciones y caja) de hace diez años; referencia histórica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citizenM (marca)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Marriott International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marca sin hoteles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hoteles gestionados por Marriott en Japón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inmuebles, no de la marca: dice el precio de los hoteles, no el del negocio de comisiones [30].</w:t>
            </w:r>
          </w:p>
        </w:tc>
      </w:tr>
    </w:tbl>
    <w:p>
      <w:pPr>
        <w:spacing w:after="160" w:before="0"/>
      </w:pPr>
    </w:p>
    <w:p>
      <w:pPr>
        <w:spacing w:after="160" w:before="0"/>
      </w:pPr>
    </w:p>
    <w:p>
      <w:pPr>
        <w:spacing w:after="100"/>
      </w:pPr>
      <w:r>
        <w:t xml:space="preserve">No hay transacciones recientes de grupos hoteleros de marca con múltiplos publicados que sirvan para valorar a Marriott. Con ≈ 104.000 M USD de capitalización y la familia con el 17,6 %, no es objetivo realista de compra.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ajustados: 2026e +10 % (fijo), con el 1S26 a +11,8 % y la guía de comisiones brutas +11 % por los contratos nuevos de tarjetas [4]. Después, +7,5 % en 2027e y bajada gradual al 4,5 % en 2033e: habitaciones netas del 4-4,5 % (guía y cartera de 629.000 habitaciones [4]) más un RevPAR del 2,5 % (inflación más algo de precio real). Es algo más que el 5-6 % de 2023-2025, por las tarjetas, y menos que lo que pide el precio (19,7 % anual según el DCF inverso).</w:t>
      </w:r>
    </w:p>
    <w:p>
      <w:pPr>
        <w:keepNext/>
        <w:spacing w:after="100"/>
      </w:pPr>
      <w:r>
        <w:rPr>
          <w:b/>
          <w:bCs/>
        </w:rPr>
        <w:t xml:space="preserve">Márgenes.</w:t>
      </w:r>
    </w:p>
    <w:p>
      <w:pPr>
        <w:spacing w:after="100"/>
      </w:pPr>
      <w:r>
        <w:t xml:space="preserve">Margen EBITDA (sobre ingresos ajustados, con los pagos en acciones como coste) del 70,5 % en 2026e, calibrado con la guía de BPA ajustado (11,64-11,81 USD) y de EBITDA ajustado (5.965-6.025 M) [4], subiendo al 71,5 % en 2028e por apalancamiento operativo (gastos generales casi planos: 895-875 M guiados). En 2025 fue del 68,9 %.</w:t>
      </w:r>
    </w:p>
    <w:p>
      <w:pPr>
        <w:keepNext/>
        <w:spacing w:after="100"/>
      </w:pPr>
      <w:r>
        <w:rPr>
          <w:b/>
          <w:bCs/>
        </w:rPr>
        <w:t xml:space="preserve">Inversión y circulante.</w:t>
      </w:r>
    </w:p>
    <w:p>
      <w:pPr>
        <w:spacing w:after="100"/>
      </w:pPr>
      <w:r>
        <w:t xml:space="preserve">Inversión del 14 % de los ingresos ajustados en 2026e-2027e (inmovilizado y tecnología, 604 M, más inversión en contratos, 434 M, en 2025 [1]) que baja al 11 % en 2033e al frenar el crecimiento de habitaciones; amortización del 5,0-5,7 %. Circulante del −6,5 % de los ingresos (sin el pasivo de fidelidad). No se proyectan compras.</w:t>
      </w:r>
    </w:p>
    <w:p>
      <w:pPr>
        <w:keepNext/>
        <w:spacing w:after="100"/>
      </w:pPr>
      <w:r>
        <w:rPr>
          <w:b/>
          <w:bCs/>
        </w:rPr>
        <w:t xml:space="preserve">Coste del capital.</w:t>
      </w:r>
    </w:p>
    <w:p>
      <w:pPr>
        <w:spacing w:after="100"/>
      </w:pPr>
      <w:r>
        <w:t xml:space="preserve">Tasa libre del 5,12 % (bono del Tesoro a 10 años, 20-oct-2026 [27]); beta de 1,11, la ajustada mensual a cinco años [25] (Hilton e IHG usaron 1,05 [34]); prima del 5,5 %; coste de la deuda del 5,5 % antes de impuestos (bonos a 10 años de agosto al 5,65 % [9]); peso de la deuda del 14 % a valor de mercado. WACC del 10,22 %. Con la prima implícita del mercado (4,2 % [28]) el WACC baja al 8,98 % y el DCF sube a 201,58 USD.</w:t>
      </w:r>
    </w:p>
    <w:p>
      <w:pPr>
        <w:keepNext/>
        <w:spacing w:after="100"/>
      </w:pPr>
      <w:r>
        <w:rPr>
          <w:b/>
          <w:bCs/>
        </w:rPr>
        <w:t xml:space="preserve">Valor terminal.</w:t>
      </w:r>
    </w:p>
    <w:p>
      <w:pPr>
        <w:spacing w:after="100"/>
      </w:pPr>
      <w:r>
        <w:t xml:space="preserve">Crecimiento a perpetuidad del 3,0 %, algo por encima del 2,5 % de Hilton e IHG [34] porque Marriott sigue sumando habitaciones de marca y la industria crece con el PIB nominal (4,2 % anual de 2000 a 2025 [12]). El valor terminal pesa un 63 %.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189,81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 M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(reinvierte el 25 %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 (histórico: 134,5 %)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 frente al 6,5 %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5.265 M, el 14 % del NOPAT, con un capex bruto medio del 12,7 % de las ventas). En un negocio de activos ligeros, el crecimiento medio del 6,5 %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Habitaciones netas +4,5 % (guía en la parte baja del 4,5-5 %), RevPAR +3 % (guía 3-3,5 %) y 2,5 puntos de las tarjetas nuevas de JPMorgan y American Express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Habitaciones +4,5 %, RevPAR +2,5 % y medio punto de tarjetas y mezcla de lujo.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Habitaciones +4,5 % y RevPAR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Habitaciones +4 % (la cartera de 629.000 habitaciones da para cinco o seis años) y RevPAR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Habitaciones +3,5 % y RevPAR +2,5 %.</w:t>
            </w:r>
          </w:p>
        </w:tc>
      </w:tr>
    </w:tbl>
    <w:p>
      <w:pPr>
        <w:spacing w:after="160" w:before="0"/>
      </w:pPr>
    </w:p>
    <w:p>
      <w:pPr>
        <w:spacing w:after="100"/>
      </w:pPr>
      <w:r>
        <w:t xml:space="preserve">El crecimiento proyectado (6,5 % medio en 2026e-2033e) es el que da el sistema sin comprar nada: la cartera de proyectos (629.000 habitaciones, 35 % del sistema, 44 % ya en construcción) asegura cinco años de habitaciones netas al 4-4,5 %, y el RevPAR se ha movido con la inflación en todo ciclo salvo recesiones [4]. No necesita capital: la reinversión acumulada es el 14 % del NOPAT y el capital lo ponen los propietarios. Prueba de cuota (sin mercado final en el motor): con habitaciones al +4,5 % en una industria que suma ≈ 1,5-2 % al año, la cuota mundial pasa del ≈ 9 % al ≈ 11 % en 2033, menos de 1,5 veces la actual [12, 13]. El motor da «Sí».</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 (base: 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102 % justifica el precio (base: 71,5 %)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(WACC: 10,2 %)</w:t>
            </w:r>
          </w:p>
        </w:tc>
      </w:tr>
    </w:tbl>
    <w:p>
      <w:pPr>
        <w:spacing w:after="160" w:before="0"/>
      </w:pPr>
    </w:p>
    <w:p>
      <w:pPr>
        <w:spacing w:after="100"/>
      </w:pPr>
      <w:r>
        <w:t xml:space="preserve">El DCF da 155,82 USD por acción, un 60,8 % bajo el precio, con un WACC del 10,22 % y un valor terminal que pesa un 63 %. El DCF inverso dice que el precio descuenta un crecimiento del 19,7 % anual en 2027e-2033e con nuestros márgenes, frente al 6,0 % de nuestro base en el mismo periodo: tres veces lo que el negocio ha hecho fuera del rebote de la pandemia. Con la prima del mercado (4,2 %) vale 201,58 USD (−49 %): ni con la tasa del mercado se acerca. Si el pasivo de fidelidad (8.444 M) se tratara como deuda, restaría ≈ 32 USD más por acción; aquí se trata como financiación de clientes [6]. El precio de hoy solo cuadra con un múltiplo terminal de ≈ 30 veces el EBITDA o con un crecimiento de dos dígitos durante una década.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en EE. UU. o nueva caída del viajero internacional: el RevPAR cae un 2-5 % en lugar de subir, las comisiones de incentivo (sobre el beneficio del hotel) caen el doble y la apertura de habitaciones se frena porque los propietarios no consiguen financiación. Tres puntos menos de crecimiento y dos menos de margen cada año, y un WACC medio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del 2,5-3 %, habitaciones netas del 4-4,5 % y el salto de las tarjetas en 2026; margen que sube al 71,5 % con gastos generales casi planos.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ciclo de EE. UU. sigue fuerte (poca oferta nueva, Mundial de 2026, lujo), China y Oriente Medio se recuperan y Bonvoy gana peso con la IA: 1,5 puntos más de crecimiento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397,3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147,14 USD (-63,0 %).</w:t>
      </w:r>
    </w:p>
    <w:p>
      <w:pPr>
        <w:spacing w:after="100"/>
      </w:pPr>
      <w:r>
        <w:t xml:space="preserve">Los tres escenarios del DCF quedan muy por debajo del precio: bajista 98,05 USD (−75 %), base 155,82 (−61 %) y alcista 178,88 (−55 %). Con estos pesos el valor ponderado de los escenarios queda un 57 % bajo el precio. La asimetría es negativa (−0,73): ningún caso razonable de crecimiento justifica el precio con nuestra tasa; lo justifica un múltiplo que el mercado paga a los negocios de marca y fidelidad (25-37 veces el beneficio).</w:t>
      </w:r>
    </w:p>
    <w:p>
      <w:pPr>
        <w:pStyle w:val="Heading1"/>
      </w:pPr>
      <w:r>
        <w:t xml:space="preserve">22. Suma de partes</w:t>
      </w:r>
    </w:p>
    <w:p>
      <w:pPr>
        <w:pStyle w:val="Confianza"/>
        <w:spacing w:after="100"/>
      </w:pPr>
      <w:r>
        <w:t xml:space="preserve">Confianza: Media</w:t>
      </w:r>
    </w:p>
    <w:p>
      <w:pPr>
        <w:spacing w:after="100"/>
      </w:pPr>
      <w:r>
        <w:t xml:space="preserve">No aplica: las comisiones de franquicia, gestión y tarjetas son un solo negocio que comparte marcas, Bonvoy y sistema de reservas; los 51 hoteles propios o arrendados (14.406 habitaciones) son el 3 % del resultado y no cambian el total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397,3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170,93 USD (-57,0 % sobre 397,31).</w:t>
      </w:r>
    </w:p>
    <w:p>
      <w:pPr>
        <w:spacing w:after="100"/>
      </w:pPr>
      <w:r>
        <w:t xml:space="preserve">Pesos: DCF 50 %, escenarios 35 % y comparables 15 %. El DCF es el método natural para un negocio de comisiones estable con poca inversión, pero el resultado depende de la tasa: con la prima del mercado sube un 29 %. Los escenarios recogen el ciclo. Los comparables pesan poco porque su mediana mezcla a los grandes de lujo (Hilton, Hyatt, 35-37 veces) con la franquicia económica (Wyndham, Choice, 15). Las transacciones no pesan (compras de marcas sin EBITDA). La dispersión es enorme: del DCF (156 USD) al PER de los comparables (277-418): el precio solo se sostiene con múltiplos de mercado, no con flujos descontados.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(30.5x) ÷ 1.1 (tope: la mediana de 5 años, 24.7x,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rPr>
          <w:b/>
          <w:bCs/>
        </w:rPr>
        <w:t xml:space="preserve">Objetivo a 12 meses (ponderado):</w:t>
      </w:r>
      <w:r>
        <w:t xml:space="preserve"> 353,83 USD · rentabilidad -10,3 % (base -0,5 %) · señal Vender.</w:t>
      </w:r>
    </w:p>
    <w:p>
      <w:pPr>
        <w:spacing w:after="100"/>
      </w:pPr>
      <w:r>
        <w:t xml:space="preserve">Para comparar, con la regla v2 (historia al cierre, mismo precio): 22,3x / 26,6x / 26,6x, -9,5 % Mantener; con el tope anterior del base (×1,3, 14-oct mediodía): -11,1 %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2026e (11,74 USD) coincide con el consenso y con la guía [4, 26]; el de 2027e (13,03) queda un 0,9 % por debajo del consenso (13,15) porque no incluye recompras no anunciadas (Marriott recompra ≈ 3.500 M al año, ≈ 3 % de las acciones; la regla común no las supone) [4]. La distancia con el objetivo medio de los analistas (385,38 USD, 26 analistas; nuestro base 392,51) es pequeña: ellos y nosotros vemos el precio cerca del valor a 12 meses. La diferencia está en el bajista: la regla lleva el PER al mínimo de 17,6 veces.</w:t>
      </w:r>
    </w:p>
    <w:p>
      <w:pPr>
        <w:keepNext/>
        <w:spacing w:after="100"/>
      </w:pPr>
      <w:r>
        <w:rPr>
          <w:b/>
          <w:bCs/>
        </w:rPr>
        <w:t xml:space="preserve">Del valor intrínseco al objetivo a 12 meses.</w:t>
      </w:r>
    </w:p>
    <w:p>
      <w:pPr>
        <w:spacing w:after="100"/>
      </w:pPr>
      <w:r>
        <w:t xml:space="preserve">El objetivo a 12 meses (353,83 USD, ponderado) queda un 10,9 % bajo el precio (−10,3 % con dividendo) y el valor intrínseco (170,93) un 57 %. El base (392,51 USD, −0,5 % con dividendo) supone que el BPA ajustado crece un 12,3 % anual y que el PER baja de 30,5 a 27,7 veces (tope de ÷1,1); el alcista apenas sube (408,02) y el bajista (222,29) es el PER de diciembre de 2022 sobre un BPA un 11 % menor. La rentabilidad ponderada queda justo en el umbral de Vender (−10 %): un precio un 1 % menor la deja en Mantener, y el de la sesión del 21-oct (405,44) la empeora.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del 3T (guía +3,5-4 %), BPA (guía 2,74-2,82; consenso 2,84) y primera idea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Hilton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del RevPAR de EE. UU. y de la demanda del 4T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BPA frente a los 13,15 USD del consenso; plan de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con los propietarios del reparto de las tarjetas Bonvoy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para el crecimiento de las comisiones de tarjetas (≈ 1.000 M en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Agentes de IA de reserva (ChatGPT, Gemini) y el programa de Marriott para ellos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distribución y poder de la marca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 3.500 M USD al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 de BPA al año, financiado en parte con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30,5 veces nuestro BPA de 2027 frente a una mediana adelantada de cinco años de 24,7 y un mínimo de 17,6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PER vuelve a 24-25; −40 % al mínimo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+12 % anual con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 13 USD o subida de tipos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viajes y RevPAR (recesión en EE. UU., caída del viajero internacional,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a −40 % en una recesión (2009: RevPAR −17 %)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sobre ingresos (no sobre beneficio) en el 85 % del total; crecimiento de habitaciones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de EE. UU. negativo dos trimestres o caída de las reservas de grupos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creciente para recompras (16.915 M USD, ≈ 2,9 veces el EBITDA; patrimonio −4.525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si hay que parar recompras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Grado de inversión (Baa2/BBB); vencimientos repartidos; línea de 5.000 M hasta 2031 [8,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sobre EBITDA por encima de 3,5 veces o rebaja de calificación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Hilton (más habitaciones netas), IHG, Hyatt y Airbnb por propietarios y viajeros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sistema y programa de fidelidad del mundo; lujo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Habitaciones netas por debajo del 4 % o «key money»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Propietarios que exigen más parte de las tarjetas y la fidelidad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largos; el programa trae reservas más baratas que las agencias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el reembolso de noches con puntos o conflictos con asociaciones de propietarios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directivos (66,4 M USD, ninguna compra) y relevo de la dirección financiera y regional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Señal, no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acciones de retribución; familia con el 17,6 %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familia fuera de lo habitual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en la distribución (agentes de reserva)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a +5 %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Bonvoy, Ask Bonvoy, acuerdos con Google y OpenAI [15,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la cuota de reservas directas (70 %) o pago a plataformas de IA</w:t>
            </w:r>
          </w:p>
        </w:tc>
      </w:tr>
    </w:tbl>
    <w:p>
      <w:pPr>
        <w:spacing w:after="160" w:before="0"/>
      </w:pPr>
    </w:p>
    <w:p>
      <w:pPr>
        <w:pStyle w:val="Heading2"/>
      </w:pPr>
      <w:r>
        <w:t xml:space="preserve">Pre-mortem</w:t>
      </w:r>
    </w:p>
    <w:p>
      <w:pPr>
        <w:spacing w:after="100"/>
      </w:pPr>
      <w:r>
        <w:t xml:space="preserve">Octubre de 2028: la acción ha perdido un 40 %. No hizo falta una pandemia: una recesión suave en EE. UU. en 2027 bajó el RevPAR un 4 % y las comisiones de incentivo un 15 %, mientras el viajero internacional seguía sin volver por los visados y los aranceles. A la vez, los propietarios consiguieron más parte del dinero de las tarjetas y los agentes de IA empezaron a cobrar por reservar, como antes las agencias en línea. Marriott frenó las recompras para no pasar de 3,5 veces de deuda y el BPA dejó de crecer; el mercado dejó de pagar 30 veces y volvió a las 18 de 2022.</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+5 % a 3-5 años</w:t>
      </w:r>
    </w:p>
    <w:p>
      <w:pPr>
        <w:spacing w:after="100"/>
      </w:pPr>
      <w:r>
        <w:t xml:space="preserve">La IA no sustituye una habitación ni una marca, pero puede cambiar quién elige el hotel. Hoy el 70 % de las reservas llega por canales propios, más baratos que las agencias en línea [15]; si los agentes de reserva (ChatGPT, Gemini, Perplexity) se convierten en la puerta de entrada del viajero, el poder pasa al algoritmo y Marriott tendría que pagar por aparecer, como paga a Expedia y Booking. El propio 10-K lo avisa: más costes de distribución y menos lealtad a la marca [1]. La otra cara: un viajero que delega en un agente valora un programa con 295 M de socios, puntos y estatus que el agente puede usar; Marriott lanzó Ask Bonvoy en junio de 2026, trabaja con Google y OpenAI y prepara un programa para agentes [15, 16]. Señal: la cuota de reservas directas.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Marriott es la protección de datos de los huéspedes (fuga de Starwood de 2018, multas en Reino Unido y acuerdos en EE. UU.), las condiciones laborales de los 414.000 empleados que gestiona (148.000 propios) y la trata de personas en hoteles (formación obligatoria), y la energía y el agua de 9.805 hoteles que en su mayoría son de terceros [1]. Las emisiones están casi todas en el alcance 3 (hoteles franquiciados).</w:t>
      </w:r>
    </w:p>
    <w:p>
      <w:pPr>
        <w:pStyle w:val="Heading2"/>
      </w:pPr>
      <w:r>
        <w:t xml:space="preserve">Controversias</w:t>
      </w:r>
    </w:p>
    <w:p>
      <w:pPr>
        <w:spacing w:after="100"/>
      </w:pPr>
      <w:r>
        <w:t xml:space="preserve">Fuga de datos de Starwood (≈ 339 M de registros): multas de reguladores y la acción colectiva de EE. UU., cuya certificación anuló la apelación en junio de 2025 [1]. Retribución del consejero delegado de 22,97 M USD (474 veces el empleado mediano) con un 92,7 % de apoyo [20, 21]. Tensión con propietarios por el reparto del dinero de las tarjetas Bonvoy [17]. Calificaciones de MSCI, Sustainalytics o CDP no comprobadas en fuente primaria.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Tarjetas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suman en 2026 las comisiones de las tarjetas Bonvoy, cuánto crecen desde 2027 sin el salto de los contratos nuevos y qué parte quieren los propietarios?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motor del +11 % de 2026 y el punto de fricción con los propietarios.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reservas llegará por agentes de IA en 2028, quién paga la comisión y cómo se integra Bonvoy en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coste de distribución sube o baja; es el riesgo de largo plazo más grande.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reembolsados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gastos reembolsados superan a los ingresos desde 2024 (−299 M en 2025) y cuándo se compensan?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no se compensan, el resultado ajustado sobrestima el beneficio un 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apalancamiento seguirá recomprando con deuda si el RevPAR cae?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son ≈ 3 puntos de crecimiento del BPA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Habitaciones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«key money» por habitación se paga hoy frente a 2023, y cuántas habitaciones de la cartera son conversiones?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crecimiento cuesta más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la caída de Oriente Medio es temporal (guerra de Irán) y cómo evoluciona la demanda de China hacia fuera?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tercios de las comisiones de incentivo vienen de fuera de EE. UU.</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Mixto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($MAR)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propios de MAR mayoritariamente alcistas (los 400 USD como soporte, «steam rolling»), con dos bajistas técnicos («hanging man» tras cinco semanas de subida) y uno que no entiende la subida con el mercado débil; en septiembre algunos veían la acción «para cortos» tras el «rally de la guerra de Irán». La mitad del flujo es spam de otra empresa (TGE)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Mixto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Dividido: un alcista sobre la fidelidad que «crece más que el ciclo hotelero» y otro sobre la resistencia al choque de Irán, frente a dos que dicen que la valoración ya recoge los buenos resultados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Fidelidad y tarjetas como motor fuera del ciclo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2026 (comisiones de franquicia y gestión base +14 % en el 2T26 por las tarjetas) [32]; pero es un salto por contratos nuevos que no se repite cada año y que los propietarios quieren compartir.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tras subir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punto clave del informe: 30 veces el BPA de 2027 frente a una mediana adelantada de ≈ 25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para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1.250 M de bonos en agosto y patrimonio negativo, aunque dentro del objetivo de apalancamiento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Análisis técnico y rotación sectorial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del sector entero en octubre; no aporta datos del negocio [31].</w:t>
            </w:r>
          </w:p>
        </w:tc>
      </w:tr>
    </w:tbl>
    <w:p>
      <w:pPr>
        <w:spacing w:after="160" w:before="0"/>
      </w:pPr>
    </w:p>
    <w:p>
      <w:pPr>
        <w:spacing w:after="100"/>
      </w:pPr>
      <w:r>
        <w:t xml:space="preserve">El sentimiento es mixto tirando a positivo y mejora con el precio: los particulares celebran los máximos y Seeking Alpha se divide entre la tesis de la fidelidad y la de la valoración [31, 32]. Los analistas están más fríos que el precio (objetivo medio por debajo de la cotización, mitad comprar y mitad mantener). No hay miedo que aprovechar ni euforia extrema. No anticipa riesgos que el informe no tenga.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34 (18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8,7 %: explica la causa (créditos fiscales, regularizaciones, mezcla de países) y no lo proyectes en el DCF. Explicación: El tipo de 2023 (8,7 %) lleva dos beneficios fiscales que no se repiten: 228 M USD de una reestructuración internacional de la propiedad intelectual y 223 M de la liberación de una provisión de activos fiscales (0,77 y 0,75 USD por acción) [11]. Sin ellos el tipo sería del ≈ 22 %. El DCF usa un 26 % (guía de 2026: 26-26,5 % [4]) y la historia del PER usa el BPA de 2023 normalizado (8,47 USD).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-6,5 % frente a -6,7 %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-56,3 % (-46,8 % con la prima del mercado) y el precio pide 13,7 puntos más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y EBITDA de 2028e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quoteSummary (solo dos ejercicios); 2) titulares de Seeking Alpha; 3) búsqueda web de previsiones de 2028</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segmentos, Marriott Bonvoy, deuda, riesgos (incluida la IA),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Marriott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https://www.sec.gov/Archives/edgar/data/1048286/000104828626000007/mar-20251231.htm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Marriott International Reports Fourth Quarter 2025 Results (conciliaciones de ingresos ajustados, resultado operativo ajustado, BPA ajustado y EBITDA ajustado;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Marriott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https://www.sec.gov/Archives/edgar/data/1048286/000104828626000005/mar-2025q4xex99earningsrel.htm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4T de 2020, 2021, 2022, 2023 y 2024 (conciliaciones anuales y guías del año siguiente)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https://www.sec.gov/Archives/edgar/data/1048286/000162828025004772/mar-2024q4xearningsrelease.htm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Reports Second Quarter 2026 Results (RevPAR, comisiones, guía 2026 y del 3T)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https://www.sec.gov/Archives/edgar/data/1048286/000104828626000033/mar-2026q2xex99earningsrel.htm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3T de 2025 y del 1T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https://www.sec.gov/Archives/edgar/data/1048286/000104828626000012/mar-2026q1xex99earningsrel.htm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 de 2026 (balance a 30-jun-2026, flujos del semestre, deuda,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https://www.sec.gov/Archives/edgar/data/1048286/000104828626000035/mar-20260630.htm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Marriott (cuenta, balance y flujos 2016-2025): herramienta cuentas.mjs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https://data.sec.gov/api/xbrl/companyfacts/CIK0001048286.json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línea de crédito ampliada a 5.000 M USD hasta el 23-sep-2031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https://www.sec.gov/Archives/edgar/data/1048286/000119312526401051/d145370d8k.htm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(424B5) y 8-K de la emisión de agosto de 2026: 250 M al 4,875 % 2029 y 1.000 M al 5,65 % 2036; calificación Baa2 (Moody's) y BBB (S&amp;P)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https://www.sec.gov/Archives/edgar/data/1048286/000119312526347066/d158956d424b5.htm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Reports Fourth Quarter 2019 Results (BPA ajustado de 2019, 6,00 USD, y de 2018, 6,21 USD con 0,65 de plusvalías)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 (relación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https://marriott.gcs-web.com/node/30021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Reports Fourth Quarter 2023 Results (beneficios fiscales de 0,77 y 0,75 USD por acción en el BPA ajustado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https://www.sec.gov/Archives/edgar/data/1048286/000162828024004335/mar-2023q4xearningsrelease.htm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IHG: análisis value del 20-oct-2026 (tamaño de la industria hotelera mundial ≈ 750.000 M USD según IHG/STR, 57 % de habitaciones de cadena, 24 % de los cinco grandes; ingresos y márgenes de comparables del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(informes/ihg-2026-10-20)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informes/ihg-2026-10-20/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Hotels 325 (The List 2026): ranking mundial de grupos hoteleros por habitaciones a fin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HOTELS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https://hotelsmag.com/wp-content/uploads/2026/07/The-List-2026-4.pdf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Trump meets with travel industry CEOs on push to boost foreign tourism (llegadas internacionales −5,5 % en 2025 y −4,7 % hasta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Devdiscourse)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https://www.devdiscourse.com/article/international/3971709-trump-meets-with-travel-industry-ceos-on-push-to-boost-foreign-tourism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Plans To Reward AI Travel Agents As It Fights To Control Your Hotel Bookings (entrevista de Capuano en el WSJ: 70 % de reservas directas, Ask Bonvoy, Google y OpenAI)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View from the Wing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https://viewfromthewing.com/marriott-plans-to-reward-ai-travel-agents-as-it-fights-to-control-your-hotel-bookings/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debuts AI-powered hotel search tool Ask Bonvoy (beta en EE. UU., ≈ 10.000 hoteles); IHG, Wyndham y Accor con aplicaciones dentro de ChatGPT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Hotel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https://www.hoteldive.com/news/marriott-debuts-ai-powered-hotel-search-tool-ask-bonvoy/823130/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Hotel Owners Push Back Over Loyalty Program Economics (carta de 51 propietarios con ≈ 1.000 hoteles; comisiones de tarjetas ≈ 1.000 M USD en 2026, +35 %)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Loyalty360 (sobre el Wall Street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https://www.loyalty360.org/Content-Gallery/Daily-News/Marriott-Hotel-Owners-Push-Back-Over-Loyalty-Progr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(HLT) Up 4.6% (Freedom Broker: oferta nueva de habitaciones en EE. UU. del 0,4 % en 2026 y 0,6 % en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https://weissratings.com/en/instant-news-alerts/hilton-worldwide-holdings-inc-hlt-up-4-6-should-i-catch-this-wave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capitalización y múltiplos de comparables (quoteSummary,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retribución, accionistas, operaciones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https://www.sec.gov/Archives/edgar/data/1048286/000114036126011590/ny20062722x771_def14a.htm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8-may-2026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https://www.sec.gov/Archives/edgar/data/1048286/000119312526220804/d152439d8k.htm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retiro de Liam Brown (EE. UU. y Canadá) y nuevos presidentes de región (Satya Anand, Neal Jones, Federico Greppi)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https://www.sec.gov/Archives/edgar/data/1048286/000119312526008335/d31810d8k.htm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retiro de la directora financiera Kathleen (Leeny) Oberg tras el 10-K de 2025 y nombramiento de Jennifer C. Mason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https://www.sec.gov/Archives/edgar/data/1048286/000119312525158742/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Marriott (21-oct-2025 a 21-oct-2026),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https://www.sec.gov/cgi-bin/browse-edgar?action=getcompany&amp;CIK=0001048286&amp;type=4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MAR, SPY y XLY (precio, rango,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https://finance.yahoo.com/quote/MAR/history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MAR y comparables (estimaciones de BPA y ventas, objetivos, recomendaciones, cambios de objetivo, precio de la sesión del 21-oct a las 11:55 de Nueva York):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https://finance.yahoo.com/quote/MAR/analysis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Announces Release Date For Third Quarter 2026 Earnings (2-nov-2026, 7:00 de Nueva York)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Marriott International,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https://marriott.gcs-web.com/node/37666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Seeking Alpha sobre MAR (RSS, mar-oct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https://seekingalpha.com/api/sa/combined/MAR.xml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$MAR (2-sep a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https://api.stocktwits.com/api/2/streams/symbol/MAR.json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artículos sobre MAR (mar-oct 2026: «The Loyalty Engine Is Outgrowing The Hotel Cycle», «Solid Results Factored Into Its Elevated Valuation», «Its Upside Has Already Traveled Too Long, Too Far», «Proves Resilient To The Iran Shock»)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https://seekingalpha.com/symbol/MAR/analysis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Merlintrader (vía Stocktwits): «Can Fee Growth Outrun a $1.25 Billion August Bond Sale?»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Merlintrader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https://www.merlintrader.com/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e IHG: análisis value del 21-oct y del 20-oct-2026 (mismo sector; historia del PER de Hilton sin los años de la pandemia, comparables y riesgos comunes)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(informes/hilton-2026-10-21, informes/ihg-2026-10-20)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informes/hilton-2026-10-21/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89,3 %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USD, ejercicio natural. El último ejercicio real es 2025; el 1S26 está en el 10-Q del 2T26 y el 3T26 se publica el 2-nov-2026 [29]. INGRESOS = ingresos ajustados de la empresa (sin los ingresos de costes reembolsados, 19.204 M en 2025, que no dejan margen): con las ventas GAAP los márgenes no dicen nada [2]. El EBIT que usa el motor es el resultado operativo ajustado (GAAP + diferencia neta de costes reembolsados, reestructuración y deterioros). Precio: cierre del 20-oct-2026 (397,31 USD); la sesión del 21-oct estaba abierta (405,44 USD a las 15:55 UTC [26]) y la decisión se comprueba con ese precio en las pruebas de robustez. El BPA de la regla a 12 meses y su historia están en la base AJUSTADA de la empresa. Sin ficha sectorial de hoteles en el repositorio: el sector se apoya en el análisis de IHG del 20-oct [12].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Marriott International, Inc. (MAR)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397,31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(256,76 – 410,98)</c:v>
                </c:pt>
                <c:pt idx="1">
                  <c:v>Precio objetivo de los analistas (280,00 – 429,00)</c:v>
                </c:pt>
                <c:pt idx="2">
                  <c:v>Comparables: PER NTM (204,73 – 418,47)</c:v>
                </c:pt>
                <c:pt idx="3">
                  <c:v>DCF (WACC y g ± 0,5) (133,46 – 185,23)</c:v>
                </c:pt>
                <c:pt idx="4">
                  <c:v>Escenarios (bajista – alcista) (98,05 – 178,88)</c:v>
                </c:pt>
                <c:pt idx="5">
                  <c:v>DCF con la prima implícita del mercado (4,2 %)</c:v>
                </c:pt>
                <c:pt idx="6">
                  <c:v>Precio actual (397,31)</c:v>
                </c:pt>
              </c:strCache>
            </c:strRef>
          </c:cat>
          <c:val>
            <c:numRef>
              <c:f>Hoja1!$B$2:$B$8</c:f>
              <c:numCache>
                <c:formatCode>#,##0</c:formatCode>
                <c:ptCount val="7"/>
                <c:pt idx="0">
                  <c:v>256.76</c:v>
                </c:pt>
                <c:pt idx="1">
                  <c:v>280</c:v>
                </c:pt>
                <c:pt idx="2">
                  <c:v>204.73</c:v>
                </c:pt>
                <c:pt idx="3">
                  <c:v>133.46</c:v>
                </c:pt>
                <c:pt idx="4">
                  <c:v>98.05</c:v>
                </c:pt>
                <c:pt idx="5">
                  <c:v>181.01</c:v>
                </c:pt>
                <c:pt idx="6">
                  <c:v>395.32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(256,76 – 410,98)</c:v>
                </c:pt>
                <c:pt idx="1">
                  <c:v>Precio objetivo de los analistas (280,00 – 429,00)</c:v>
                </c:pt>
                <c:pt idx="2">
                  <c:v>Comparables: PER NTM (204,73 – 418,47)</c:v>
                </c:pt>
                <c:pt idx="3">
                  <c:v>DCF (WACC y g ± 0,5) (133,46 – 185,23)</c:v>
                </c:pt>
                <c:pt idx="4">
                  <c:v>Escenarios (bajista – alcista) (98,05 – 178,88)</c:v>
                </c:pt>
                <c:pt idx="5">
                  <c:v>DCF con la prima implícita del mercado (4,2 %)</c:v>
                </c:pt>
                <c:pt idx="6">
                  <c:v>Precio actual (397,31)</c:v>
                </c:pt>
              </c:strCache>
            </c:strRef>
          </c:cat>
          <c:val>
            <c:numRef>
              <c:f>Hoja1!$C$2:$C$8</c:f>
              <c:numCache>
                <c:formatCode>#,##0</c:formatCode>
                <c:ptCount val="7"/>
                <c:pt idx="0">
                  <c:v>154.22000000000003</c:v>
                </c:pt>
                <c:pt idx="1">
                  <c:v>149</c:v>
                </c:pt>
                <c:pt idx="2">
                  <c:v>213.74000000000004</c:v>
                </c:pt>
                <c:pt idx="3">
                  <c:v>51.76999999999998</c:v>
                </c:pt>
                <c:pt idx="4">
                  <c:v>80.83</c:v>
                </c:pt>
                <c:pt idx="5">
                  <c:v>44.920000000000016</c:v>
                </c:pt>
                <c:pt idx="6">
                  <c:v>3.980000000000018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EE. UU. y Canadá</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2875</c:v>
                </c:pt>
                <c:pt idx="1">
                  <c:v>2921</c:v>
                </c:pt>
              </c:numCache>
            </c:numRef>
          </c:val>
        </c:ser>
        <c:ser>
          <c:idx val="1"/>
          <c:order val="1"/>
          <c:tx>
            <c:strRef>
              <c:f>Hoja1!$C$1</c:f>
              <c:strCache>
                <c:ptCount val="1"/>
                <c:pt idx="0">
                  <c:v>Europa, Oriente Medio y África (EMEA)</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575</c:v>
                </c:pt>
                <c:pt idx="1">
                  <c:v>621</c:v>
                </c:pt>
              </c:numCache>
            </c:numRef>
          </c:val>
        </c:ser>
        <c:ser>
          <c:idx val="2"/>
          <c:order val="2"/>
          <c:tx>
            <c:strRef>
              <c:f>Hoja1!$D$1</c:f>
              <c:strCache>
                <c:ptCount val="1"/>
                <c:pt idx="0">
                  <c:v>Gran China</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249</c:v>
                </c:pt>
                <c:pt idx="1">
                  <c:v>260</c:v>
                </c:pt>
              </c:numCache>
            </c:numRef>
          </c:val>
        </c:ser>
        <c:ser>
          <c:idx val="3"/>
          <c:order val="3"/>
          <c:tx>
            <c:strRef>
              <c:f>Hoja1!$E$1</c:f>
              <c:strCache>
                <c:ptCount val="1"/>
                <c:pt idx="0">
                  <c:v>Asia-Pacífico sin China (APEC)</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340</c:v>
                </c:pt>
                <c:pt idx="1">
                  <c:v>370</c:v>
                </c:pt>
              </c:numCache>
            </c:numRef>
          </c:val>
        </c:ser>
        <c:ser>
          <c:idx val="4"/>
          <c:order val="4"/>
          <c:tx>
            <c:strRef>
              <c:f>Hoja1!$F$1</c:f>
              <c:strCache>
                <c:ptCount val="1"/>
                <c:pt idx="0">
                  <c:v>Corporativo, tarjetas, propiedad y otros (no asignado)</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2579</c:v>
                </c:pt>
                <c:pt idx="1">
                  <c:v>2825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EE. UU. y Canadá</c:v>
                </c:pt>
                <c:pt idx="1">
                  <c:v>Europa, Oriente Medio y África (EMEA)</c:v>
                </c:pt>
                <c:pt idx="2">
                  <c:v>Gran China</c:v>
                </c:pt>
                <c:pt idx="3">
                  <c:v>Asia-Pacífico sin China (APEC)</c:v>
                </c:pt>
                <c:pt idx="4">
                  <c:v>Corporativo, tarjetas, propiedad y otros (no asignado)</c:v>
                </c:pt>
              </c:strCache>
            </c:strRef>
          </c:cat>
          <c:val>
            <c:numRef>
              <c:f>Hoja1!$B$2:$B$6</c:f>
              <c:numCache>
                <c:formatCode>General</c:formatCode>
                <c:ptCount val="5"/>
                <c:pt idx="0">
                  <c:v>41.7</c:v>
                </c:pt>
                <c:pt idx="1">
                  <c:v>8.9</c:v>
                </c:pt>
                <c:pt idx="2">
                  <c:v>3.7</c:v>
                </c:pt>
                <c:pt idx="3">
                  <c:v>5.3</c:v>
                </c:pt>
                <c:pt idx="4">
                  <c:v>40.4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Comisiones netas asignadas a segmentos en 2025 (2.921 de 4.172 M USD) [1]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 y Canadá</c:v>
                </c:pt>
                <c:pt idx="1">
                  <c:v>Internacional</c:v>
                </c:pt>
              </c:strCache>
            </c:strRef>
          </c:cat>
          <c:val>
            <c:numRef>
              <c:f>Hoja1!$B$2:$B$3</c:f>
              <c:numCache>
                <c:formatCode>0"%"</c:formatCode>
                <c:ptCount val="2"/>
                <c:pt idx="0">
                  <c:v>70</c:v>
                </c:pt>
                <c:pt idx="1">
                  <c:v>30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la industria hotelera mundial; 2026-2028 estimación con +4 % anual))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2023</c:v>
                </c:pt>
                <c:pt idx="1">
                  <c:v>2024</c:v>
                </c:pt>
                <c:pt idx="2">
                  <c:v>2025</c:v>
                </c:pt>
                <c:pt idx="3">
                  <c:v>2026e</c:v>
                </c:pt>
                <c:pt idx="4">
                  <c:v>2027e</c:v>
                </c:pt>
                <c:pt idx="5">
                  <c:v>2028e</c:v>
                </c:pt>
              </c:strCache>
            </c:strRef>
          </c:cat>
          <c:val>
            <c:numRef>
              <c:f>Hoja1!$B$2:$B$7</c:f>
              <c:numCache>
                <c:formatCode>#,##0</c:formatCode>
                <c:ptCount val="6"/>
                <c:pt idx="0">
                  <c:v>690000</c:v>
                </c:pt>
                <c:pt idx="1">
                  <c:v>720000</c:v>
                </c:pt>
                <c:pt idx="2">
                  <c:v>750000</c:v>
                </c:pt>
                <c:pt idx="3">
                  <c:v>780000</c:v>
                </c:pt>
                <c:pt idx="4">
                  <c:v>810000</c:v>
                </c:pt>
                <c:pt idx="5">
                  <c:v>845000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Marriott</c:v>
                </c:pt>
                <c:pt idx="1">
                  <c:v>Hilton Worldwide</c:v>
                </c:pt>
                <c:pt idx="2">
                  <c:v>Jin Jiang International</c:v>
                </c:pt>
                <c:pt idx="3">
                  <c:v>InterContinental Hotels Group</c:v>
                </c:pt>
                <c:pt idx="4">
                  <c:v>Accor</c:v>
                </c:pt>
                <c:pt idx="5">
                  <c:v>Wyndham Hotels &amp; Resorts</c:v>
                </c:pt>
                <c:pt idx="6">
                  <c:v>Choice Hotels</c:v>
                </c:pt>
                <c:pt idx="7">
                  <c:v>Hyatt Hotels</c:v>
                </c:pt>
                <c:pt idx="8">
                  <c:v>Airbnb</c:v>
                </c:pt>
              </c:strCache>
            </c:strRef>
          </c:cat>
          <c:val>
            <c:numRef>
              <c:f>Hoja1!$B$2:$B$10</c:f>
              <c:numCache>
                <c:formatCode>0.0"%"</c:formatCode>
                <c:ptCount val="9"/>
                <c:pt idx="0">
                  <c:v>64</c:v>
                </c:pt>
                <c:pt idx="1">
                  <c:v>22.4</c:v>
                </c:pt>
                <c:pt idx="4">
                  <c:v>14.3</c:v>
                </c:pt>
                <c:pt idx="5">
                  <c:v>28.1</c:v>
                </c:pt>
                <c:pt idx="6">
                  <c:v>28.1</c:v>
                </c:pt>
                <c:pt idx="8">
                  <c:v>20.8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3415</c:v>
                </c:pt>
                <c:pt idx="1">
                  <c:v>5361</c:v>
                </c:pt>
                <c:pt idx="2">
                  <c:v>6300</c:v>
                </c:pt>
                <c:pt idx="3">
                  <c:v>6618</c:v>
                </c:pt>
                <c:pt idx="4">
                  <c:v>6997</c:v>
                </c:pt>
                <c:pt idx="5">
                  <c:v>7697</c:v>
                </c:pt>
                <c:pt idx="6">
                  <c:v>8274</c:v>
                </c:pt>
                <c:pt idx="7">
                  <c:v>8853</c:v>
                </c:pt>
                <c:pt idx="8">
                  <c:v>9429</c:v>
                </c:pt>
                <c:pt idx="9">
                  <c:v>9994</c:v>
                </c:pt>
                <c:pt idx="10">
                  <c:v>10544</c:v>
                </c:pt>
                <c:pt idx="11">
                  <c:v>11071</c:v>
                </c:pt>
                <c:pt idx="12">
                  <c:v>11569</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1944</c:v>
                </c:pt>
                <c:pt idx="1">
                  <c:v>3485</c:v>
                </c:pt>
                <c:pt idx="2">
                  <c:v>4212</c:v>
                </c:pt>
                <c:pt idx="3">
                  <c:v>4447</c:v>
                </c:pt>
                <c:pt idx="4">
                  <c:v>4824</c:v>
                </c:pt>
                <c:pt idx="5">
                  <c:v>5426</c:v>
                </c:pt>
                <c:pt idx="6">
                  <c:v>5875</c:v>
                </c:pt>
                <c:pt idx="7">
                  <c:v>6330</c:v>
                </c:pt>
                <c:pt idx="8">
                  <c:v>6741</c:v>
                </c:pt>
                <c:pt idx="9">
                  <c:v>7146</c:v>
                </c:pt>
                <c:pt idx="10">
                  <c:v>7539</c:v>
                </c:pt>
                <c:pt idx="11">
                  <c:v>7916</c:v>
                </c:pt>
                <c:pt idx="12">
                  <c:v>8272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56.9</c:v>
                </c:pt>
                <c:pt idx="1">
                  <c:v>65</c:v>
                </c:pt>
                <c:pt idx="2">
                  <c:v>66.9</c:v>
                </c:pt>
                <c:pt idx="3">
                  <c:v>67.2</c:v>
                </c:pt>
                <c:pt idx="4">
                  <c:v>68.9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48.3</c:v>
                </c:pt>
                <c:pt idx="1">
                  <c:v>59.7</c:v>
                </c:pt>
                <c:pt idx="2">
                  <c:v>62.5</c:v>
                </c:pt>
                <c:pt idx="3">
                  <c:v>62.9</c:v>
                </c:pt>
                <c:pt idx="4">
                  <c:v>64</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32.2</c:v>
                </c:pt>
                <c:pt idx="1">
                  <c:v>44</c:v>
                </c:pt>
                <c:pt idx="2">
                  <c:v>48.9</c:v>
                </c:pt>
                <c:pt idx="3">
                  <c:v>35.9</c:v>
                </c:pt>
                <c:pt idx="4">
                  <c:v>37.2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5.6</c:v>
                </c:pt>
                <c:pt idx="5">
                  <c:v>7.1</c:v>
                </c:pt>
                <c:pt idx="6">
                  <c:v>12.6</c:v>
                </c:pt>
                <c:pt idx="7">
                  <c:v>11.1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170</c:v>
                </c:pt>
                <c:pt idx="4">
                  <c:v>168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994</c:v>
                </c:pt>
                <c:pt idx="1">
                  <c:v>2031</c:v>
                </c:pt>
                <c:pt idx="2">
                  <c:v>2718</c:v>
                </c:pt>
                <c:pt idx="3">
                  <c:v>1999</c:v>
                </c:pt>
                <c:pt idx="4">
                  <c:v>2608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1099</c:v>
                </c:pt>
                <c:pt idx="1">
                  <c:v>2358</c:v>
                </c:pt>
                <c:pt idx="2">
                  <c:v>3083</c:v>
                </c:pt>
                <c:pt idx="3">
                  <c:v>2375</c:v>
                </c:pt>
                <c:pt idx="4">
                  <c:v>2601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15.1</c:v>
                </c:pt>
                <c:pt idx="1">
                  <c:v>23.9</c:v>
                </c:pt>
                <c:pt idx="2">
                  <c:v>34.2</c:v>
                </c:pt>
                <c:pt idx="3">
                  <c:v>28.6</c:v>
                </c:pt>
                <c:pt idx="4">
                  <c:v>29.7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10.2</c:v>
                </c:pt>
                <c:pt idx="1">
                  <c:v>10.2</c:v>
                </c:pt>
                <c:pt idx="2">
                  <c:v>10.2</c:v>
                </c:pt>
                <c:pt idx="3">
                  <c:v>10.2</c:v>
                </c:pt>
                <c:pt idx="4">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77.7</c:v>
                </c:pt>
                <c:pt idx="1">
                  <c:v>237.9</c:v>
                </c:pt>
                <c:pt idx="2">
                  <c:v>-5408.8</c:v>
                </c:pt>
                <c:pt idx="3">
                  <c:v>-129.3</c:v>
                </c:pt>
                <c:pt idx="4">
                  <c:v>-76.9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4.5</c:v>
                </c:pt>
                <c:pt idx="1">
                  <c:v>2.74</c:v>
                </c:pt>
                <c:pt idx="2">
                  <c:v>2.74</c:v>
                </c:pt>
                <c:pt idx="3">
                  <c:v>3.16</c:v>
                </c:pt>
                <c:pt idx="4">
                  <c:v>3.28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1209</c:v>
                </c:pt>
                <c:pt idx="1">
                  <c:v>2581</c:v>
                </c:pt>
                <c:pt idx="2">
                  <c:v>1454</c:v>
                </c:pt>
                <c:pt idx="3">
                  <c:v>1297</c:v>
                </c:pt>
                <c:pt idx="4">
                  <c:v>1503</c:v>
                </c:pt>
                <c:pt idx="5">
                  <c:v>8160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100</c:v>
                </c:pt>
                <c:pt idx="3">
                  <c:v>0</c:v>
                </c:pt>
                <c:pt idx="4">
                  <c:v>350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321</c:v>
                </c:pt>
                <c:pt idx="2">
                  <c:v>587</c:v>
                </c:pt>
                <c:pt idx="3">
                  <c:v>682</c:v>
                </c:pt>
                <c:pt idx="4">
                  <c:v>718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2566</c:v>
                </c:pt>
                <c:pt idx="2">
                  <c:v>3953</c:v>
                </c:pt>
                <c:pt idx="3">
                  <c:v>3762</c:v>
                </c:pt>
                <c:pt idx="4">
                  <c:v>3300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2</c:v>
                </c:pt>
                <c:pt idx="1">
                  <c:v>1</c:v>
                </c:pt>
                <c:pt idx="2">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Familia Marriott (incluida JWM Family Enterprises, 8,30 %)</c:v>
                </c:pt>
                <c:pt idx="1">
                  <c:v>Vanguard</c:v>
                </c:pt>
                <c:pt idx="2">
                  <c:v>BlackRock</c:v>
                </c:pt>
                <c:pt idx="3">
                  <c:v>Consejeros y directivos (con la familia en el consejo)</c:v>
                </c:pt>
              </c:strCache>
            </c:strRef>
          </c:cat>
          <c:val>
            <c:numRef>
              <c:f>Hoja1!$B$2:$B$5</c:f>
              <c:numCache>
                <c:formatCode>0.0"%"</c:formatCode>
                <c:ptCount val="4"/>
                <c:pt idx="0">
                  <c:v>17.57</c:v>
                </c:pt>
                <c:pt idx="1">
                  <c:v>7.9</c:v>
                </c:pt>
                <c:pt idx="2">
                  <c:v>5.73</c:v>
                </c:pt>
                <c:pt idx="3">
                  <c:v>11.43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25.4</c:v>
                </c:pt>
                <c:pt idx="1">
                  <c:v>66.2</c:v>
                </c:pt>
                <c:pt idx="2">
                  <c:v>-19</c:v>
                </c:pt>
                <c:pt idx="3">
                  <c:v>41.5</c:v>
                </c:pt>
                <c:pt idx="4">
                  <c:v>-12.5</c:v>
                </c:pt>
                <c:pt idx="5">
                  <c:v>25.3</c:v>
                </c:pt>
                <c:pt idx="6">
                  <c:v>-9.3</c:v>
                </c:pt>
                <c:pt idx="7">
                  <c:v>53.1</c:v>
                </c:pt>
                <c:pt idx="8">
                  <c:v>24.9</c:v>
                </c:pt>
                <c:pt idx="9">
                  <c:v>12.3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32.5</c:v>
                </c:pt>
                <c:pt idx="1">
                  <c:v>16.7</c:v>
                </c:pt>
                <c:pt idx="2">
                  <c:v>19</c:v>
                </c:pt>
                <c:pt idx="3">
                  <c:v>21</c:v>
                </c:pt>
                <c:pt idx="4">
                  <c:v>20.9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20.9</c:v>
                </c:pt>
                <c:pt idx="1">
                  <c:v>20.9</c:v>
                </c:pt>
                <c:pt idx="2">
                  <c:v>20.9</c:v>
                </c:pt>
                <c:pt idx="3">
                  <c:v>20.9</c:v>
                </c:pt>
                <c:pt idx="4">
                  <c:v>20.9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3072</c:v>
                </c:pt>
                <c:pt idx="1">
                  <c:v>3336</c:v>
                </c:pt>
                <c:pt idx="2">
                  <c:v>3646</c:v>
                </c:pt>
                <c:pt idx="3">
                  <c:v>3930</c:v>
                </c:pt>
                <c:pt idx="4">
                  <c:v>4216</c:v>
                </c:pt>
                <c:pt idx="5">
                  <c:v>4500</c:v>
                </c:pt>
                <c:pt idx="6">
                  <c:v>4780</c:v>
                </c:pt>
                <c:pt idx="7">
                  <c:v>5053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20985</c:v>
                </c:pt>
                <c:pt idx="1">
                  <c:v>35765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397,31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98.05</c:v>
                </c:pt>
                <c:pt idx="1">
                  <c:v>155.82</c:v>
                </c:pt>
                <c:pt idx="2">
                  <c:v>178.88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397,31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(256,76 – 410,98)</c:v>
                </c:pt>
                <c:pt idx="1">
                  <c:v>Precio objetivo de los analistas (280,00 – 429,00)</c:v>
                </c:pt>
                <c:pt idx="2">
                  <c:v>Comparables: PER NTM (204,73 – 418,47)</c:v>
                </c:pt>
                <c:pt idx="3">
                  <c:v>DCF (WACC y g ± 0,5) (133,46 – 185,23)</c:v>
                </c:pt>
                <c:pt idx="4">
                  <c:v>Escenarios (bajista – alcista) (98,05 – 178,88)</c:v>
                </c:pt>
                <c:pt idx="5">
                  <c:v>DCF con la prima implícita del mercado (4,2 %)</c:v>
                </c:pt>
                <c:pt idx="6">
                  <c:v>Precio actual (397,31)</c:v>
                </c:pt>
              </c:strCache>
            </c:strRef>
          </c:cat>
          <c:val>
            <c:numRef>
              <c:f>Hoja1!$B$2:$B$8</c:f>
              <c:numCache>
                <c:formatCode>#,##0</c:formatCode>
                <c:ptCount val="7"/>
                <c:pt idx="0">
                  <c:v>256.76</c:v>
                </c:pt>
                <c:pt idx="1">
                  <c:v>280</c:v>
                </c:pt>
                <c:pt idx="2">
                  <c:v>204.73</c:v>
                </c:pt>
                <c:pt idx="3">
                  <c:v>133.46</c:v>
                </c:pt>
                <c:pt idx="4">
                  <c:v>98.05</c:v>
                </c:pt>
                <c:pt idx="5">
                  <c:v>181.01</c:v>
                </c:pt>
                <c:pt idx="6">
                  <c:v>395.32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(256,76 – 410,98)</c:v>
                </c:pt>
                <c:pt idx="1">
                  <c:v>Precio objetivo de los analistas (280,00 – 429,00)</c:v>
                </c:pt>
                <c:pt idx="2">
                  <c:v>Comparables: PER NTM (204,73 – 418,47)</c:v>
                </c:pt>
                <c:pt idx="3">
                  <c:v>DCF (WACC y g ± 0,5) (133,46 – 185,23)</c:v>
                </c:pt>
                <c:pt idx="4">
                  <c:v>Escenarios (bajista – alcista) (98,05 – 178,88)</c:v>
                </c:pt>
                <c:pt idx="5">
                  <c:v>DCF con la prima implícita del mercado (4,2 %)</c:v>
                </c:pt>
                <c:pt idx="6">
                  <c:v>Precio actual (397,31)</c:v>
                </c:pt>
              </c:strCache>
            </c:strRef>
          </c:cat>
          <c:val>
            <c:numRef>
              <c:f>Hoja1!$C$2:$C$8</c:f>
              <c:numCache>
                <c:formatCode>#,##0</c:formatCode>
                <c:ptCount val="7"/>
                <c:pt idx="0">
                  <c:v>154.22000000000003</c:v>
                </c:pt>
                <c:pt idx="1">
                  <c:v>149</c:v>
                </c:pt>
                <c:pt idx="2">
                  <c:v>213.74000000000004</c:v>
                </c:pt>
                <c:pt idx="3">
                  <c:v>51.76999999999998</c:v>
                </c:pt>
                <c:pt idx="4">
                  <c:v>80.83</c:v>
                </c:pt>
                <c:pt idx="5">
                  <c:v>44.920000000000016</c:v>
                </c:pt>
                <c:pt idx="6">
                  <c:v>3.980000000000018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