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VAT Group AG</w:t>
      </w:r>
    </w:p>
    <w:p>
      <w:pPr>
        <w:spacing w:after="60"/>
        <w:rPr>
          <w:color w:val="52514E"/>
          <w:sz w:val="22"/>
          <w:szCs w:val="22"/>
        </w:rPr>
      </w:pPr>
      <w:r>
        <w:rPr>
          <w:color w:val="52514E"/>
          <w:sz w:val="22"/>
          <w:szCs w:val="22"/>
        </w:rPr>
        <w:t xml:space="preserve">VACN · SIX Swiss Exchange · ISIN CH0311864901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698,20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272,01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20.944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33,9x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VAT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VACN / CH0311864901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 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y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Haag (Rheintal), San Galo, Suiza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https://www.vatgroup.com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698,20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305,10 – 727,20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20.944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21.231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43,5 M CHF/día (3 meses; 68.553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272,01 CHF</w:t>
      </w:r>
      <w:r>
        <w:t xml:space="preserve"> frente a 698,20 · Rentabilidad total esperada a 12 meses </w:t>
      </w:r>
      <w:r>
        <w:rPr>
          <w:b/>
          <w:bCs/>
        </w:rPr>
        <w:t xml:space="preserve">-60,0 %</w:t>
      </w:r>
      <w:r>
        <w:t xml:space="preserve"> · Alcista / bajista -49,9 % / -78,8 %</w:t>
      </w:r>
    </w:p>
    <w:p>
      <w:pPr>
        <w:spacing w:after="100"/>
      </w:pPr>
      <w:r>
        <w:rPr>
          <w:b/>
        </w:rPr>
        <w:t xml:space="preserve">La recomendación y por qué.</w:t>
      </w:r>
      <w:r>
        <w:t xml:space="preserve"> Vender, con convicción baja. El valor objetivo es de 272,01 CHF frente a un precio de 698,20 CHF: una rentabilidad total esperada del −60,0 %, con el alcista (349,49 CHF) un 49,9 % por debajo del precio y el bajista (148,36 CHF) un 78,8 %. Un negocio excelente a un precio que solo se sostiene si el ciclo de los semiconductores deja de serlo. Convicción baja: nuestras cifras de 2026-2027 coinciden con el consenso; la diferencia está en el valle posterior y en la tasa de descuento, y el próximo dato (15-oct) probablemente será bueno.</w:t>
      </w:r>
    </w:p>
    <w:p>
      <w:pPr>
        <w:spacing w:after="100"/>
      </w:pPr>
      <w:r>
        <w:rPr>
          <w:b/>
        </w:rPr>
        <w:t xml:space="preserve">El negocio.</w:t>
      </w:r>
      <w:r>
        <w:t xml:space="preserve"> VAT tiene en torno al 70 % del mercado mundial de válvulas de vacío para fabricar chips y un margen EBIT del 25,4 % en 2025, frente al 18,4 % del vacío de Atlas Copco y el 13,4 % de MKS [1, 60, 61]. El ROIC (26,1 % en 2025) no ha bajado del WACC (8,12 %) ni en el peor año de diez (11,8 % en 2019). La vulnerabilidad es la concentración: tres fabricantes de equipos suman el 43 % de las ventas y China, el 32 % [1].</w:t>
      </w:r>
    </w:p>
    <w:p>
      <w:pPr>
        <w:spacing w:after="100"/>
      </w:pPr>
      <w:r>
        <w:rPr>
          <w:b/>
        </w:rPr>
        <w:t xml:space="preserve">Sector y ciclo.</w:t>
      </w:r>
      <w:r>
        <w:t xml:space="preserve"> Estamos en la fase más fuerte de una subida: pedidos de 500 M CHF en el 2T26 (book-to-bill de 1,7x, el récord), cartera de 647,9 M y un WFE previsto por SEMI del +23 % en 2026, +21,8 % en 2027 y +14,1 % en 2028 [9, 46]. Pero en 2019 y en 2023 las ventas cayeron un 18 % y un 23 % y el EBITDA un 28 % y un 32 % [2, 4].</w:t>
      </w:r>
    </w:p>
    <w:p>
      <w:pPr>
        <w:spacing w:after="100"/>
      </w:pPr>
      <w:r>
        <w:rPr>
          <w:b/>
        </w:rPr>
        <w:t xml:space="preserve">Finanzas.</w:t>
      </w:r>
      <w:r>
        <w:t xml:space="preserve"> Cuentas NIIF limpias (KPMG, sin salvedades, Altman Z de 29,33, Beneish M de −2,83) y balance holgado: deuda neta ajustada de 287 M CHF, 0,9x el EBITDA [1]. El 1S26 muestra el coste de la subida: margen EBITDA del 29,0 % con +1,8 puntos de divisa a favor y existencias de 190,0 a 273,4 M [6, 7].</w:t>
      </w:r>
    </w:p>
    <w:p>
      <w:pPr>
        <w:spacing w:after="100"/>
      </w:pPr>
      <w:r>
        <w:rPr>
          <w:b/>
        </w:rPr>
        <w:t xml:space="preserve">Equipo y gobierno.</w:t>
      </w:r>
      <w:r>
        <w:t xml:space="preserve"> Gobierno correcto (sin accionista de control, una acción un voto, PSU ligadas a ROIC y TSR relativos), pero el equipo pierde al COO en plena subida de producción y ha fallado sus objetivos de medio plazo (1.500 M en 2025; real 1.074 M) [12, 67, 68, 75].</w:t>
      </w:r>
    </w:p>
    <w:p>
      <w:pPr>
        <w:spacing w:after="100"/>
      </w:pPr>
      <w:r>
        <w:rPr>
          <w:b/>
        </w:rPr>
        <w:t xml:space="preserve">Valoración.</w:t>
      </w:r>
      <w:r>
        <w:t xml:space="preserve"> El DCF da 229,55 CHF; los comparables, 433,39; los escenarios ponderados, 235,18. VAT cotiza a 33,9x el EBITDA de los próximos 12 meses frente a una mediana del sector de 20,7x, y a 69,7x el de los últimos 12 meses frente a una media histórica de 32,5x. El DCF inverso es la clave: el precio exige un crecimiento anual del 26,1 % hasta 2035 o, con nuestras cifras, una rentabilidad del 3,8 % en francos, 3,3 puntos sobre el bono suizo para una acción que perdió un 58 % en 2021-2022 [83]. Ni el consenso hasta 2028 sin valle posterior, con un margen del 38 % para siempre y un WACC del 6,4 %, pasa de 470 CHF (prueba propia con el mismo motor).</w:t>
      </w:r>
    </w:p>
    <w:p>
      <w:pPr>
        <w:spacing w:after="100"/>
      </w:pPr>
      <w:r>
        <w:rPr>
          <w:b/>
        </w:rPr>
        <w:t xml:space="preserve">Riesgos y catalizadores.</w:t>
      </w:r>
      <w:r>
        <w:t xml:space="preserve"> El riesgo de la recomendación es de calendario: si la IA alarga la subida, la acción puede seguir subiendo, como en 2021 (+109,5 %) [83]. Los catalizadores con fecha son la actualización del 3T26 (15-oct), los resultados de los fabricantes de equipos en octubre y la nueva guía de 2027 (2-mar-2027) [7]. Para el valor, lo que más pesa es el giro del ciclo (bajista: −35 % sobre el base), la compresión del múltiplo (−40 % a la mediana del sector) y China.</w:t>
      </w:r>
    </w:p>
    <w:p>
      <w:pPr>
        <w:spacing w:after="100"/>
      </w:pPr>
      <w:r>
        <w:rPr>
          <w:b/>
        </w:rPr>
        <w:t xml:space="preserve">Qué cambiaría la decisión.</w:t>
      </w:r>
      <w:r>
        <w:t xml:space="preserve"> Compraríamos por debajo de 238,61 CHF y venderíamos por encima de 305,64. Revisaríamos al alza si la guía de 2027 supera los 2.200 M CHF con un margen del 37 % y si la previsión de SEMI para 2029 no muestra caída. Reforzaría la venta un book-to-bill por debajo de 1 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272,01 CHF</w:t>
      </w:r>
      <w:r>
        <w:t xml:space="preserve"> (-61,0 % sobre 698,20; rentabilidad total esperada -60,0 %)</w:t>
      </w:r>
    </w:p>
    <w:p>
      <w:pPr>
        <w:spacing w:after="100"/>
      </w:pPr>
      <w:r>
        <w:t xml:space="preserve">VAT es el líder mundial de un nicho imprescindible: las válvulas que aíslan y controlan el vacío en las cámaras donde se depositan y graban los chips. Con en torno al 70 % de cuota, un margen EBITDA del 30-35 % a lo largo del ciclo y un ROIC que no ha bajado del 11,8 % ni en el peor año, convierte el 96 % de su beneficio en caja y reparte casi todo en dividendos [1]. El gasto en IA le ha dado los mejores pedidos de su historia: 500 M CHF en el 2T26, con una cartera de 647,9 M [9].</w:t>
      </w:r>
    </w:p>
    <w:p>
      <w:pPr>
        <w:spacing w:after="100"/>
      </w:pPr>
      <w:r>
        <w:t xml:space="preserve">El precio descuenta que esa subida no tiene final. A 698,20 CHF, VAT cotiza a 33,9x el EBITDA de los próximos 12 meses, el múltiplo más alto de su sector (mediana 20,7x), y a 69,7x el de los últimos 12. El DCF inverso exige un crecimiento anual de las ventas del 26,1 % hasta 2035, tres veces el 8,7 % de 2016-2025, o aceptar una rentabilidad del 3,8 % anual en francos.</w:t>
      </w:r>
    </w:p>
    <w:p>
      <w:pPr>
        <w:spacing w:after="100"/>
      </w:pPr>
      <w:r>
        <w:t xml:space="preserve">El mercado acierta en el negocio y se equivoca en el precio. Nuestras cifras de 2026 y 2027 coinciden con el consenso; la diferencia es que contamos un valle en 2029, como los de 2019 y 2023, y descontamos al 8,12 % una acción con beta de 1,61. Para invertir hay que creer que el ciclo de los semiconductores ha desaparecido o que una cíclica debe rendir menos que la media del mercado. No creemos ninguna de las dos cosas, pero el calendario del giro no se puede predecir: por eso la convicción es baja.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 / -78,8 %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frente a 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238,61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238,61 y 305,64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305,64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305,64 CHF pasaríamos a Mantener, y por debajo de 238,61 CHF a Comprar.</w:t>
      </w:r>
    </w:p>
    <w:p>
      <w:pPr>
        <w:pStyle w:val="ListParagraph"/>
        <w:numPr>
          <w:ilvl w:val="0"/>
          <w:numId w:val="2"/>
        </w:numPr>
        <w:spacing w:after="60"/>
      </w:pPr>
      <w:r>
        <w:t xml:space="preserve">Si la guía de ventas de 2027 (2-mar-2027) supera los 2.200 M CHF con un margen EBITDA del 37 % o más, revisaríamos al alza el caso base.</w:t>
      </w:r>
    </w:p>
    <w:p>
      <w:pPr>
        <w:pStyle w:val="ListParagraph"/>
        <w:numPr>
          <w:ilvl w:val="0"/>
          <w:numId w:val="2"/>
        </w:numPr>
        <w:spacing w:after="60"/>
      </w:pPr>
      <w:r>
        <w:t xml:space="preserve">Si la previsión de SEMI de diciembre de 2026 mantiene el WFE de 2028 en +14 % y añade crecimiento en 2029, retiraríamos el valle de 2029 (DCF de 302,25 CHF en esa prueba).</w:t>
      </w:r>
    </w:p>
    <w:p>
      <w:pPr>
        <w:pStyle w:val="ListParagraph"/>
        <w:numPr>
          <w:ilvl w:val="0"/>
          <w:numId w:val="2"/>
        </w:numPr>
        <w:spacing w:after="60"/>
      </w:pPr>
      <w:r>
        <w:t xml:space="preserve">Si el book-to-bill baja de 1 en el 3T26 o en el 4T26, subiríamos la convicción de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subida de 2026-2028 es el inicio de una nueva era en la que el gasto en IA, las más de 140 fábricas nuevas hasta 2030 y el paso a menos de 2 nm hacen de VAT una empresa de crecimiento estructural: un 26,1 % anual hasta 2035 con nuestro WACC, o una rentabilidad exigida del 3,8 % con nuestras cifras [7].</w:t>
      </w:r>
    </w:p>
    <w:p>
      <w:pPr>
        <w:keepNext/>
        <w:spacing w:after="100"/>
      </w:pPr>
      <w:r>
        <w:rPr>
          <w:b/>
          <w:bCs/>
        </w:rPr>
        <w:t xml:space="preserve">Lo que creemos nosotros.</w:t>
      </w:r>
    </w:p>
    <w:p>
      <w:pPr>
        <w:spacing w:after="100"/>
      </w:pPr>
      <w:r>
        <w:t xml:space="preserve">Que VAT seguirá siendo una cíclica de calidad: crecimiento medio del 8 % con valles de −15 a −25 % cada cuatro o cinco años, margen del 34,5 % a lo largo del ciclo y una tasa de descuento acorde con una beta de 1,4-1,6. Eso vale 229,55 CHF por DCF y 272,01 CHF ponderando métodos.</w:t>
      </w:r>
    </w:p>
    <w:p>
      <w:pPr>
        <w:keepNext/>
        <w:spacing w:after="100"/>
      </w:pPr>
      <w:r>
        <w:rPr>
          <w:b/>
          <w:bCs/>
        </w:rPr>
        <w:t xml:space="preserve">Por qué podemos tener razón.</w:t>
      </w:r>
    </w:p>
    <w:p>
      <w:pPr>
        <w:spacing w:after="100"/>
      </w:pPr>
      <w:r>
        <w:t xml:space="preserve">Porque ya ha pasado dos veces en siete años: en 2021-2022 el book-to-bill llegó a 1,7x y la cartera a 563 M, y en 2023 los pedidos cayeron un 69 % y la acción un 58 % desde el máximo [12, 28, 30, 83]. La propia empresa redujo en 2025 su objetivo de 2027 de 1.800-2.200 a 1.500-1.700 M cuando el ciclo se enfrió [80].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w:t>
      </w:r>
      <w:r>
        <w:t xml:space="preserve">: en torno al 70 % de cuota en válvulas de vacío para semiconductores y objetivo de más del 80 % en 2029 [1, 7].</w:t>
      </w:r>
    </w:p>
    <w:p>
      <w:pPr>
        <w:pStyle w:val="ListParagraph"/>
        <w:numPr>
          <w:ilvl w:val="0"/>
          <w:numId w:val="2"/>
        </w:numPr>
        <w:spacing w:after="60"/>
      </w:pPr>
      <w:r>
        <w:rPr>
          <w:b/>
        </w:rPr>
        <w:t xml:space="preserve">Rentabilidad a lo largo del ciclo</w:t>
      </w:r>
      <w:r>
        <w:t xml:space="preserve">: ROIC del 26,1 % en 2025 y nunca por debajo del 11,8 %, frente a un WACC del 8,12 %.</w:t>
      </w:r>
    </w:p>
    <w:p>
      <w:pPr>
        <w:pStyle w:val="ListParagraph"/>
        <w:numPr>
          <w:ilvl w:val="0"/>
          <w:numId w:val="2"/>
        </w:numPr>
        <w:spacing w:after="60"/>
      </w:pPr>
      <w:r>
        <w:rPr>
          <w:b/>
        </w:rPr>
        <w:t xml:space="preserve">Pedidos récord</w:t>
      </w:r>
      <w:r>
        <w:t xml:space="preserve">: 500 M CHF en el 2T26 (book-to-bill 1,7x) y cartera de 647,9 M, +121 % [9].</w:t>
      </w:r>
    </w:p>
    <w:p>
      <w:pPr>
        <w:pStyle w:val="ListParagraph"/>
        <w:numPr>
          <w:ilvl w:val="0"/>
          <w:numId w:val="2"/>
        </w:numPr>
        <w:spacing w:after="60"/>
      </w:pPr>
      <w:r>
        <w:rPr>
          <w:b/>
        </w:rPr>
        <w:t xml:space="preserve">Caja y dividendo</w:t>
      </w:r>
      <w:r>
        <w:t xml:space="preserve">: 1.601 M CHF de FCF en 2016-2025, el 96 % del beneficio, y dividendo nunca recortado (7,00 CHF por 2025) [1, 8].</w:t>
      </w:r>
    </w:p>
    <w:p>
      <w:pPr>
        <w:pStyle w:val="ListParagraph"/>
        <w:numPr>
          <w:ilvl w:val="0"/>
          <w:numId w:val="2"/>
        </w:numPr>
        <w:spacing w:after="60"/>
      </w:pPr>
      <w:r>
        <w:rPr>
          <w:b/>
        </w:rPr>
        <w:t xml:space="preserve">Balance holgado</w:t>
      </w:r>
      <w:r>
        <w:t xml:space="preserve">: deuda neta de 282 M CHF, 0,9x el EBITDA, incluso tras pagar el dividendo y financiar el ramp [9].</w:t>
      </w:r>
    </w:p>
    <w:p>
      <w:pPr>
        <w:pStyle w:val="Heading2"/>
      </w:pPr>
      <w:r>
        <w:t xml:space="preserve">En contra</w:t>
      </w:r>
    </w:p>
    <w:p>
      <w:pPr>
        <w:pStyle w:val="ListParagraph"/>
        <w:numPr>
          <w:ilvl w:val="0"/>
          <w:numId w:val="2"/>
        </w:numPr>
        <w:spacing w:after="60"/>
      </w:pPr>
      <w:r>
        <w:rPr>
          <w:b/>
        </w:rPr>
        <w:t xml:space="preserve">Precio de máximo histórico</w:t>
      </w:r>
      <w:r>
        <w:t xml:space="preserve">: 69,7x el EBITDA de los últimos 12 meses frente a una media de 32,5x en 2016-2025.</w:t>
      </w:r>
    </w:p>
    <w:p>
      <w:pPr>
        <w:pStyle w:val="ListParagraph"/>
        <w:numPr>
          <w:ilvl w:val="0"/>
          <w:numId w:val="2"/>
        </w:numPr>
        <w:spacing w:after="60"/>
      </w:pPr>
      <w:r>
        <w:rPr>
          <w:b/>
        </w:rPr>
        <w:t xml:space="preserve">El precio exige no tener ciclo</w:t>
      </w:r>
      <w:r>
        <w:t xml:space="preserve">: crecimiento implícito del 26,1 % anual hasta 2035 o una rentabilidad del 3,8 % en francos.</w:t>
      </w:r>
    </w:p>
    <w:p>
      <w:pPr>
        <w:pStyle w:val="ListParagraph"/>
        <w:numPr>
          <w:ilvl w:val="0"/>
          <w:numId w:val="2"/>
        </w:numPr>
        <w:spacing w:after="60"/>
      </w:pPr>
      <w:r>
        <w:rPr>
          <w:b/>
        </w:rPr>
        <w:t xml:space="preserve">Ciclo probado</w:t>
      </w:r>
      <w:r>
        <w:t xml:space="preserve">: ventas −18 % y −23 % y EBITDA −28 % y −32 % en 2019 y 2023 [2, 4].</w:t>
      </w:r>
    </w:p>
    <w:p>
      <w:pPr>
        <w:pStyle w:val="ListParagraph"/>
        <w:numPr>
          <w:ilvl w:val="0"/>
          <w:numId w:val="2"/>
        </w:numPr>
        <w:spacing w:after="60"/>
      </w:pPr>
      <w:r>
        <w:rPr>
          <w:b/>
        </w:rPr>
        <w:t xml:space="preserve">Concentración</w:t>
      </w:r>
      <w:r>
        <w:t xml:space="preserve">: tres clientes, el 43 % de las ventas; China, el 32 % [1].</w:t>
      </w:r>
    </w:p>
    <w:p>
      <w:pPr>
        <w:pStyle w:val="ListParagraph"/>
        <w:numPr>
          <w:ilvl w:val="0"/>
          <w:numId w:val="2"/>
        </w:numPr>
        <w:spacing w:after="60"/>
      </w:pPr>
      <w:r>
        <w:rPr>
          <w:b/>
        </w:rPr>
        <w:t xml:space="preserve">Franco y ejecución</w:t>
      </w:r>
      <w:r>
        <w:t xml:space="preserve">: el 1S26 tuvo +1,8 puntos de margen por divisa, el COO se va sin sucesor y el 1T26 falló la guía [7, 75, 81].</w:t>
      </w:r>
    </w:p>
    <w:p>
      <w:pPr>
        <w:pStyle w:val="Heading2"/>
      </w:pPr>
      <w:r>
        <w:t xml:space="preserve">Qué tiene que pasar para que la tesis funcione</w:t>
      </w:r>
    </w:p>
    <w:p>
      <w:pPr>
        <w:spacing w:after="100"/>
      </w:pPr>
      <w:r>
        <w:t xml:space="preserve">La tesis depende de que el ciclo gire antes de que los beneficios alcancen al precio. La señal decisiva es el book-to-bill: por encima de 1,2 durante varios trimestres más y con la guía de 2027 por encima de 2.000 M, el mercado seguirá pagando el crecimiento y la acción puede subir aunque el valor no lo justifique; por debajo de 1, empieza el valle. También importa el margen del 2S26: si no llega al 33 %, el apalancamiento operativo que descuenta el consenso no existe.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Anticipó los valles de 2019 y 2023 en dos-tres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 M CHF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15 %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cayó de 517,7 a 282,1 M en 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2026 necesita ≈ 36 % en 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Nuevas reglas de exportación sobre deposición y grabado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32 %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Previsión de WFE de SEMI para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año del pico.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69,7x / 33,9x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101,0x / 45,8x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Siegfried Schertler, ingeniero que había sido constructor en Balzers, fundó en 1964-1965 Vakuum-Apparate-Technik VAT AG en Flawil (San Galo) para fabricar válvulas de alto vacío para investigación y aplicaciones espaciales [1, 52]; la empresa se trasladó después a Haag (Sennwald), hoy su sede [1, 52]. Entró en semiconductores en 1988 [1]. Tras décadas en manos de la familia, en diciembre de 2013 los accionistas pactaron la venta del 100 % a fondos de Capvis y Partners Group (más de 300 M CHF de ventas y más de 1.000 empleados entonces), cerrada en febrero de 2014 [1, 53]. Dos años de capital privado prepararon la salida a bolsa: cotiza en la SIX desde el 14 de abril de 2016, colocada a 45 CHF [1]. Desde entonces su cuota en válvulas de vacío para semiconductores ha pasado de ≈50 % a ≈70 % [1]; creció sin compras hasta la de Atonarp (julio de 2026, ≈110 M CHF)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Schertler funda VAT en Flawil (Suiza) para fabricar válvulas de vacío para la investigación científica; después compra los terrenos de Haag, la sede actual [1,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sector de semiconductores, con nodos de 1.500 nm; hoy es el negocio que supone ≈85 % de los ingresos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se retira de los negocios; la empresa sigue en manos de la familia a comienzos del siglo XXI (≈800 empleados en 2010)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Capvis y Partners Group compran el 100 % de VAT Holding (acuerdo de 5-dic-2013, cierre en febrero de 2014); la empresa vendía entonces más de 300 M CHF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el 14 de abril, a 45 CHF por acción (cierre del primer día: 51,55 CHF); cuota en válvulas para semiconductores de ≈50 %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las primeras adyacencias (módulos avanzados y componentes de movimiento), productos fuera de la válvula para ganar peso en el coste de cada equipo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1.145 M CHF en el pico del ciclo, seguidas de la caída de 2023 (885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válvula de entrada de gas para deposición de capas atómicas (ALD), tercera adyacencia; ampliación de Penang (Malasia, planta 1B)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Inauguración del Innovation Center de Haag (abril) y de la fábrica de Arad (Rumanía, junio); día del inversor de mayo con objetivos 2024-2029; 60.º aniversario; ventas de 1.074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en el 2T26 (500 M CHF, book-to-bill 1,7x) y acuerdo para comprar la japonesa Atonarp (sensores de espectrometría) por ≈110 M CHF en efectivo, primera compra relevante de su historia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VAT diseña y fabrica válvulas de vacío de alta gama (de transferencia, aislamiento y control de presión) que van montadas en las cámaras de los equipos que fabrican chips, sobre todo de deposición y grabado [1]. Vende a los fabricantes de equipos (OEM: Applied Materials, Lam Research, Tokyo Electron, ASML) y, a través del servicio, a los fabricantes de chips [1]. Reporta dos segmentos: Valves (82 % de las ventas de 2025, con las unidades Semiconductors, ≈70 % del grupo, y Advanced Industrials, 150 M CHF para investigación, fusión, enriquecimiento de uranio, solar y recubrimientos) y Global Service (18 %: repuestos originales, reparaciones, mejoras y sub-fab) [1, 44]. Desde 2020 vende «adyacencias» (módulos avanzados, componentes de movimiento y válvulas de entrada de gas para ALD): 92 M CHF en 2025 [7]. Fabrica en Haag (Suiza), Penang (Malasia) y Arad (Rumanía), con capacidad instalada para más de 2.000 M CHF de ventas y ocho centros de servicio; 3.250 empleados (FTE) a cierre de 2025 [1]. Ventas de 2025: 1.073,5 M CHF; el 73 % en Asia-Pacífico y el 32 % en China [1].</w:t>
      </w:r>
    </w:p>
    <w:p>
      <w:pPr>
        <w:pStyle w:val="Heading2"/>
      </w:pPr>
      <w:r>
        <w:t xml:space="preserve">Cómo gana dinero</w:t>
      </w:r>
    </w:p>
    <w:p>
      <w:pPr>
        <w:spacing w:after="100"/>
      </w:pPr>
      <w:r>
        <w:t xml:space="preserve">El ingreso depende del volumen de equipos que fabrican los OEM y, por tanto, de la inversión en fábricas de chips (WFE): cada válvula es un componente pequeño del equipo (menos del 2 % de su coste, objetivo de hasta el 4 % con las adyacencias) pero crítico para el rendimiento, lo que da margen bruto de 63,5 % en 2025 (66,4 % en 2024) y margen EBITDA del 30,0 % [1]. La parte más recurrente es Global Service (198,8 M CHF, 18,5 % de las ventas de 2025), ligada a la base instalada y a la utilización de las fábricas [1, 44]. El apalancamiento operativo es alto: con capacidad para 2.000 M CHF y ventas de 1.074 M CHF, cada franco adicional absorbe costes fijos; la empresa se gestiona con la «regla 30/30» (mantener un 30 % de EBITDA aunque las ventas caigan un 30 %) y con plantilla temporal (≈90 % de las 700 contrataciones del 1S26) [1, 7]. Costes en CHF frente a ventas en USD: el tipo USD/CHF mueve el margen (+0,7 puntos de EBITDA en 2025) [1]. La empresa no publica estacionalidad; los trimestres siguen a los pedidos de los OEM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tres clientes de los segmentos Valves y Global Service supusieron ≈16 %, 14 % y 13 % de las ventas de 2025 (19 %, 14 % y 12 % en 2024), y los tres principales representan el 43 % de los ingresos (45 % en 2024) [44]. VAT no los identifica en sus cuentas; su propio informe anual nombra a Applied Materials, ASML, Lam y TEL como los fabricantes de equipos de la cadena [1], y Lam Research la eligió en 2019 entre sus seis proveedores excelentes, llamando «crítica» la relación [54]. No hay contratos plurianuales publicados: las ventas se ganan con «spec-wins» (150 en 2025, 60 en el 1S26), la elección de la válvula de VAT en el diseño de un nuevo equipo, que se convierte en ventas durante los años de vida de esa plataforma [1, 7]. Poder de precios: VAT no publica subidas de precio; el margen bruto ha oscilado entre el 63,5 % y el 67 % (1S26) con inflación de costes y franco fuerte [1,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 (2025); 856,4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(+5,5 % a tipo constante); 1S26 +75 %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 (dic-25); 647,9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+121 %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 (4T25); 1,6x (1T26); 1,7x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2T26, por encima del pico de 4T21 (1,7x)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[9, 37, 41, 43]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(2025); ~28 % (1S26, frente a 35 % en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2025; −7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ligadas a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&gt;81 %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Semiconductors 67 %, Global Service 21 %, Advanced Industrials 12 %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 (dic-25); 3.959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+709 FTE en 1S26 (≈90 % temporales)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válvulas de vacío de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~80 % en la cartera básica de válvulas en 2029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Spec-wins /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61,1 M CHF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74,8 M CHF (2025); 60 / 37 M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válvulas de vacío (transferencia, aislamiento y control de presión) y su servicio para equipos de fabricación de semiconductores, a escala mundial, con demanda concentrada en Asia (China, Taiwán y Corea fueron el 79 % del gasto en equipos en 2025) [45]. No hay una estadística pública de ese nicho: VAT da solo su cuota (≈70 %) [1]. Se usan dos referencias: una estimación propia del nicho a partir de las ventas de VAT y su cuota, y una de mercado de todas las válvulas de vacío (The Business Research Company, 1.610 M USD en 2025, que incluye usos industriales y parece corta frente a las propias ventas de válvulas de VAT, 875 M CHF) [1, 56]. Como serie de contexto, que es la que manda el ciclo, se usan las ventas mundiales de equipos de semiconductores de SEMI; el WFE (equipos de fabricación de obleas, donde van las válvulas) fue de 116.900 M USD en 2025, ≈86 % de ese total [45,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del nicho de válvulas de vacío para semiconductores: ≈900 M CHF en 2025 (ventas de la unidad Semiconductors de VAT, 724,7 M CHF, menos ≈92 M de adyacencias, dividido entre la cuota del ≈70 %) [1, 7]. Mercado de todas las válvulas de vacío: 1.610 M USD en 2025 y 1.780 M en 2026e (TBRC) [56]. Contexto: ventas mundiales de equipos de semiconductores de 135.100 M USD en 2025 y WFE de 116.900 M USD (SEMI) [45,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entas mundiales de equipos de fabricación de semiconductores, SEMI; 2026e es previsión de julio de 2026))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hiperescaladores de más de 400.000 M USD en 2025 (≈230.000 M en 2024) y más de 750.000 M USD esperados en 2026 [1, 7]; SEMI eleva el WFE de 2026 un 23,1 %, a 143.900 M USD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Intensidad de vacío por nodo (GAA, sub-2 nm,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chip de 28 nm requiere ≈750 pasos de proceso y uno de 2 nm más de 2.200; deposición y grabado, donde van las válvulas de VAT, suman ≈49.000 M USD, ≈40 % del WFE de 2025, y crecieron ≈10 % y 24 %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memoria (DRAM/HBM)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prevé que el equipo para DRAM suba un 39,0 % en 2026, a 38.800 M USD, y un 27,4 % en 2027; el de NAND, un 30,7 %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autosuficiencia frente a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gastó 49.300 M USD en equipos en 2025 (36 % del total) [45] y ≈31 % del WFE [1]; fue el 32 % de las ventas de VAT en 2025 y el ≈28 % en el 1S26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fábricas y regionalización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110 fábricas en construcción [1] y más de 140 que entrarán en servicio hasta 2030 [7]; Taiwán +90 % en 2025, a 31.500 M USD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USD/CHF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mayo de 2025 VAT rebajó su supuesto de USD/CHF de 0,95 a 0,83 y, con un WFE menor, su objetivo de ventas de 2027 de 2.000 a 1.600 M CHF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tiene ≈70 % del mercado de válvulas de vacío para semiconductores y lo ha ganado desde ≈50 % en 2016 [1]; los rivales son pequeños en este nicho: Presys, el valvulero coreano que compró Atlas Copco, facturaba ≈275 M SEK en 2022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suman el 43 % de las ventas (16 %, 14 % y 13 %) [44] y la consolidación de OEM y fabricantes de chips deja «unos pocos» capaces de los nodos más pequeños [1]; lo compensa que la válvula pesa menos del 2 % del coste del equipo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fabrica en casa los procesos críticos (mecanizado, vulcanizado, soldadura, limpieza) y desplaza compras a países de menor coste: del 25 % en 2022 a más del 55 % previsto en 2027 [1]; el riesgo de materias primas se cita como creciente en 2026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ganar la especificación en el diseño de cada equipo (150 spec-wins en 2025) [1], con ≈500 patentes y más de 400 ingenieros de I+D [1]; la vía de entrada ha sido la compra (Atlas Copco-Presys en 2024)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de los equipos integrados es mantener la oblea siempre en vacío; los equipos más integrados usan menos esclusas pero componentes de gama más alta [1].</w:t>
            </w:r>
          </w:p>
        </w:tc>
      </w:tr>
    </w:tbl>
    <w:p>
      <w:pPr>
        <w:spacing w:after="160" w:before="0"/>
      </w:pPr>
    </w:p>
    <w:p>
      <w:pPr>
        <w:pStyle w:val="Heading2"/>
      </w:pPr>
      <w:r>
        <w:t xml:space="preserve">Ciclo</w:t>
      </w:r>
    </w:p>
    <w:p>
      <w:pPr>
        <w:spacing w:after="100"/>
      </w:pPr>
      <w:r>
        <w:t xml:space="preserve">Pedidos de VAT récord en el 2T26 (500 M CHF, más del doble interanual), book-to-bill de 1,7x, por encima del pico anterior, y cartera récord de 648 M CHF [7]; SEMI prevé WFE +23,1 % en 2026 y +21,8 % en 2027 [46]. En 2009 las ventas mundiales de equipos cayeron un 46 % (15.920 M USD frente a 29.520 M) [55]; en 2020 subieron un 19 % [51]; en 2023 el mercado cayó solo un 1,3 % [48], con China +29 % y Corea −7 % y Taiwán −27 % por el ajuste de la memoria, pero las ventas de VAT bajaron un 23 % (de 1.145 a 885 M CHF) [1, 48].</w:t>
      </w:r>
    </w:p>
    <w:p>
      <w:pPr>
        <w:pStyle w:val="Heading2"/>
      </w:pPr>
      <w:r>
        <w:t xml:space="preserve">Regulación</w:t>
      </w:r>
    </w:p>
    <w:p>
      <w:pPr>
        <w:spacing w:after="100"/>
      </w:pPr>
      <w:r>
        <w:t xml:space="preserve">EE. UU. restringe desde el 7-oct-2022 la venta a China de equipos avanzados [59]; el 2-dic-2024 añadió 24 tipos de equipos, 140 entidades a la Entity List (fabricantes chinos de equipos y fábricas) y una regla de producto extranjero directo para equipos [57]. Japón y Países Bajos anunciaron controles alineados en 2023 [59]. VAT advierte que el marco «es más restrictivo» con lo que se puede vender y que los aranceles de 2025 crearon incertidumbre en la cadena [1]. China es ≈31 % del WFE y el 32 % de las ventas de VAT (≈28 % en el 1S26) [1, 7].</w:t>
      </w:r>
    </w:p>
    <w:p>
      <w:pPr>
        <w:pStyle w:val="Heading2"/>
      </w:pPr>
      <w:r>
        <w:t xml:space="preserve">Tendencias y disrupción</w:t>
      </w:r>
    </w:p>
    <w:p>
      <w:pPr>
        <w:spacing w:after="100"/>
      </w:pPr>
      <w:r>
        <w:t xml:space="preserve">La transición a transistores GAA, la HBM y los nodos por debajo de 2 nm (1,6/1,4 nm hacia 2028-2029; CFET por debajo de 1 nm en desarrollo) aumentan la intensidad de vacío [1, 7]; VAT dice que el ≈50 % de sus spec-wins de 2025 fueron en vanguardia [1]. Los equipos integrados (grabado y deposición en un mismo equipo) reducen esclusas pero suben la gama [1]. VAT amplía el peso por equipo con adyacencias (objetivo: del 2 % al 4 % del coste del equipo) y sensores (Atonarp) [1, 7]. En China, la política de autosuficiencia favorece a proveedores locales; en las listas de fabricantes de válvulas de vacío ya figura Shanghai Vacuum Valve Manufacturing [56].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válvulas de vacío para semiconductores, con ≈70 % de cuota según el informe anual 2025 (el mismo informe habla en otro apartado de un 77 %); objetivo de más del 80 % en válvulas en 2029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 – Vacuum Technique (Edwards, Leybold, Presys)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ATCO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Área de bombas y equipos de vacío; entró en válvulas de vacío para semiconductores al comprar la coreana Presys (válvulas de transferencia y aislamiento, ≈275 M SEK de ventas en 2022, cierre en 2024), integrada en su división Semiconductor Chamber Solutions [58]. Ventas 2025: 36.727 M SEK; resultado de explotación 6.765 M (18,4 %; 21,1 % en 2024) [60].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 (MKS Instruments)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de vacío, medida y control de presión, potencia de RF y láser; compite con VAT en control de presión, no es especialista en válvulas de transferencia. Ventas 2025: 3.931 M USD; resultado de explotación 528 M (13,4 %) según su 10-K [61].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KITZ Corporation (KITZ SCT)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6498</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generalista de válvulas; su filial KITZ SCT hace válvulas y racores para equipos de semiconductores (sobre todo gas de alta pureza) y amplía capacidad en productos de vacío [66]. Grupo: 176.682 M JPY de ventas en 2025 y beneficio de explotación de 15.454 M (8,7 %) [64]; la recuperación en semiconductores tardó más de lo esperado en 2025 [66].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y piezas críticas para OEM (gas, fluidos, limpieza); adyacente: compite con los módulos de VAT, no en válvulas de vacío. Ventas 2025: 2.054 M USD y pérdida de explotación de 107,4 M [62].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Ichor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Sistemas de suministro de gas y fluidos para OEM; adyacente a las válvulas de gas para ALD de VAT. Ventas 2025: 947,7 M USD y pérdida de explotación de 39,3 M [63].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sí una base instalada que alimenta el servicio (Global Service, 198,8 M CHF y 18,5 % de las ventas de 2025, +19 %)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válvula se especifica en el diseño de cada equipo (150 spec-wins en 2025, ≈50 % en vanguardia; 60 en el 1S26) y se vende durante la vida de la plataforma [1, 3]; pesa menos del 2 % del coste del equipo, así que cambiar de proveedor ahorra poco y obliga a recualificar; muchos clientes ya tienen a VAT como fuente única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patentes, más de 400 científicos e ingenieros de I+D y 75 M CHF de I+D en 2025 (≈7 %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VAT del 25,4 % en 2025 frente al 18,4 % de Atlas Copco Vacuum Technique, 13,4 % de MKS, 8,7 % de KITZ y pérdidas en Ultra Clean e Ichor [1, 19-23]; producción en Malasia (≈400 M CHF en 2025) y compras en países de bajo coste [1]. La base de costes en CHF resta: el tipo de cambio pesó en el margen bruto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≈70 % del nicho y capacidad instalada para más de 2.000 M CHF de ventas en dos fábricas completas (Suiza y Malasia), VAT puede servir subidas de producción del 30 % en un trimestre; la cuota pasó de ≈50 % en 2016 a ≈70 % en 2025 [1].</w:t>
            </w:r>
          </w:p>
        </w:tc>
      </w:tr>
    </w:tbl>
    <w:p>
      <w:pPr>
        <w:spacing w:after="160" w:before="0"/>
      </w:pPr>
    </w:p>
    <w:p>
      <w:pPr>
        <w:pStyle w:val="Heading2"/>
      </w:pPr>
      <w:r>
        <w:t xml:space="preserve">Amenazas</w:t>
      </w:r>
    </w:p>
    <w:p>
      <w:pPr>
        <w:spacing w:after="100"/>
      </w:pPr>
      <w:r>
        <w:t xml:space="preserve">Tres vías concretas. Primera, China: la política de autosuficiencia y los controles a la exportación pueden empujar a los fabricantes chinos de equipos hacia válvulas locales; China fue el 32 % de las ventas de VAT en 2025 y ya hay fabricantes chinos de válvulas de vacío en el mercado [1, 56]. Segunda, la entrada de grupos grandes por compra, como Atlas Copco con Presys (2024), con capacidad para vender juntos bomba y válvula [58]. Tercera, el poder de compra de tres clientes que suman el 43 % de las ventas y podrían exigir una segunda fuente [44]. La empresa no publica pérdidas de cuota: dice haberla ganado desde 2016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2016-2025: ingresos </w:t>
      </w:r>
      <w:r>
        <w:rPr>
          <w:b/>
          <w:bCs/>
        </w:rPr>
        <w:t xml:space="preserve">8,7 %</w:t>
      </w:r>
      <w:r>
        <w:t xml:space="preserve">, EBITDA </w:t>
      </w:r>
      <w:r>
        <w:rPr>
          <w:b/>
          <w:bCs/>
        </w:rPr>
        <w:t xml:space="preserve">8,9 %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VAT ha duplicado las ventas en nueve años (507,9 M CHF en 2016 a 1.073,5 M en 2025; TCAC del 8,7 %) sin compras relevantes: todo es orgánico salvo microGauge (6,1 M en 2021) [1, 5]. Pero el crecimiento llega a saltos: +36 % en 2017, −18 % en 2019, +30 % y +27 % en 2021-2022, −23 % en 2023 y +14 % en 2025 [1, 2, 3, 4, 5]. El margen EBITDA es más estable que las ventas pero amplifica el ciclo: 35,0 % en el pico de 2022 y 27,0 % y 30,6 % en los valles; en las dos caídas el EBITDA cayó un 28 % y un 32 % [2, 4]. 2025 enseña lo que la empresa no controla: las ventas subieron un 14 % y el margen bajó 1,2 puntos (30,0 %) por divisa y costes de capacidad. El 1S26 repite la lección al revés: ventas −8 % (planas a tipo constante) y margen del 29,0 %, con +1,8 puntos de efecto de divisa y los costes del ramp por delante [6, 7]. La I+D es estable en el 7 % de las ventas (74,8 M en 2025), con 9,8 M capitalizados [1].</w:t>
      </w:r>
    </w:p>
    <w:p>
      <w:pPr>
        <w:pStyle w:val="Heading2"/>
      </w:pPr>
      <w:r>
        <w:t xml:space="preserve">Ajustes y partidas no recurrentes</w:t>
      </w:r>
    </w:p>
    <w:p>
      <w:pPr>
        <w:spacing w:after="100"/>
      </w:pPr>
      <w:r>
        <w:t xml:space="preserve">VAT no publica cifras ajustadas: todo el informe usa EBITDA, EBIT y beneficio NIIF reportados, y el consenso de MarketScreener usa la misma base (el EBITDA de 2025 coincide al millón) [1, 84]. Las partidas atípicas son pequeñas y no se repiten: el tipo impositivo del 8,1 % de 2023, las diferencias de cambio del resultado financiero (−44,1 M en 2017, −21,5 M en 2023, −15,5 M en 2025) y la reexpresión de 2020 por la contabilidad de la nube [1, 2, 3, 4, 5]. El efecto de divisa sí es recurrente y no se aísla en la cuenta: sumó 0,7 puntos de margen en 2025 y 1,8 en el 1S26, y en el 1S25 restó 1,6 [7,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tuvo que explicar un fallo. El 31-mar rebajó las ventas del trimestre a ≈ 215 M CHF frente a la guía de 240-260 M por componentes bloqueados en tránsito por el conflicto de Oriente Medio, y publicó 220,9 M (−20 %) con pedidos de 356,3 M, los segundos mayores de su historia [42, 43]. Julio (1S26): el discurso pasó del retraso al «ramp sin precedentes»: pedidos récord de 500 M en el 2T26 (+102 %, book-to-bill 1,7x), cartera de 647,9 M, más de 700 empleados añadidos (casi el 90 % temporales), guía del 3T de 355-385 M y producción por encima de 450 M por trimestre a final de año; la guía de 2027 (1.500-1.700 M) quedó «en revisión» al alza [7, 9]. Lo que no se dijo: la dirección prometió llevar el margen «well into» la banda del 30-37 % sin dar cifra, y no cuantificó cuánto de la cartera es China ni el efecto del franco a partir del 2S. El margen del 1S26 (29,0 %; 27,8 % a tipo constante) es el más bajo desde el 1S19 (25,1 %) [9, 16]. No hay transcripción gratuita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 de una filial pequeña en 2021 (salida de caja neta de 1,6 M CHF; el fondo de comercio pasa de 183,7 a 183,9 M). Sin efecto material en la comparabilidad [3].; 2026: Atonarp Inc. (Tokio; espectrometría de masas in situ, ~30 empleados, modelo fabless): acuerdo firmado el 21-jul-2026, precio ≈110 M CHF en efectivo por el 100 %, sin earn-out, financiado con un préstamo bilateral comprometido de 110 M; cierre previsto en el 3T26 sujeto a aprobaciones; casi todo el precio irá a intangibles y no se espera fondo de comercio. No está en el balance a 30-jun-26 (hecho posterior no ajustable) y la guía del 3T26 la excluye [6, 7,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sencillo y está pensado para el ciclo. La deuda neta nunca ha pasado de 0,94x el EBITDA (2019), y en 2022 fue casi cero [1, 2, 3, 4, 5]. El circulante es la variable que se mueve: el comercial pasó del 20-22 % de las ventas en 2016-2022 al 29,4 % en 2024 (existencias de seguridad y ERP) y volvió al 23,1 % en 2025 [1]. En el 1S26 el ramp lo ha vuelto a inflar: existencias de 190,0 a 273,4 M y clientes de 125,8 a 175,6 M, compensado en parte por proveedores (68,0 a 125,0 M) [1, 6]. Con el dividendo de 209,8 M pagado en mayo y el préstamo a plazo devuelto en enero, la deuda bancaria está en 350 M frente a 115,3 M de caja (deuda neta de 282 M con arrendamientos) [6, 9]. En una caída el circulante libera caja (2023: +25,9 M de existencias y +42,8 M de clientes), lo que suaviza el FCF del valle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1.601</w:t>
      </w:r>
      <w:r>
        <w:t xml:space="preserve">, conversión </w:t>
      </w:r>
      <w:r>
        <w:rPr>
          <w:b/>
          <w:bCs/>
        </w:rPr>
        <w:t xml:space="preserve">96 %</w:t>
      </w:r>
      <w:r>
        <w:t xml:space="preserve"> del beneficio neto; adquisiciones 2, dividendos 1.342, recompras 32.</w:t>
      </w:r>
    </w:p>
    <w:p>
      <w:pPr>
        <w:spacing w:after="100"/>
      </w:pPr>
      <w:r>
        <w:t xml:space="preserve">VAT convierte el beneficio en caja: 1.601 M CHF de FCF en 2016-2025, un 96 % del beneficio acumulado, con años por encima del 100 % en los valles (2019 y 2025) porque el circulante se libera [1, 2, 3, 4, 5]. El capex es bajo y a saltos: 18-19 M en 2019-2020 y 48-69 M en 2017-2018 y 2022-2025, cuando se construyeron la segunda planta de Penang y la de Arad [1, 2]. Estimación propia del capex de mantenimiento: ≈ 4,5 % de las ventas, la amortización de 2025 (48,8 M); lo demás es capacidad, que ya da para 2.500 M CHF de ventas [7]. En el 1S26 el FCF de la definición de VAT fue solo de 41,8 M (28 % del EBITDA) por el circulante del ramp, y el capex (20,5 M) se concentra en el 2S [9]. En el DCF el capex va al 6-6,5 % en 2026-2028, baja al 4,5 % en el año de corrección y converge al 5 %, por encima de la amortización.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(St. Gallen); auditor responsable Simon Niklaus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2025; informe de 2-mar-2026; cuestión clave de auditoría: reconocimiento de ingresos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KPMG audita desde 2016 sin salvedades, y en diez años no hay deterioros ni cambios de criterio salvo la reexpresión de la nube de 2020 [1, 3]. El fondo de comercio (183,9 M) y la marca (120,9 M, vida indefinida) vienen de la compra de 2014 por Capvis y Partners Group y no se han deteriorado ni en 2019 ni en 2023 [1]. Solo se capitaliza una parte pequeña de la I+D (9,8 M de 74,8 M en 2025) y la remuneración en acciones es mínima [1]. Los indicadores del motor no señalan nada: Altman Z de 29,33 (zona segura), Piotroski F de 7 sobre 9 (falla la liquidez corriente y el margen bruto, que bajó en 2025 por divisa) y Beneish M de −2,83, por debajo del umbral de −1,78 (aproximado por la cuenta por naturaleza). Dos matices de presentación: el tipo impositivo de 2023 (8,1 %) y un resultado financiero dominado por diferencias de cambio. La señal a vigilar no es contable sino de reconocimiento: el 1T26 desplazó 20-25 M de ventas al 2T por mercancía en tránsito [43].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desplazadas entre trimestres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1T26 perdió 20-25 M de ventas por componentes en tránsito que se reconocieron en el 2T; en 2024 el ERP pasó ≈ 22 M del 3T al 4T. Es un efecto de calendario, no de criterio [36, 43].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tipo constante del 1S26 inconsistente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nota del 1S26 da un 27,8 % a tipo constante, que no cuadra con +1,8 puntos de divisa sobre el 29,0 % (saldría 27,2 %). Pregunta para la dirección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bajo a la reelección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fue reelegida con solo un 79 % en 2026 (98 % en 2024), tras diez años; no hay explicación pública [71, 72].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61,2 % · </w:t>
      </w:r>
      <w:r>
        <w:rPr>
          <w:b/>
          <w:bCs/>
        </w:rPr>
        <w:t xml:space="preserve">WACC</w:t>
      </w:r>
      <w:r>
        <w:t xml:space="preserve">: 8,1 %.</w:t>
      </w:r>
    </w:p>
    <w:p>
      <w:pPr>
        <w:spacing w:after="100"/>
      </w:pPr>
      <w:r>
        <w:t xml:space="preserve">VAT crea valor en todas las fases del ciclo: el ROIC más bajo de diez años (11,8 % en 2019) supera el WACC del 8,1 %, y en el pico de 2022 llegó al 40,4 %. En 2025 fue del 26,1 %. El ROIC lo mueve el margen, no la rotación: el capital invertido apenas crece (900,6 M en 2025, de ellos 437,1 M de intangibles de la compra de 2014) mientras el NOPAT sigue al ciclo [1]. El ROIC incremental del 61,2 % dice que cada franco adicional invertido en capacidad rinde mucho más que el negocio heredado, que carga con el fondo de comercio. Frente a los competidores la ventaja es clara: margen EBIT del 25,4 % frente al 18,4 % de Atlas Copco Vacuum Technique, el 13,4 % de MKS, el 8,7 % de KITZ y pérdidas en Ultra Clean e Ichor en 2025 [1, 60, 61, 62, 63, 66]. Solo los fabricantes de equipos grandes (Lam, ROIC 70,1 %; Applied, 35,6 %) la superan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140,9 M CHF + línea revolving sindicada de 250 M (venc. 21-dic-2027, ampliable 2×1 año) sin disponer [1]. Jun-26: caja 115,3 M; revolving dispuesta por completo (250 M) y 100 M de la línea incremental de 125 M; deuda neta 281,6 M con arrendamientos (0,9x EBITDA LTM); además, préstamo bilateral comprometido de 110 M para Atonarp, a disponer al cierre [6,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único covenant es deuda neta sobre EBITDA, medido cada semestre y cumplido con holgura (0,9x en junio de 2026; el umbral no se publica) [1, 6]. Pensiones: plan suizo de prestación definida con 309,7 M de obligación y 288,5 M de activos a dic-25; el déficit neto bajó de 21,2 M a 6,5 M en junio por la rentabilidad de los activos, y entra en el puente neto de impuestos (5,4 M) [1, 6]. Las provisiones son de 1,5 M; no hay litigios relevantes, factoring ni confirming declarados. Los derivados de cobertura en pasivo subieron a 14,4 M en junio por el dólar, y no se tratan como deuda [6]. Pasivo contingente fuera del puente: Atonarp, ≈ 110 M CHF en caja financiados con un préstamo bilateral; si se cierra, la deuda neta sube ≈ 3,7 CHF por acción y el apalancamiento a 1,0x el EBITDA de 2025 [10].</w:t>
      </w:r>
    </w:p>
    <w:p>
      <w:pPr>
        <w:pStyle w:val="Heading1"/>
      </w:pPr>
      <w:r>
        <w:t xml:space="preserve">12. Asignación de capital</w:t>
      </w:r>
    </w:p>
    <w:p>
      <w:pPr>
        <w:pStyle w:val="Confianza"/>
        <w:spacing w:after="100"/>
      </w:pPr>
      <w:r>
        <w:t xml:space="preserve">Confianza: Alta</w:t>
      </w:r>
    </w:p>
    <w:p>
      <w:pPr>
        <w:spacing w:after="100"/>
      </w:pPr>
      <w:r>
        <w:t xml:space="preserve">Dividendo de hasta el 100 % del flujo de caja libre para el accionista: 7,00 CHF por acción del ejercicio 2025 (93 % del FCFE), pagado en mayo de 2026 (209,8 M); 6,25 CHF en 2022-2024 [8, 80]. Hasta el ejercicio 2021 se pagó en parte con cargo a reservas de aportaciones de capital, sin retención suiza; desde 2022 sale de beneficios acumulados y lleva la retención del 35 % [12, 70]. No hay recompras: la autocartera (33.074 acciones) solo cubre los planes de acciones, y la banda de capital no se ha usado [1]. Prioridades declaradas: capacidad, I+D y adyacencias; la compra de Atonarp (≈ 110 M) se financia con deuda bilateral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microGauge AG (Zúrich; sensores de vacío, 3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1,6 M al contado y hasta 4,5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VAT Vakuumventile AG; 6,9 M de patentes y tecnología y 0,2 M de fondo de comercio; los sensores microGauge figuran hoy en la gama de adyacencias.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Atonarp Inc. (Tokio; espectrometría de masas in situ ASTON, ~30 FTE, ~50 familias de patentes)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bilateral comprometido de 110 M; apalancamiento pro forma 1,0x EBITDA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3T26); sin earn-out; casi todo el precio a intangibles, sin fondo de comercio previsto; no se publican ventas ni EBITDA de Atonarp [6, 7, 10].</w:t>
            </w:r>
          </w:p>
        </w:tc>
      </w:tr>
    </w:tbl>
    <w:p>
      <w:pPr>
        <w:spacing w:after="160" w:before="0"/>
      </w:pPr>
    </w:p>
    <w:p>
      <w:pPr>
        <w:spacing w:after="100"/>
      </w:pPr>
      <w:r>
        <w:t xml:space="preserve">La dirección asigna el capital con disciplina: en 2016-2025 generó 1.601 M CHF de FCF y repartió 1.342 M en dividendos (84 %), con solo 2 M en compras y 32 M en autocartera para los planes [1, 2, 3, 4, 5]. La deuda neta se ha mantenido por debajo de 1x el EBITDA en los valles, y el dividendo no se ha recortado nunca, ni en 2019 ni en 2023 (payout del 161 % y del 99 %). El crecimiento sale de inversiones baratas en capacidad que rinden un ROIC incremental del 61,2 %. La contrapartida es que pagar casi todo el FCF obliga a endeudarse cuando el ciclo pide circulante y capex a la vez, como en el 1S26 (deuda bancaria de 350 M). Atonarp es la primera compra de tamaño: 110 M por una empresa sin fábrica de unos 30 empleados, sin múltiplo publicado; es una apuesta tecnológica (espectrometría para menos de 2 nm), no de beneficio a corto plazo [7,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VAT desde 2004 (jefe de producto de válvulas de transferencia); jefe de la unidad de Semiconductores desde 2015 y EVP Semiconductor Solutions Group desde 2022; impulsó la planta de Malasia y la entrada en adyacencias. CEO desde enero de 2024 [67]. En su mandato las ventas pasaron de 885 M CHF (2023) a 942 M (2024) y 1.074 M (2025), con el margen EBITDA en 30,6 %, 31,2 % y 30,0 % [76, 77, 78]. 6.609 acciones a 31-dic-2025 (6.159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Fabian Chiozza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abril de 2021; antes CFO divisional de Autoneum (Sudamérica, Oriente Medio y África) y varios puestos financieros en Rieter, incluido controller del grupo; consejero de Kistler Holding desde 2025 [67]. FCF récord de 230,4 M CHF en 2025 (+25,8 %) [76]. 885 acciones a 31-dic-2025 (430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Berden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octubre de 2020; antes en SKF (rodamientos de rodillos a rótula) y jefe de fabricación global de Hilti [67]. El 5-may-2026 VAT anunció que deja la empresa a principios del 4T26; el sucesor se anunciaría «en su momento» y no consta nombrado a la fecha de corte [75, 82]. 1.400 acciones a 31-dic-2025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Komischke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mayo de 2017, reelegido en la junta del 28-abr-2026 [67, 70]; CEO de Hoerbiger Holding de 2004 a 2016 y hoy su presidente; consejero de Stäubli Holding [67]. 3.064 acciones a 31-dic-2025 (2.671 en 2024) [68].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ventas sustancialmente mayores, EBITDA y margen EBITDA mayores, beneficio neto y FCF significativamente mayores que en 2021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+27 % (más de 1.000 M CHF por primera vez); margen EBITDA récord del 35 % (34,2 % en 2021); beneficio neto y FCF récord [12, 79].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menores ventas, EBITDA, margen EBITDA, beneficio neto y FCF (bajada cíclica) [79].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-43 % a 692 M CHF; ventas -23 % a 885 M; EBITDA -32 % a 271 M; margen 30,6 %, por debajo de la banda del 32-37 % del día del inversor de 2022 [78].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mejores ventas, EBITDA, margen EBITDA, beneficio neto y FCF [78].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a 942 M CHF; EBITDA +8 % a 294 M; margen 31,2 % (+0,6 pp, aún bajo la banda del 32-37 %); beneficio neto +11 % a 212 M; FCF -3 % a 183 M [77].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mayores pedidos, ventas, EBITDA, margen EBITDA, beneficio neto y FCF [77].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planos en 1.033 M CHF (+6 % comparable); ventas +14 % a 1.074 M; EBITDA 321,6 M (+10 %); margen 30,0 % (-1,2 pp); beneficio neto 214,3 M (+1,2 %); FCF 230,4 M (+25,8 %)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2025 (fijado en mar-2022)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1.500 M CHF en 2025 (subido desde 1.100 M) y margen EBITDA del 32-37 % a lo largo del ciclo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1.074 M CHF y margen del 30,0 %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2027 (día del inversor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1.800-2.200 M CHF en 2027 [80].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el día del inversor de mayo de 2025 a 1.500-1.700 M CHF (WFE de 125.000 M USD y USD/CHF 0,83), con banda de margen bajada a 30-37 %; en jul-2026 la guía de ventas de 2027 está «en revisión» al alza por la expectativa de WFE [7, 80].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1T26 (trimestral)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ventas del 1T26 de 240-260 M CHF [76].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del 31-mar-2026: unos 215 M CHF (impacto de 25-30 M) por interrupciones de suministro tras el conflicto de Oriente Medio; book-to-bill de ~1,6 [81].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fiable en la dirección del ciclo, menos en el calendario. Las guías anuales cualitativas se cumplieron en 2022-2023 y a medias en 2024-2025 (el margen bajó en 2025 pese a prometer que subiría), pero los objetivos de medio plazo han fallado: 1.500 M CHF de ventas en 2025 (real: 1.074 M) y 1.800-2.200 M en 2027, recortado a 1.500-1.700 M en mayo de 2025 [12, 76, 80]. El 1T26 quedó un 10-17 % por debajo de la guía trimestral [81]. La estabilidad es la duda: el CEO (Urs Gantner, desde 2024) y el CFO (Fabian Chiozza, desde 2021) siguen, pero el responsable de semiconductores salió en 2025 y el COO se va a principios del 4T26 sin sucesor, justo cuando la empresa duplica la producción [67, 75]. La dirección tiene un 0,03 % del capital y ha vendido ≈ 1,06 M CHF en 2026 [68, 73].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Komischke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según el texto del informe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Leinhäuser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Libo Zhang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 31-dic-2025);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Lippuner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(presidente según el texto)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Denk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Nombramientos y Retribuciones (elegida en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Piliszczuk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Clara-Ann Gordon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(Mike) Allison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2025; informe de 2-mar-2026; cuestión clave de auditoría: reconocimiento de ingresos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0,01 / ventas 1,06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Maag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particular (Suiza); dato del registro de acciones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a SIX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3,0 % (may-2023) al 6,574 % (notificación del 30-abr-2024); sin cambios desde entonces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notificación del 28-abr-2021; sin notificaciones posteriores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33.074 acciones a 31-dic-2025 [67]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(el comentario de la notificación identifica a Martin Komischke; compra hecha por su gestor discrecional, Lombard Odier, contra su instrucción)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1,25 M CHF en 2025 (fijo 0,75 M, variable anual 0,26 M y PSU 0,23 M), modesto para una empresa de ≈ 21.000 M y 15,4 veces el coste medio por empleado (estimación propia) [68]. El variable anual pondera un 25 % margen EBITDA, un 25 % FCF, un 25 % victorias de especificación y un 25 % sostenibilidad; en 2025 pagó el 75,1 % del objetivo y se suprimió el umbral del 30 % [68]. Las PSU (tres años) miden crecimiento de ventas, TSR y ROIC frente a 21 pares (ASML, Applied, Lam, TEL…): premian lo correcto en un sector cíclico porque comparan con el ciclo y no con un número fijo; pagaron el 148-160 % en 2020-2022 [68]. Clawback limitado a reformulaciones de tres años. El informe de remuneración obtuvo el 88 % en 2024, el 89,35 % en 2025 (10,27 % en contra) y el 94 % en 2026 [69, 71, 72].</w:t>
      </w:r>
    </w:p>
    <w:p>
      <w:pPr>
        <w:pStyle w:val="Heading2"/>
      </w:pPr>
      <w:r>
        <w:t xml:space="preserve">Operaciones vinculadas, estructura de control y defensas</w:t>
      </w:r>
    </w:p>
    <w:p>
      <w:pPr>
        <w:spacing w:after="100"/>
      </w:pPr>
      <w:r>
        <w:t xml:space="preserve">Sin accionista de control: el mayor es Rudolf Maag (10 %), seguido de UBS Fund Management (6,57 %) y BlackRock (5,72 %, dato de 2021); el capital flotante ronda el 90 % [6, 67, 74]. Una acción, un voto, y sin opting-out de la OPA obligatoria (umbral legal del 33⅓ %) [67]. Hay dos frenos menores: los nominees solo votan hasta el 3 % si no declaran a los beneficiarios, y hace falta una mayoría de dos tercios para levantar las restricciones de inscripción [67]. Banda de capital de −5 %/+10 % hasta 2029 y capital condicional del 5 % para planes [67, 70]. Sin cláusulas de cambio de control salvo la consolidación prorrateada de las PSU. Las únicas operaciones vinculadas son las aportaciones al plan de pensiones (12,7 M) y la retribución del personal clave [44].</w:t>
      </w:r>
    </w:p>
    <w:p>
      <w:pPr>
        <w:pStyle w:val="Heading2"/>
      </w:pPr>
      <w:r>
        <w:t xml:space="preserve">Señales de alerta</w:t>
      </w:r>
    </w:p>
    <w:p>
      <w:pPr>
        <w:pStyle w:val="ListParagraph"/>
        <w:numPr>
          <w:ilvl w:val="0"/>
          <w:numId w:val="2"/>
        </w:numPr>
        <w:spacing w:after="60"/>
      </w:pPr>
      <w:r>
        <w:t xml:space="preserve">Rotación en el comité de dirección: salió el EVP Semiconductor Solutions Group (Finn Felsberg) en 2025 y el COO Thomas Berden se va a principios del 4T26 sin sucesor anunciado a la fecha de corte [68, 75].</w:t>
      </w:r>
    </w:p>
    <w:p>
      <w:pPr>
        <w:pStyle w:val="ListParagraph"/>
        <w:numPr>
          <w:ilvl w:val="0"/>
          <w:numId w:val="2"/>
        </w:numPr>
        <w:spacing w:after="60"/>
      </w:pPr>
      <w:r>
        <w:t xml:space="preserve">Ventas de directivos ejecutivos: 1.786 acciones por unos 1,06 M CHF entre el 4-mar y el 18-sep-2026, frente a 8.894 acciones del GEC a 31-dic-2025 (≈20 %); SIX no identifica a la persona [68, 73].</w:t>
      </w:r>
    </w:p>
    <w:p>
      <w:pPr>
        <w:pStyle w:val="ListParagraph"/>
        <w:numPr>
          <w:ilvl w:val="0"/>
          <w:numId w:val="2"/>
        </w:numPr>
        <w:spacing w:after="60"/>
      </w:pPr>
      <w:r>
        <w:t xml:space="preserve">Compra de 21 acciones el 9-oct-2025 por el gestor discrecional del presidente, dentro del periodo de bloqueo que va del 30-sep a la actualización del 3T (16-oct-2025), notificada tarde y con explicación [67, 73].</w:t>
      </w:r>
    </w:p>
    <w:p>
      <w:pPr>
        <w:pStyle w:val="ListParagraph"/>
        <w:numPr>
          <w:ilvl w:val="0"/>
          <w:numId w:val="2"/>
        </w:numPr>
        <w:spacing w:after="60"/>
      </w:pPr>
      <w:r>
        <w:t xml:space="preserve">Reelección de KPMG como auditor con solo un 79 % a favor en la junta de 2026 (98 % en 2024); KPMG audita desde 2016 [67, 71, 72].</w:t>
      </w:r>
    </w:p>
    <w:p>
      <w:pPr>
        <w:pStyle w:val="ListParagraph"/>
        <w:numPr>
          <w:ilvl w:val="0"/>
          <w:numId w:val="2"/>
        </w:numPr>
        <w:spacing w:after="60"/>
      </w:pPr>
      <w:r>
        <w:t xml:space="preserve">Voto consultivo del informe de remuneración: 88 % a favor en 2024, 89,35 % en 2025 y 94 % en 2026 [69, 71, 72].</w:t>
      </w:r>
    </w:p>
    <w:p>
      <w:pPr>
        <w:pStyle w:val="ListParagraph"/>
        <w:numPr>
          <w:ilvl w:val="0"/>
          <w:numId w:val="2"/>
        </w:numPr>
        <w:spacing w:after="60"/>
      </w:pPr>
      <w:r>
        <w:t xml:space="preserve">Libo Zhang, presidenta del comité de retribuciones, reelegida a ese comité con solo un 77 % en 2024 (86 % como consejera) [72].</w:t>
      </w:r>
    </w:p>
    <w:p>
      <w:pPr>
        <w:pStyle w:val="ListParagraph"/>
        <w:numPr>
          <w:ilvl w:val="0"/>
          <w:numId w:val="2"/>
        </w:numPr>
        <w:spacing w:after="60"/>
      </w:pPr>
      <w:r>
        <w:t xml:space="preserve">Fallo del 1T26 frente a la guía trimestral (unos 215 M CHF frente a 240-260 M) y recorte del objetivo de ventas de 2027 en mayo de 2025 [80, 81].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(3-mar-2026, confirmada el 22-jul-2026): pedidos, ventas, EBITDA, margen EBITDA, beneficio neto y FCF superiores a 2025; ventas del 3T26 de 355-385 M CHF sin Atonarp; producción por encima de un ritmo de 450 M por trimestre a final de año [7, 9]. La guía de ventas de 2027 (1.500-1.700 M, fijada en el día del inversor de mayo de 2025 con un WFE de 125.000 M USD y un USD/CHF de 0,83) está «en revisión» al alza [9, 80]. Objetivos 2025-2029: crecimiento «low to mid-teens», margen EBITDA del 30-37 % a lo largo del ciclo, conversión del 60-70 % del EBITDA en FCF y dividendo de hasta el 100 % del FCF [80]. El consenso de 2026 (1.327 M) exige un 4T26 de ≈ 430-460 M, coherente con el ritmo de producción prometido (estimación propia)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6-oct-2026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 – 860,00</w:t>
            </w:r>
          </w:p>
        </w:tc>
      </w:tr>
    </w:tbl>
    <w:p>
      <w:pPr>
        <w:spacing w:after="160" w:before="0"/>
      </w:pPr>
    </w:p>
    <w:p>
      <w:pPr>
        <w:pStyle w:val="Heading2"/>
      </w:pPr>
      <w:r>
        <w:t xml:space="preserve">Revisiones de estimaciones</w:t>
      </w:r>
    </w:p>
    <w:p>
      <w:pPr>
        <w:spacing w:after="100"/>
      </w:pPr>
      <w:r>
        <w:t xml:space="preserve">No hay historia gratuita de las estimaciones del consenso a 3 y 12 meses (hueco registrado). Lo que sí se ve es la dirección: el consenso de 2027 (1.874 M CHF de ventas) ya está un 10 % por encima del techo de la guía de la empresa (1.700 M) y el WFE de 2026 que usa VAT subió de 115.000 a 145.000 M USD entre enero de 2025 y junio de 2026 (+26 %) [7, 84]. Los precios objetivo suben: Goldman de 766 a 782 CHF (23-sep), UBS 800 (8-sep), Barclays 719 (30-sep); Vontobel pasó a comprar el 18-sep y Jefferies a mantener (646 CHF) el 20-ago [86]. La minoría bajista sigue ahí: AlphaValue/Baader en «reduce» y Morningstar en venta desde mayo-junio [85]. Las dos fuentes con estimaciones completas (MarketScreener y Stock Analysis) beben de S&amp;P/FactSet y dan cifras casi iguales [84, 86].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se mueve con el ciclo de pedidos y con más amplitud que el sector: +109,5 % en 2021, −43,2 % en 2022, +70,1 % en 2023 y −17,6 % en 2024, con una beta de 1,61 frente al SPI y una caída máxima del 58,1 % entre noviembre de 2021 y octubre de 2022 [83]. En 2026 sube un 83,1 % (SPI +7,3 %, SMH +75,6 % en dólares) y está un 4 % por debajo de su máximo (727,20 CHF), un 129 % por encima del mínimo de 52 semanas [83]. Tres hechos lo explican: el aviso del 1T26 (31-mar) marcó el suelo, los pedidos del 1T (16-abr) y del 2T (22-jul) duplicaron los del año anterior y el WFE previsto para 2026-2028 subió con el gasto en IA [9, 42, 43, 46]. A diez años la acción gana al SPI (26,7 % frente a 9,4 % anual) pero no al sector (34,9 %), que incluye el efecto del dólar [83].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VAT cotiza a 69,7x el EBITDA y 101x el beneficio de los últimos 12 meses: el máximo de su historia como cotizada, más del doble de la media de 2016-2025 (32,5x y 50,2x) y por encima de sus máximos anteriores: 46,9x el EBITDA en 2023, con el beneficio en el valle, y 44,6x en 2021, en plena subida. El múltiplo de los últimos 12 meses es engañoso en una cíclica, porque el denominador está en un año de producción todavía baja (1S26 con ventas −8 %); por eso el informe mira también el de los próximos 12 meses (33,9x). Aun así, en 2021, con un ciclo igual de fuerte y tipos más bajos, el mercado pagó 44,6x el EBITDA de cierre de año. Lo estructural que ha cambiado juega a favor (cuota del 50 % al 70 %, adyacencias, IA) [1], pero también los tipos: el bono suizo a 10 años está hoy en el 0,51 % [95], por encima del nivel de 2021.</w:t>
      </w:r>
    </w:p>
    <w:p>
      <w:pPr>
        <w:pStyle w:val="Heading1"/>
      </w:pPr>
      <w:r>
        <w:t xml:space="preserve">18. Comparables cotizados</w:t>
      </w:r>
    </w:p>
    <w:p>
      <w:pPr>
        <w:pStyle w:val="Confianza"/>
        <w:spacing w:after="100"/>
      </w:pPr>
      <w:r>
        <w:t xml:space="preserve">Confianza: Media</w:t>
      </w:r>
    </w:p>
    <w:p>
      <w:pPr>
        <w:spacing w:after="100"/>
      </w:pPr>
      <w:r>
        <w:t xml:space="preserve">Fabricantes de equipos y subsistemas de semiconductores con la misma exposición al WFE: los clientes de VAT que dominan deposición y grabado (Applied Materials, Lam Research, ASM International), proveedores de subsistemas críticos (MKS, Ultra Clean, Ichor) y dos industriales suizos de nicho que venden a los mismos OEM (Comet e Inficon) [88]. Fuera: ASML (monopolio de litografía, otro tamaño y otro motor), Tokyo Electron (ejercicio a marzo y normas japonesas), KLA (control de procesos) y Atlas Copco (el vacío es una división de un conglomerado)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Ichor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Comet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20,6x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 / 46,0x / 48,5x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 / 29,1x / 32,2x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 / 7,5x / 14,4x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23,4 + -0,13 × crecimiento; R² = 0,02. El crecimiento explica poco los múltiplos de estos comparables (R² &lt; 0,3): la regresión no se usa en la valoración.</w:t>
      </w:r>
    </w:p>
    <w:p>
      <w:pPr>
        <w:spacing w:after="100"/>
      </w:pPr>
      <w:r>
        <w:t xml:space="preserve">VAT es la más cara del grupo: 33,9x el EBITDA y 45,8x el beneficio de los próximos 12 meses, frente a una mediana de 20,7x y 29,2x, y por encima de Lam (27,9x y 33,1x) y Applied (25,1x y 29,3x) [88]. Parte de la prima se justifica: margen EBITDA del 29,7 % de los últimos 12 meses frente a una mediana del 21,7 %, un ROIC del 26,1 % y una cuota del 70 % en su nicho. Pero Lam tiene más margen (37,7 %), más ROIC (70,1 %) y crece más (43,0 %) a un múltiplo menor [88, 89]. La regresión múltiplo-crecimiento no sirve (R² de 0,02): los fabricantes de subsistemas salen de un 2025 de suelo y sus múltiplos LTM no son comparables. A la mediana NTM, VAT valdría 422,09 CHF (EV/EBITDA) o 444,68 CHF (PER), 433,39 CHF de media: un 37,9 % por debajo del precio incluso pagando lo que hoy paga el mercado por un sector en plena subida.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Atonarp Inc. (Japón; espectrometría y sensores moleculares para control de procesos)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 M CHF en efectivo por el 100 %, sin pagos aplazados; cierre previsto en el 3T26, no confirmado a la fecha de corte; múltiplos no publicados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 Materials (EE. UU.; lodos y pads de CMP)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Entegris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6.500 M USD en efectivo y acciones; la nota no publica las ventas ni el EBITDA de CMC por separado: sin múltiplo citado [94].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automatización de semiconductores de Brooks Automation (robots de vacío y manipulación de obleas)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H. Lee Partners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USD en efectivo; ventas de los últimos 12 meses a 30-jun-2021 de 613 M USD; la presentación lo cifra en «≈ 5x ventas y 19x EBITDA» de los últimos 12 meses (EV/ventas 4,89x es cálculo propio: 3.000/613)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Atotech (Alemania; química de procesos para PCB y semiconductores)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 Instruments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5.100 M USD y valor empresa ≈ 6.500 M USD; Atotech facturó 1.234 M USD en 2020 con un EBITDA ajustado de 313 M USD (margen del 25 %); múltiplos de cálculo propio (6.500/1.234 y 6.500/313) sobre 2020, sin los 50 M USD de sinergias [91].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Ham-Let (Israel; válvulas y conectores de fluidos de alta pureza)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348 M USD en efectivo; la presentación da 14,7x el EBITDA de los últimos 12 meses a 30-sep-2020 (24 M USD) y 10,3x con 10 M USD de sinergias. Es la más parecida por producto (válvulas de alta pureza)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(16,9x – 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161,65 – 192,64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tres operaciones del sector publicaron múltiplo y las tres son de 2021, en la parte alta del ciclo anterior: Brooks-THL (19,0x el EBITDA), MKS-Atotech (20,8x) y Ultra Clean-Ham-Let (14,7x) [91, 92, 93]. A la mediana, VAT valdría 183,49 CHF: el precio actual supone un múltiplo tres veces mayor que el que pagaron compradores con prima de control. Por eso pesan cero: VAT no es un objetivo realista (≈ 21.000 M de capitalización, sin accionista de control y con una cuota que ningún competidor podría comprar sin problemas de competencia), y la única compra reciente propia, Atonarp (≈ 110 M CHF), no publicó múltiplo y es de tecnología, no de beneficio [10]. Lo que dicen es otra cosa: incluso en 2021 nadie pagó más de 21x el EBITDA por un proveedor de semiconductores.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consenso (1.327 M, +23,6 %): con el 1S26 cerrado (512 M) y la guía del 3T (355-385 M), el año está casi hecho [9, 84]. 2027e +38 % (1.831 M), algo por debajo del consenso (1.874 M) y por encima del techo de la guía de la empresa (1.700 M), en línea con la previsión de WFE de SEMI (+21,8 %) más la ganancia de cuota y la cartera récord de 647,9 M [9, 46]. 2028e +12 % (SEMI +14,1 %). 2029e −15 %: la corrección cíclica, calibrada con 2019 (−18,3 %) y 2023 (−22,7 %) pero algo más suave por las adyacencias y el servicio [2, 4]. Después, recuperación al 7-8 % y convergencia al 2,5 % en 2035. TCAC 2025-2035 del 8,3 %, cerca de la histórica (8,7 %).</w:t>
      </w:r>
    </w:p>
    <w:p>
      <w:pPr>
        <w:keepNext/>
        <w:spacing w:after="100"/>
      </w:pPr>
      <w:r>
        <w:rPr>
          <w:b/>
          <w:bCs/>
        </w:rPr>
        <w:t xml:space="preserve">Márgenes.</w:t>
      </w:r>
    </w:p>
    <w:p>
      <w:pPr>
        <w:spacing w:after="100"/>
      </w:pPr>
      <w:r>
        <w:t xml:space="preserve">Margen EBITDA del 33 % en 2026e (consenso 33,5 %; el 1S26 dio 29,0 % y el 2S necesita ≈ 36 %), 36 % en 2027e y 37 % en 2028e, en el techo de la banda del 30-37 % de la empresa y frente al 35,0 % del pico de 2022 [1, 80]. El supuesto es apalancamiento operativo: los 700 empleados nuevos ya están en la base de costes del 1S26 [7]. En la corrección de 2029e baja al 31,5 % (2019: 27,0 %; 2023: 30,6 %) y converge al 34,5 %, en la mitad alta de la banda, por la mezcla: Global Service tiene un margen del 45,6 % y Valves del 29,9 % [1]. El consenso de 2028 (38 %) es más alto; nuestro EBITDA de 2028 está un 7,1 % por debajo.</w:t>
      </w:r>
    </w:p>
    <w:p>
      <w:pPr>
        <w:keepNext/>
        <w:spacing w:after="100"/>
      </w:pPr>
      <w:r>
        <w:rPr>
          <w:b/>
          <w:bCs/>
        </w:rPr>
        <w:t xml:space="preserve">Inversión y circulante.</w:t>
      </w:r>
    </w:p>
    <w:p>
      <w:pPr>
        <w:spacing w:after="100"/>
      </w:pPr>
      <w:r>
        <w:t xml:space="preserve">Capex del 6,0 % de las ventas en 2026e, 6,5 % en 2027e (capacidad en Penang y Suiza) y 6,0 % en 2028e, frente al 5,9-7,8 % de 2023-2025; baja al 4,5 % en el año de corrección (como en 2019-2020) y converge al 5 %, por encima de la amortización (4,6 %) [1, 9]. Circulante comercial del 24 % de las ventas (23,1 % en 2025, 29,4 % en 2024): el ramp lo infla en 2026 y la caída lo libera [1, 6]. Tipo impositivo del 17 % (17,1 % medio del grupo en 2025, 17,2 % en el 1S26) [9, 44]. Arrendamientos pequeños (46,9 M) y en la deuda; su efecto es irrelevante.</w:t>
      </w:r>
    </w:p>
    <w:p>
      <w:pPr>
        <w:keepNext/>
        <w:spacing w:after="100"/>
      </w:pPr>
      <w:r>
        <w:rPr>
          <w:b/>
          <w:bCs/>
        </w:rPr>
        <w:t xml:space="preserve">Coste del capital.</w:t>
      </w:r>
    </w:p>
    <w:p>
      <w:pPr>
        <w:spacing w:after="100"/>
      </w:pPr>
      <w:r>
        <w:t xml:space="preserve">Todo en CHF. Tasa libre: bono de la Confederación a 10 años al 0,51 % [95]. Beta: 1,61 de cinco años mensual frente al SPI, ajustada de Blume a 1,41 [83]. Prima de mercado del 5,5 %, en la horquilla del prompt; Damodaran da un 4,23 % para Suiza, pero con una tasa libre del 0,51 % eso supondría un 4,7 % de rentabilidad total para la bolsa suiza, por debajo de su historia [96]. Sin prima adicional: la beta ya recoge el ciclo. Coste de la deuda: SARON + 0,85 % ≈ 1,4 % [44]. Peso de la deuda del 2 % a valor de mercado. WACC del 8,12 %. La conclusión no depende de la prima: con la de Damodaran el coste del capital sería del 6,5 %, y el precio implica un 3,8 %.</w:t>
      </w:r>
    </w:p>
    <w:p>
      <w:pPr>
        <w:keepNext/>
        <w:spacing w:after="100"/>
      </w:pPr>
      <w:r>
        <w:rPr>
          <w:b/>
          <w:bCs/>
        </w:rPr>
        <w:t xml:space="preserve">Valor terminal.</w:t>
      </w:r>
    </w:p>
    <w:p>
      <w:pPr>
        <w:spacing w:after="100"/>
      </w:pPr>
      <w:r>
        <w:t xml:space="preserve">Gordon con un crecimiento del 1,5 % nominal en CHF: inflación suiza esperada (≈ 0,5-1 %) más crecimiento real; un negocio que vende en dólares y cuesta en francos crece en CHF menos que en USD, porque el franco se aprecia a largo plazo. El múltiplo implícito es de 10,6x el EBITDA de 2035, bajo frente a la historia de VAT (12,7-46,9x) pero coherente con una empresa madura en un sector cíclico; con un múltiplo de salida de 16x el valor terminal sería de 13.193 M en vez de 8.729 M, y el valor por acción seguiría muy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278,73</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(WACC: 8,1 %)</w:t>
            </w:r>
          </w:p>
        </w:tc>
      </w:tr>
    </w:tbl>
    <w:p>
      <w:pPr>
        <w:spacing w:after="160" w:before="0"/>
      </w:pPr>
    </w:p>
    <w:p>
      <w:pPr>
        <w:spacing w:after="100"/>
      </w:pPr>
      <w:r>
        <w:t xml:space="preserve">El DCF da 229,55 CHF por acción, un 67,1 % por debajo de los 698,20 CHF del precio, con un rango de 203,29-264,91 CHF al mover el WACC y el crecimiento terminal medio punto. El valor terminal pesa un 59 %. La pregunta central es qué descuenta el precio, y el DCF inverso la responde de tres formas. Con nuestro WACC, las ventas tendrían que crecer un 26,1 % anual de media en 2027-2035, frente al 7,5 % de nuestro base y al 8,7 % de 2016-2025: VAT facturaría en 2035 más de 10.000 M CHF, doce veces el mercado de válvulas de vacío para semiconductores estimado para 2025 (≈ 900 M CHF) [1]. Con nuestro crecimiento, ningún margen alcanza el precio. Y con nuestras cifras, el precio implica una rentabilidad anual del 3,8 % en francos, 3,3 puntos sobre el bono suizo: una prima de riesgo de 2,3 puntos con una beta de 1,41, para una acción que cayó un 58 % en el último ciclo. Nuestra proyección no es pesimista frente al mercado en lo inmediato: coincide con el consenso en 2026 y queda un 2,3 % y un 4,7 % por debajo en ventas de 2027 y 2028. La diferencia está en dos cosas: que contamos un ciclo (2029) y que el precio exige una tasa de descuento que no corresponde a una cíclica.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2026-2027 resulta ser un pico de inventario y de capacidad, como en 2021-2022: los pedidos caen en 2028 y el ciclo se repite con la profundidad de 2019 y 2023 (ventas −18 % y −23 %, EBITDA −28 % y −32 %) [2, 4]. A la vez, los controles de exportación recortan China (32 % de las ventas en 2025) y el franco fuerte se come el apoyo de divisa del 1S26 (+1,8 puntos de margen) [1, 7]. El margen medio queda en el 31 %, la media de 2016-2025, y el crecimiento tres puntos por debajo del base cada año. El motor solo admite desplazamientos uniformes: el bajista es una pérdida de nivel permanente, no un valle con recuperación.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ventas siguen al WFE de SEMI: +23,6 % en 2026 (consenso), +38 % en 2027 y +12 % en 2028, con el margen EBITDA en el 36-37 % por apalancamiento operativo [46, 84]. En 2029 llega la corrección cíclica (−15 %, menos profunda que 2019 y 2023 porque la cuota sube y las adyacencias y el servicio pesan más), el margen baja al 31,5 % y luego se recupera hacia el 34,5 %, en la mitad alta de la banda del 30-37 % [80].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inteligencia artificial alarga la subida: más de 140 fábricas nuevas hasta 2030, el WFE pasa de 200.000 M USD y el paso a menos de 2 nm aumenta la intensidad de vacío [7]. VAT llega a más del 80 % de cuota en válvulas y al 20 % de ventas en adyacencias en 2029, como prometió, y el margen se queda en el techo de la banda (37 %) [7, 80]. Tres puntos más de crecimiento cada año, 2,5 más de margen y medio punto menos de WACC.</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235,18 CHF (-66,3 %).</w:t>
      </w:r>
    </w:p>
    <w:p>
      <w:pPr>
        <w:spacing w:after="100"/>
      </w:pPr>
      <w:r>
        <w:t xml:space="preserve">La asimetría es desfavorable en los tres escenarios: el alcista (349,49 CHF) queda un 49,9 % por debajo del precio, el base un 67,1 % y el bajista (148,36 CHF) un 78,8 %. El valor ponderado por probabilidades es 235,18 CHF. Incluso con tres puntos más de crecimiento cada año, el margen en el techo de la banda (37 %) y medio punto menos de WACC, el DCF no llega a la mitad del precio. El bajista es verosímil, no cosmético: VAT ya ha perdido un 18-23 % de ventas y un 28-32 % de EBITDA en un año dos veces en siete años [2, 4], y la acción cayó un 58 % en 2021-2022 [83]. Lo que haría falta para justificar 698 CHF no es un escenario operativo sino una tasa de descuento del 3,8 %.</w:t>
      </w:r>
    </w:p>
    <w:p>
      <w:pPr>
        <w:pStyle w:val="Heading1"/>
      </w:pPr>
      <w:r>
        <w:t xml:space="preserve">22. Suma de partes</w:t>
      </w:r>
    </w:p>
    <w:p>
      <w:pPr>
        <w:pStyle w:val="Confianza"/>
        <w:spacing w:after="100"/>
      </w:pPr>
      <w:r>
        <w:t xml:space="preserve">Confianza: Alta</w:t>
      </w:r>
    </w:p>
    <w:p>
      <w:pPr>
        <w:spacing w:after="100"/>
      </w:pPr>
      <w:r>
        <w:t xml:space="preserve">No aplica. Valves (81,5 % de las ventas) y Global Service (18,5 %) venden a los mismos clientes, en el mismo ciclo y con los mismos comparables; el servicio tiene más margen (45,6 % frente a 29,9 %) pero vive de la base instalada de válvulas [1]. Las adyacencias (92 M en 2025) y Atonarp son demasiado pequeñas para valorarlas aparte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272,01 CHF (-61,0 % sobre 698,20).</w:t>
      </w:r>
    </w:p>
    <w:p>
      <w:pPr>
        <w:spacing w:after="100"/>
      </w:pPr>
      <w:r>
        <w:t xml:space="preserve">El DCF pesa un 50 % porque es el único método que obliga a decir qué pasa después del pico: VAT es un negocio de ROIC alto con un ciclo de −20 % cada cuatro o cinco años, y el múltiplo del momento no lo recoge. Los escenarios pesan un 30 % para incorporar la dispersión, que en una cíclica es grande (148,36-349,49 CHF). Los comparables, un 20 %: miden lo que el mercado paga hoy por el sector en plena subida, y la muestra es frágil (la mediana va de 18,8x a 22,5x según el comparable que se quite). Las transacciones pesan cero (tres operaciones de 2021 y ningún comprador posible). El resultado es 272,01 CHF. Todos los métodos están por debajo del precio: el más alto, los comparables, en 433,39 CHF. Solo dos referencias lo alcanzan: el precio objetivo medio de los analistas (713,11 CHF) y el máximo de 52 semanas (727,20). El puente es limpio: 350 M de deuda bancaria, 46,9 M de arrendamientos, 115,3 M de caja y 5,4 M de pensiones netas [6]; Atonarp restaría ≈ 3,7 CHF más.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 pedidos, ventas (guía 355-385 M) y cartera; posible cierre de Atonarp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pedidos siguen por encima de 450 M y el book-to-bill de 1,3x, el mercado seguirá extrapolando; un book-to-bill por debajo de 1 sería la primera señal de giro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TSMC, ASML, Lam y Applied y guía de inversión de los fabricantes de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Fijan el WFE de 2027: VAT ha subido con cada revisión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fin de año de SEMI (SEMICON Japan) para 2027-2028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julio da +21,8 % y +14,1 % para el WFE; un recorte de 2028 anticiparía el valle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nueva guía de ventas de 2027 (la actual, 1.500-1.700 M, está en revisión)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cerca del consenso (1.874 M) ya está en el precio; la sorpresa tendría que ser mayor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sustituto del COO (sale a principios del 4T26) en plena subida de producción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ejecución si se retrasa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reglas de exportación de EE. UU. sobre equipos para China (32 % de las ventas en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ronda (oct-2022, dic-2024) ha recortado la demanda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en semiconductores (WFE)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sobre el base (bajista: 148,36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que libera caja, capex flexible y plantilla temporal (90 % de las altas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por debajo de 1 dos trimestres seguidos; recortes de la previsión de WFE de SEMI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aunque se cumplan las cifras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si cotiza a la mediana del EV/EBITDA NTM del sector (422,09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la tesis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por encima de 30x con pedidos planos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a la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(32 % de las ventas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ya bajó al 28 % en el 1S26; el resto de Asia compensa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del BIS sobre equipos de deposición y grabado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costes en CHF y ventas en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(sensibilidad del motor: 229,55 → 221,07 CHF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en Malasia y Rumanía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0,80; margen a tipo constante por debajo del 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(tres OEM, 43 %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un OEM cualifica a un segundo proveedor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Cualificación larga en cada cámara; 150 victorias de especificación en 2025 (132 en 2024)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cuota declarada o de las victorias de especificación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ramp: costes, calidad y salida del COO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2 puntos por debajo en 2026-2027)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instalada para 2.500 M CHF de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japonesa y china en válvulas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70 % y márgenes muy por encima de los rivales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chinos a proveedores locales (Shanghai Vacuum Valve)</w:t>
            </w:r>
          </w:p>
        </w:tc>
      </w:tr>
    </w:tbl>
    <w:p>
      <w:pPr>
        <w:spacing w:after="160" w:before="0"/>
      </w:pPr>
    </w:p>
    <w:p>
      <w:pPr>
        <w:pStyle w:val="Heading2"/>
      </w:pPr>
      <w:r>
        <w:t xml:space="preserve">Pre-mortem</w:t>
      </w:r>
    </w:p>
    <w:p>
      <w:pPr>
        <w:spacing w:after="100"/>
      </w:pPr>
      <w:r>
        <w:t xml:space="preserve">Octubre de 2029. Vender VAT a 698 CHF fue un error: cotiza a 950 CHF. Qué pasó. Primero, el ciclo no giró: el gasto en centros de datos siguió creciendo hasta 2029, la memoria se quedó corta tres años y el WFE pasó de 250.000 M USD en 2028; VAT facturó 2.500 M CHF, el techo de su capacidad, y el EBITDA llegó a 1.000 M con un margen del 40 %. Segundo, el mercado decidió que la IA había cambiado la naturaleza del sector: dejó de descontar el valle y pagó por VAT lo mismo que por una empresa de crecimiento estable (35x el EBITDA). Tercero, Atonarp y las adyacencias funcionaron y la empresa se presentó como proveedor de control de procesos, no de válvulas. Nuestro error habría sido aplicar la historia de 2019 y 2023 a un ciclo que no se parecía a los anteriores. Lo habrían anticipado tres indicadores: el book-to-bill por encima de 1,2 durante seis trimestres seguidos, la guía de 2027 por encima de 2.000 M y la previsión de SEMI para 2029 sin caída.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(mantenida)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(primera calificación)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plata (15 % mejor de las empresas evaluadas)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cuartil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El análisis de doble materialidad de 2025 sitúa con mayor relevancia financiera la seguridad de los datos, la protección de la propiedad intelectual y la ciberseguridad, las emisiones de gases de efecto invernadero y la gestión de la cadena de suministro y de materiales [1]. Para las cifras importan sobre todo la propiedad intelectual (≈500 patentes) y la cadena de suministro en plena subida de producción, con riesgo creciente de materias primas [1, 7]. En emisiones: el 89 % de la electricidad de las fábricas es renovable (65 % en 2023), la intensidad de emisiones de alcance 1 y 2 bajó un 15 % y VAT acordó una senda de reducción con la iniciativa SBTi [1]. En personas: 3.250 FTE a cierre de 2025 y más de 700 incorporaciones en el 1S26, el 90 % temporales [1, 7].</w:t>
      </w:r>
    </w:p>
    <w:p>
      <w:pPr>
        <w:pStyle w:val="Heading2"/>
      </w:pPr>
      <w:r>
        <w:t xml:space="preserve">Controversias</w:t>
      </w:r>
    </w:p>
    <w:p>
      <w:pPr>
        <w:spacing w:after="100"/>
      </w:pPr>
      <w:r>
        <w:t xml:space="preserve">No se han encontrado sanciones, litigios ni incidentes relevantes en los últimos tres años: el informe anual 2025 no recoge procedimientos judiciales significativos y una búsqueda en prensa no da resultados [1]. La exposición a los controles a la exportación hacia China es un riesgo de negocio, no una controversia abierta [1, 57].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del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647,9 M tiene fecha de entrega en 2027 y qué parte son pedidos dobles de OEM que acumulan existencias de seguridad?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2021-2022 la cartera llegó a 563 M y en 2023 los pedidos cayeron un 69 %: la calidad de la cartera decide si 2028 es pico o meseta.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EBITDA previsto para el 2S26 y cuánto aporta la divisa con el USD/CHF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dio un 29,0 % con +1,8 puntos de divisa; el consenso necesita ≈ 36 % en el 2S.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WFE y qué tipo de cambio se revisará la guía de 2027 (hoy 1.500-1.700 M) y cuándo se publicará?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(1.874 M) ya está un 10 % por encima del techo.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China en los pedidos del 1S26 y en la cartera, y qué productos quedarían afectados por una nueva regla de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fue el 32 % de las ventas de 2025 y el 28 %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tres clientes de más del 13 % y alguno ha cualificado un segundo proveedor de válvulas en los nodos de menos de 2 nm?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43 % de las ventas y la empresa no los nombra.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temporal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coste tendría ajustar los ≈ 630 temporales contratados en 2026 (casi el 90 % de 700) si los pedidos caen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que protege el margen en el valle.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Atonarp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pérdidas tiene Atonarp y cuándo espera la empresa que aporte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pagan ≈ 110 M sin múltiplo publicado y la presentación habla de crecimiento «más allá de 2029».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sustituye al COO y por qué se va en plena subida de producción?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comité de dirección queda en dos personas.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18 controles correctos y 4 explicados. Fuentes: 96 (70 primarias); citas distintas en el texto: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 explica la causa (créditos fiscales, regularizaciones, mezcla de países) y no lo proyectes en el DCF. Explicación: El 8,1 % de 2023 (16,8 M sobre 207,1 M) es un año atípico frente al 13,9-24,4 % del resto de 2016-2025; no se proyecta: el DCF usa el 17 %, el tipo medio del grupo en 2025 (17,1 %) y el efectivo del 1S26 (17,2 %).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23,1 %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los comparables están en puntos distintos del ciclo (los fabricantes de subsistemas salen de un 2025 de suelo), así que el crecimiento NTM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18,8x a 22,5x según qué comparable se quite (383,42 a 460,76 por acción): la muestra es frágil; explícalo y no le des mucho peso. Explicación: La mediana del EV/EBITDA NTM va de 18,8x a 22,5x según el comparable que se quite. Por eso los comparables pesan solo un 20 % y se usan como referencia de lo que paga hoy el mercado al sector, no como ancla.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(23,3x → 13,0x), Ultra Clean Holdings (22,1x → 7,9x), Ichor Holdings (51,7x → 14,3x), Applied Materials (46,5x → 25,1x), Comet Holding (62,8x → 18,8x), Inficon Holding (45,6x → 25,9x): el salto implica un crecimiento del EBITDA que no cuadra con el de las ventas. ¿EBITDA de proveedores distintos, o un cambio de perímetro? Explicación: Todos los EBITDA LTM y NTM son de MarketScreener. El salto es real: apalancamiento operativo a la salida de un 2025 de suelo en los subsistemas (margen EBITDA de Ichor 4,8 %, Ultra Clean 7,7 %, Comet 10,1 %) y crecimiento fuerte del EBITDA de 2026-2027 por la IA en Applied, MKS e Inficon; no es una mezcla de definiciones. Por eso el informe usa el múltiplo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del 1T26 y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VAT: no publica transcripciones ni grabación descargable; 2) GuruFocus (transcripción del 1S26): HTTP 403; 3) Quartr: solo un resumen breve sin la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VAT: no citan consenso; 2) presentación del 1S26: tampoco; 3) consenso previo de proveedores: lo cubre el subagente de mercado, no consultado aquí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1S23, 2S23,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semestrales 2023-2024: PDF escaneados, sin texto; 2) informe semestral 2025: solo compara con 1S24 en cifras clave sin BPA; 3) derivar de beneficio/acciones: no se extrajo el beneficio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5.3 de 2025: da vencimientos por línea, no vida media; 2) informe semestral 2026: líneas con vencimiento 2027 (ampliable); 3) cálculo: toda la deuda bancaria vence en dic-2027 salvo extensión, así que la vida media a jun-26 sería ≈1,5 años (no se fija por la opción de extensión)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2016-2019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AR2019: tres segmentos (Valves, Global Service, Industry) sin reexpresar; 2) AR2021: reexpresa solo 2020; 3) informe anual 2020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del AR2017: tabla con columnas mezcladas en el texto; 2) estado de flujos 2016: intereses pagados 10,6 M (incluye préstamos de accionistas previos a la salida a bolsa); 3) no se renderizó la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margen EBITDA al USD/CHF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riesgo de divisa del AR2025: solo sensibilidad de activos/pasivos financieros (5 % → 5,7 M por el USD); 2) presentaciones FY25 y 1S26: solo efecto realizado (+0,7 y +1,8 p.p.); 3) notas de prensa 1T26/1S26: efecto a tipo constante, sin regla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(nombre de los tres mayores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«Major customers» y nota de riesgo de crédito de las cuentas 2025: dan el peso (16/14/13 %) pero no el nombre; 2) informe anual 2025 completo (grep de Applied, Lam, Tokyo Electron, ASML): solo los nombra como OEM de la cadena, no como clientes con su peso; 3) búsqueda web de prensa y analistas: solo la nota de 2019 del premio de proveedor de Lam Research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VAT: solo da su propia cuota (≈70 %, y 77 % en otro apartado), sin la de los rivales; 2) presentación del 1S26 y ficha del informe de TBRC: listas de fabricantes sin cuotas; 3) intento de derivarlo con las ventas de válvulas de los rivales: Presys solo publica 2022, y V-Tex e Irie Koken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mercado de válvulas de vacío para semiconductores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presentación del 1S26 de VAT: no dan el tamaño de su mercado accesible; 2) estudios de mercado gratuitos (TBRC): solo todas las válvulas de vacío, 2025-2026 y 2030; 3) estimación propia de 2025 con las ventas de VAT y su cuota; la serie del informe usa las ventas de equipos de SEMI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TSMC, Samsung, Micron y SK Hynix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guía de capex 2026 de TSMC (resultados del 2T26): solo resúmenes de prensa; 2) descarga de un análisis de VanEck sobre la llamada del 2T26: fallo de conexión; 3) se usa en su lugar el capex de hiperescaladores que publica VAT y la previsión de SEMI por tipo de memoria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Atlas Copco, MKS y KITZ: no desglosan ventas de válvulas de vacío; 2) nota de compra de Presys: solo ventas de 2022; 3) estudios de mercado gratuitos: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puntuación numérica de Sustainalytics y fecha de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«riesgo medio» y «AAA» sin puntuación ni fecha; 2) página pública de Sustainalytics: no muestra la puntuación sin acceso; 3) búsqueda web: solo resúmenes con valores dispares (23,8 y 24,84),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 (desglose oficial de 2024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oficiales de las juntas de 2024 y 2026 en vatgroup.com (rutas probadas con varios nombres: 404; solo existe la de 2025); 2) notas de prensa de las juntas de 2024 y 2026 (solo dicen «amplia mayoría»); 3) registro de voto de la Migros-Pensionskasse con el % a favor redondeado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gobierno y de remuneración de 2024 (para comparar)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vatgroup.com/.../annual-report/2024/corporate-governance.pdf y compensation-report.pdf (404); 2) otras variantes de nombre en la misma carpeta (404); 3) se usan las cifras comparativas de 2024 que trae el informe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anuales en vatgroup.com (las anteriores a 2022 no siguen el patrón de URL); 2) ir.vatvalve.com (solo se localizó la de 2021, que da la guía de 2022); 3) presupuesto agotado antes de buscar las de 2020 y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accionistas.pct de BlackRock y Rudolf Maag actualizados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SIX de participaciones significativas filtrado desde 2023 (sin notificaciones nuevas de ninguno); 2) informe de gobierno 2025 (BlackRock según notificación de 2021; Maag según registro de acciones); 3) no hay fuente pública más reciente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Suiza no tiene registro público de posiciones cortas netas (ni SIX ni FINMA las publican); 2) Stock Analysis: «Short % of Float n/a» para VACN [87]; 3) MarketScreener no publica préstamo de valores ni cortos de VAT [84]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consensus: el gráfico de revisiones no trae cifras en texto [84, 85]; 2) Stock Analysis forecast: solo la tendencia de recomendaciones de abril a septiembre [86]; 3) titulares de cambios de precio objetivo en MarketScreener, sin las estimaciones anteriores [85]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Busch-Pfeiffer Vacuum (2023-24): valor empresa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buscó el documento de oferta (BaFin/Pfeiffer) por presupuesto; 2) no intentado; 3) no intentado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Entegris-CMC Materials: EV/ventas y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15-dic-2021: solo da el valor empresa (≈ 6.500 M USD) y el EBITDA pro forma combinado [94]; 2) no se abrió el 10-K de CMC por presupuesto; 3) no se toma el múltiplo de la prensa (lección de los múltiplos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múltiplos estimados de 2026-2027 [84]; 2) Stock Analysis no da NTM históricos gratis [87]; 3) reconstruirlos exige el consenso histórico,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 Consolidated financial statements (con notas e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 (estados consolidados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https://www.vatgroup.com/uploads/financial_reports/2024/VAT-Group-Complete-Annual-Report-2023.pdf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(estados consolidados 2021 y 2020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https://www.vatgroup.com/uploads/financial_reports/2022/VAT-Group-Complete-Annual-Report-2021.pdf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(estados consolidados 2019 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https://www.vatgroup.com/files/live/sites/vat/files/financial_reports/2020/vat-annual-report-2019.pdf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(estados consolidados 2017 y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https://www.vatgroup.com/files/live/sites/vat/files/financial_reports/2018/vat-group-annual-report-2017.pdf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https://www.vatgroup.com/files/live/sites/vat/files/Investor%20relations/half-year-report/2026/vat-half-year-report-2026-en.pdf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&amp; Acquisition of Atonarp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https://www.vatgroup.com/files/live/sites/vat/files/Investor%20relations/half-year-report/2026/vat-q2-half-year-2026-presentation.pdf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https://www.vatgroup.com/files/live/sites/vat/files/Investor%20relations/annual-report/2025/vat-media-release-full-year-2025-results-en.pdf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https://www.vatgroup.com/files/live/sites/vat/files/Investor%20relations/half-year-report/2026/vat-media-release-half-year-2026-results-en.pdf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Acquisition of Atonarp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https://www.vatgroup.com/files/live/sites/vat/files/Investor%20relations/half-year-report/2026/vat-media-release-acquisition-atonarp.pdf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https://www.vatgroup.com/uploads/financial-reports/2025/vat-half-year-report-2025.pdf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https://www.vatgroup.com/uploads/financial_reports/2022/vat-full-year-2021-media-release.pdf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2018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https://www.vatgroup.com/files/live/sites/vat/files/financial_reports/2019/vat-full-year-results-2018---media-release.pdf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https://www.vatgroup.com/files/live/sites/vat/files/Investor%20relations/annual-report/2025/full-year-2025-results-presentation.pdf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https://www.vatgroup.com/files/live/sites/vat/files/financial_reports/2019/vat-media-release-on-q1-2019-trading-update.pdf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https://www.vatgroup.com/files/live/sites/vat/files/financial_reports/2019/vat-media-release---half-year-2019-results.pdf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https://www.vatgroup.com/files/live/sites/vat/files/financial_reports/2019/vat-media-release-on-q3-2019-trading-update.pdf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https://www.vatgroup.com/files/live/sites/vat/files/financial_reports/2020/vat-full-year-results-2019---media-release.pdf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https://www.vatgroup.com/files/live/sites/vat/files/financial_reports/2020/vat-media-release-on-q1-2020-trading-update.pdf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https://www.vatgroup.com/files/live/sites/vat/files/financial_reports/2020/vat-media-release---half-year-2020-results.pdf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https://www.vatgroup.com/files/live/sites/vat/files/financial_reports/2020/vat-media-release-on-q3-2020-trading-update.pdf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https://www.vatgroup.com/files/live/sites/vat/files/financial_reports/2021/vat-full-year-2020-media-release.pdf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https://www.vatgroup.com/files/live/sites/vat/files/financial_reports/2021/vat-media-release-on-q1-2021-trading-update.pdf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https://www.vatgroup.com/files/live/sites/vat/files/financial_reports/2021/vat-media-release-on-half-year-results-2021.pdf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https://www.vatgroup.com/files/live/sites/vat/files/financial_reports/2021/vat-media-release-on-q3-2021-trading-update.pdf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https://www.vatgroup.com/uploads/financial_reports/2022/VAT_Media_Release_on_Q1_2022_Trading_Update.pdf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https://www.vatgroup.com/uploads/financial_reports/2022/VAT_Media_Release_on_H1_2022_Results.pdf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https://www.vatgroup.com/uploads/financial_reports/2022/vat-media-release-on-q3-2022-trading-update.pdf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https://www.vatgroup.com/uploads/financial_reports/2023/vat-full-year-2022-media-release.pdf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https://www.vatgroup.com/uploads/financial_reports/2023/VAT_Media_Release_on_Q1_2023_Trading_Update.pdf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https://www.vatgroup.com/uploads/financial_reports/2023/VAT_Media_Release_on_H1_2023_Results.pdf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https://www.vatgroup.com/uploads/financial_reports/2023/VAT_Media_Release_on_Q3_2023_Trading_Update.pdf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https://www.vatgroup.com/uploads/financial_reports/2024/vat-full-year-2023-media-release.pdf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https://www.vatgroup.com/uploads/financial_reports/2024/Q1/VAT_Media_Release_on_Q1_2024_Trading_Update.pdf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https://www.vatgroup.com/uploads/financial_reports/2024/VAT_Media_Release_on_H1_2024_Results.pdf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https://www.vatgroup.com/uploads/financial_reports/2024/VAT_Media_Release_on_Q3_2024_Trading_Update.pdf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https://www.vatgroup.com/files/live/sites/vat/files/Investor%20relations/Annual%20Report%202024/VAT%20Media%20Release%20on%20Full-Year%202024%20Results.pdf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https://www.vatgroup.com/files/live/sites/vat/files/financial_reports/2025/VAT%20media%20release%20on%20Q1%202025%20trading%20update.pdf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https://www.vatgroup.com/uploads/financial_reports/2025/vat-media-release-half-year-2025-results.pdf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https://www.vatgroup.com/uploads/financial_reports/2025/vat-media-release-q3-2025-results-en.pdf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Q4 2025 preliminary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https://www.vatgroup.com/uploads/financial_reports/2025/media-release-q4-2025-preliminary-results-en.pdf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sales expectations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https://www.vatgroup.com/uploads/financial_reports/2026/vat-media-release-q1-2026-sales-expectations.pdf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 (nota 2.1 de segmentos y clientes principales; nota de riesgo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https://www.vatgroup.com/files/live/sites/vat/files/Investor%20relations/annual-report/2025/financial-statement.pdf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Reports Global Semiconductor Equipment Billings Reached $135 Billion in 2025, Up 15% Year-on-Year (nota de prensa,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https://aapnews.aap.com.au/news/cision20260407AE27726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(Mid-Year Total Semiconductor Equipment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https://www.prnewswire.com/news-releases/global-semiconductor-equipment-sales-forecast-to-reach-a-record-229-billion-in-2028-semi-reports-302824184.html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Projected to Reach a Record of $156 Billion in 2027 (Year-End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https://tools.prnewswire.com/en-us/live/20813/release/20251216EN45080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Slip to $106.3 Billion in 2023 (nota de prensa reproducida por EMSNow)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https://www.emsnow.com/?p=40949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Reach Industry Record $107.6 Billion in 2022 (PR Newswire vía 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https://www.aap.com.au/aapreleases/cision20230412ae67564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Global Semiconductor Equipment Sales Surge 44% to Industry Record $102.6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https://design-reuse.com/news/news51762.html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Global Semiconductor Equipment Sales Surge 19% to Industry Record $71.2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https://www.design-reuse.com/news/news49817.html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Schertler, Siegfried (Dictionnaire historique de la Suisse)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Dictionnaire historique de la Suisse (DHS)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https://hls-dhs-dss.ch/fr/articles/031119/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Holding sold to Capvis and Partners Group (operación asesorada)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Lenz &amp; Staehelin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https://www.lenzstaehelin.com/news-and-insights/browse-deals-and-cases/dealscases-detail/vat-holding-sold-to-capvis-and-partners-group/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receives Lam Research's 2019 Supplier Excellence Award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https://www.vatgroup.com/files/live/sites/vat/files/Investor%20relations/News%20pdf%20Investor%20Relations/en/vat-media-release-on-lam-research-2019-supplier-excellence-award.pdf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of semiconductor manufacturing equipment declined 46% in 2009 (datos de SEMI)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https://evertiq.com/news/16409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Vacuum Valve Global Market Report 2026 (ficha del informe de The Business Research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https://m.giikorea.co.kr/report/tbrc1818838-vacuum-valve-global-market-report.html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Commerce Strengthens Export Controls to Restrict China's Capability to Produce Advanced Semiconductors for Military Applications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Bureau of Industry 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https://www.bis.gov/press-release/commerce-strengthens-export-controls-restrict-chinas-capability-produce-advanced-semiconductors-military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acquire a Korean semiconductor valve manufacturer (Presys)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https://www.atlascopcogroup.com/content/dam/corporate/cision/20231030_Atlas_Copco_to_acquire_a_Korean_semiconductor_valve_manufacturer.pdf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and the Netherlands Announce Plans for New Export Controls on Semiconductor 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https://www.csis.org/analysis/japan-and-netherlands-announce-plans-new-export-controls-semiconductor-equipment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report (Vacuum Technique, enero-diciembre)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https://www.atlascopcogroup.com/content/dam/atlas-copco/group/documents/investors/financial-publications/english/20260127-en-q4-2025-et.pdf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 datos XBRL del 10-K 2025 (ingresos y resultado de explotación)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https://data.sec.gov/api/xbrl/companyfacts/CIK0001049502.json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https://data.sec.gov/api/xbrl/companyfacts/CIK0001275014.json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Ichor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https://data.sec.gov/api/xbrl/companyfacts/CIK0001652535.json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KITZ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https://www.bridge-salon.jp/upload/tekiji_pdf/T~~64980~000000~4302~0~20260212~1530~20260210554650G.pdf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 Report: KITZ Corporation (6498),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Bridge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https://www.bridge-salon.jp/report_bridge/archives/eng/6498/20260401.html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Corporate Governance Report (pp. 52-79)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https://www.vatgroup.com/files/live/sites/vat/files/Investor%20relations/annual-report/2025/corporate-governance.pdf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Compensation Report (pp. 80-105)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AGM 2025 of VAT Group AG (29-abr-2025)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https://www.vatgroup.com/files/live/sites/vat/files/Investor%20relations/General%20Meeting/2025/annual-general-meeting-2025-minutes.pdf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VAT Group AG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https://mailing-ircockpit.eqs.com/crm-mailing/5c28f07e-ea7c-11e8-902f-2c44fd856d8c/4eb72d90-880a-473c-8bae-48dbe43c2193/1b5da31b-f44d-407e-9229-0bd2a214817d/Media+Release+on+VAT+2026+AGM+Results.pdf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28.04.2026: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https://www.mpk.ch/_file/10298/vat-group-ag.pdf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14.05.2024: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https://www.mpk.ch/_file/9443/vat-group-ag.pdf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(VAT Group AG, 6-oct-2025 a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https://www.ser-ag.com/en/resources/notifications-market-participants/management-transactions.html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Significant shareholders: notificaciones de VAT Group AG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https://www.ser-ag.com/en/resources/notifications-market-participants/significant-shareholders.html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announces change in the Group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https://www.vatgroup.com/news/vat-gibt-ver-nderung-in-der-gesch-ftsleitung-bekannt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Kapitalmarkttag 2025 der VAT Group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https://production-vat.aws-eu-west-1.j.jahia.com/news/kapitalmarkttag-2025-der-vat-group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Very strong order intake in the first quarter as conflict delayed revenue recognition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https://www.vatgroup.com/ja/news/sehr-starker-auftragseingang-im-ersten-quartal-umsatzrealisierun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News: listado de noticias y hechos relevantes (sep-2025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VACN.SW, CHSPI.SW y SMH (herramientas/bolsa.mjs, notas/bolsa.json)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https://finance.yahoo.com/quote/VACN.SW/history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Financial Data Forecasts Estimates and Expectations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(consenso y datos anuales)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https://www.marketscreener.com/quote/stock/MKS-INC-10037/finances/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(ROIC de los últimos 12 meses)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6-oct-2026 de MKSI, UCTT, ICHR, AMAT, LRCX, ASM.AS, COTN.SW e IFCN.SW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https://finance.yahoo.com/quote/MKSI/history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to Acquire Atotech (nota de prensa, 8-K ex. 99.1) y presentación a inversores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https://www.sec.gov/Archives/edgar/data/1049502/000119312521205463/d167149dex991.htm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to sell semiconductor automation business to Thomas H. Lee Partners (nota y presentación, 8-K ex. 99.1-99.2)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https://www.sec.gov/Archives/edgar/data/933974/000155837021012655/brks-20210920xex99d2.htm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to acquire Ham-Let (presentación,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https://www.sec.gov/Archives/edgar/data/1275014/000095010321002626/dp146472_ex9901.htm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to acquire CMC Materials (nota de prensa,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https://www.sec.gov/Archives/edgar/data/1101302/000114036121041690/ny20001665x1_ex99-1.htm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94,6 %</w:t>
      </w:r>
      <w:r>
        <w:t xml:space="preserve"> · Secciones con menos del 60 % de campos cubiertos: </w:t>
      </w:r>
      <w:r>
        <w:rPr>
          <w:b/>
          <w:bCs/>
        </w:rPr>
        <w:t xml:space="preserve">ninguna</w:t>
      </w:r>
      <w:r>
        <w:t xml:space="preserve"> · Generado el 6 oct 2026.</w:t>
      </w:r>
    </w:p>
    <w:p>
      <w:pPr>
        <w:pStyle w:val="Nota"/>
        <w:spacing w:after="100"/>
      </w:pPr>
      <w:r>
        <w:t xml:space="preserve">Una sola línea cotizada (SIX: VACN) y cuentas en CHF, en NIIF (la nota de bases de preparación de 2025 lo dice expresamente; VAT no usa Swiss GAAP FER) [1]. La cuenta va por naturaleza: el «coste de ventas» son materias primas y consumibles ± variación de existencias, y el margen bruto es el de la empresa. 2020 está reexpresado por el cambio contable de los servicios en la nube; los segmentos solo existen con la definición vigente (Valves y Global Service) desde 2020. VAT publica EBITDA por semestre: los «trimestres» del informe son semestres, y la serie trimestral de pedidos, ventas y cartera va en el texto. Los comparables se han convertido a CHF al tipo del BCE del 6-oct-2026 (1 USD = 0,8305 CHF); los competidores, al mismo tipo. La compra de Atonarp (≈ 110 M CHF, cierre previsto en el 3T26 y sin confirmar al corte) no está en el puente ni en el DCF. No hay transcripciones gratuitas de las conferencias, ni historia gratuita de las estimaciones del consenso, ni múltiplos históricos de los próximos 12 meses; las calificaciones ESG salen del informe anual. Fecha de corte: 6-oct-2026 a las 23:00, con la sesión suiza cerrada (precio de cierre de ese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VAT Group AG (VACN)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Transacciones precedentes (EV/EBITDA) (161,65 – 192,64)</c:v>
                </c:pt>
                <c:pt idx="5">
                  <c:v>DCF (WACC y g ± 0,5) (203,29 – 264,91)</c:v>
                </c:pt>
                <c:pt idx="6">
                  <c:v>Escenarios (bajista – alcista) (148,36 – 349,49)</c:v>
                </c:pt>
                <c:pt idx="7">
                  <c:v>Precio actual (698,20)</c:v>
                </c:pt>
              </c:strCache>
            </c:strRef>
          </c:cat>
          <c:val>
            <c:numRef>
              <c:f>Hoja1!$B$2:$B$9</c:f>
              <c:numCache>
                <c:formatCode>#,##0</c:formatCode>
                <c:ptCount val="8"/>
                <c:pt idx="0">
                  <c:v>305.1</c:v>
                </c:pt>
                <c:pt idx="1">
                  <c:v>390</c:v>
                </c:pt>
                <c:pt idx="2">
                  <c:v>282.56</c:v>
                </c:pt>
                <c:pt idx="3">
                  <c:v>409.98</c:v>
                </c:pt>
                <c:pt idx="4">
                  <c:v>161.65</c:v>
                </c:pt>
                <c:pt idx="5">
                  <c:v>203.29</c:v>
                </c:pt>
                <c:pt idx="6">
                  <c:v>148.36</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Transacciones precedentes (EV/EBITDA) (161,65 – 192,64)</c:v>
                </c:pt>
                <c:pt idx="5">
                  <c:v>DCF (WACC y g ± 0,5) (203,29 – 264,91)</c:v>
                </c:pt>
                <c:pt idx="6">
                  <c:v>Escenarios (bajista – alcista) (148,36 – 349,49)</c:v>
                </c:pt>
                <c:pt idx="7">
                  <c:v>Precio actual (698,20)</c:v>
                </c:pt>
              </c:strCache>
            </c:strRef>
          </c:cat>
          <c:val>
            <c:numRef>
              <c:f>Hoja1!$C$2:$C$9</c:f>
              <c:numCache>
                <c:formatCode>#,##0</c:formatCode>
                <c:ptCount val="8"/>
                <c:pt idx="0">
                  <c:v>422.1</c:v>
                </c:pt>
                <c:pt idx="1">
                  <c:v>470</c:v>
                </c:pt>
                <c:pt idx="2">
                  <c:v>236.72999999999996</c:v>
                </c:pt>
                <c:pt idx="3">
                  <c:v>81.22999999999996</c:v>
                </c:pt>
                <c:pt idx="4">
                  <c:v>30.98999999999998</c:v>
                </c:pt>
                <c:pt idx="5">
                  <c:v>61.62000000000003</c:v>
                </c:pt>
                <c:pt idx="6">
                  <c:v>201.13</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Valves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565.1</c:v>
                </c:pt>
                <c:pt idx="1">
                  <c:v>729.2</c:v>
                </c:pt>
                <c:pt idx="2">
                  <c:v>932.7</c:v>
                </c:pt>
                <c:pt idx="3">
                  <c:v>712.4</c:v>
                </c:pt>
                <c:pt idx="4">
                  <c:v>774.7</c:v>
                </c:pt>
                <c:pt idx="5">
                  <c:v>874.7</c:v>
                </c:pt>
              </c:numCache>
            </c:numRef>
          </c:val>
        </c:ser>
        <c:ser>
          <c:idx val="1"/>
          <c:order val="1"/>
          <c:tx>
            <c:strRef>
              <c:f>Hoja1!$C$1</c:f>
              <c:strCache>
                <c:ptCount val="1"/>
                <c:pt idx="0">
                  <c:v>Global Service</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127.3</c:v>
                </c:pt>
                <c:pt idx="1">
                  <c:v>172</c:v>
                </c:pt>
                <c:pt idx="2">
                  <c:v>212.7</c:v>
                </c:pt>
                <c:pt idx="3">
                  <c:v>172.9</c:v>
                </c:pt>
                <c:pt idx="4">
                  <c:v>167.5</c:v>
                </c:pt>
                <c:pt idx="5">
                  <c:v>198.8</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Valves</c:v>
                </c:pt>
                <c:pt idx="1">
                  <c:v>Global Service</c:v>
                </c:pt>
                <c:pt idx="2">
                  <c:v>Corporativo y eliminaciones</c:v>
                </c:pt>
              </c:strCache>
            </c:strRef>
          </c:cat>
          <c:val>
            <c:numRef>
              <c:f>Hoja1!$B$2:$B$4</c:f>
              <c:numCache>
                <c:formatCode>General</c:formatCode>
                <c:ptCount val="3"/>
                <c:pt idx="0">
                  <c:v>81.5</c:v>
                </c:pt>
                <c:pt idx="1">
                  <c:v>18.5</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Asia</c:v>
                </c:pt>
                <c:pt idx="1">
                  <c:v>Américas</c:v>
                </c:pt>
                <c:pt idx="2">
                  <c:v>EMEA</c:v>
                </c:pt>
              </c:strCache>
            </c:strRef>
          </c:cat>
          <c:val>
            <c:numRef>
              <c:f>Hoja1!$B$2:$B$4</c:f>
              <c:numCache>
                <c:formatCode>0"%"</c:formatCode>
                <c:ptCount val="3"/>
                <c:pt idx="0">
                  <c:v>72.6</c:v>
                </c:pt>
                <c:pt idx="1">
                  <c:v>15.2</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(ventas mundiales de equipos de fabricación de semiconductores, SEMI; 2026e es previsión de julio de 2026))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59.8</c:v>
                </c:pt>
                <c:pt idx="1">
                  <c:v>71.2</c:v>
                </c:pt>
                <c:pt idx="2">
                  <c:v>102.6</c:v>
                </c:pt>
                <c:pt idx="3">
                  <c:v>107.6</c:v>
                </c:pt>
                <c:pt idx="4">
                  <c:v>106.3</c:v>
                </c:pt>
                <c:pt idx="5">
                  <c:v>117.1</c:v>
                </c:pt>
                <c:pt idx="6">
                  <c:v>135.1</c:v>
                </c:pt>
                <c:pt idx="7">
                  <c:v>165.9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VAT</c:v>
                </c:pt>
                <c:pt idx="1">
                  <c:v>Atlas Copco – Vacuum Technique (Edwards, Leybold, Presys)</c:v>
                </c:pt>
                <c:pt idx="2">
                  <c:v>MKS Inc. (MKS Instruments)</c:v>
                </c:pt>
                <c:pt idx="3">
                  <c:v>KITZ Corporation (KITZ SCT)</c:v>
                </c:pt>
                <c:pt idx="4">
                  <c:v>Ultra Clean Holdings</c:v>
                </c:pt>
                <c:pt idx="5">
                  <c:v>Ichor Holdings</c:v>
                </c:pt>
              </c:strCache>
            </c:strRef>
          </c:cat>
          <c:val>
            <c:numRef>
              <c:f>Hoja1!$B$2:$B$7</c:f>
              <c:numCache>
                <c:formatCode>0.0"%"</c:formatCode>
                <c:ptCount val="6"/>
                <c:pt idx="0">
                  <c:v>25.4</c:v>
                </c:pt>
                <c:pt idx="1">
                  <c:v>18.4</c:v>
                </c:pt>
                <c:pt idx="2">
                  <c:v>13.4</c:v>
                </c:pt>
                <c:pt idx="3">
                  <c:v>8.7</c:v>
                </c:pt>
                <c:pt idx="4">
                  <c:v>-5.2</c:v>
                </c:pt>
                <c:pt idx="5">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507.9</c:v>
                </c:pt>
                <c:pt idx="1">
                  <c:v>692.4</c:v>
                </c:pt>
                <c:pt idx="2">
                  <c:v>698.1</c:v>
                </c:pt>
                <c:pt idx="3">
                  <c:v>570.4</c:v>
                </c:pt>
                <c:pt idx="4">
                  <c:v>692.4</c:v>
                </c:pt>
                <c:pt idx="5">
                  <c:v>901.2</c:v>
                </c:pt>
                <c:pt idx="6">
                  <c:v>1145.5</c:v>
                </c:pt>
                <c:pt idx="7">
                  <c:v>885.3</c:v>
                </c:pt>
                <c:pt idx="8">
                  <c:v>942.2</c:v>
                </c:pt>
                <c:pt idx="9">
                  <c:v>1073.5</c:v>
                </c:pt>
                <c:pt idx="10">
                  <c:v>1327</c:v>
                </c:pt>
                <c:pt idx="11">
                  <c:v>1831</c:v>
                </c:pt>
                <c:pt idx="12">
                  <c:v>2051</c:v>
                </c:pt>
                <c:pt idx="13">
                  <c:v>1743</c:v>
                </c:pt>
                <c:pt idx="14">
                  <c:v>1830</c:v>
                </c:pt>
                <c:pt idx="15">
                  <c:v>1977</c:v>
                </c:pt>
                <c:pt idx="16">
                  <c:v>2115</c:v>
                </c:pt>
                <c:pt idx="17">
                  <c:v>2242</c:v>
                </c:pt>
                <c:pt idx="18">
                  <c:v>2332</c:v>
                </c:pt>
                <c:pt idx="19">
                  <c:v>2390</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149.6</c:v>
                </c:pt>
                <c:pt idx="1">
                  <c:v>212.2</c:v>
                </c:pt>
                <c:pt idx="2">
                  <c:v>215.2</c:v>
                </c:pt>
                <c:pt idx="3">
                  <c:v>154</c:v>
                </c:pt>
                <c:pt idx="4">
                  <c:v>210.5</c:v>
                </c:pt>
                <c:pt idx="5">
                  <c:v>307.9</c:v>
                </c:pt>
                <c:pt idx="6">
                  <c:v>400.4</c:v>
                </c:pt>
                <c:pt idx="7">
                  <c:v>270.9</c:v>
                </c:pt>
                <c:pt idx="8">
                  <c:v>293.7</c:v>
                </c:pt>
                <c:pt idx="9">
                  <c:v>321.6</c:v>
                </c:pt>
                <c:pt idx="10">
                  <c:v>438</c:v>
                </c:pt>
                <c:pt idx="11">
                  <c:v>659</c:v>
                </c:pt>
                <c:pt idx="12">
                  <c:v>759</c:v>
                </c:pt>
                <c:pt idx="13">
                  <c:v>549</c:v>
                </c:pt>
                <c:pt idx="14">
                  <c:v>604</c:v>
                </c:pt>
                <c:pt idx="15">
                  <c:v>672</c:v>
                </c:pt>
                <c:pt idx="16">
                  <c:v>730</c:v>
                </c:pt>
                <c:pt idx="17">
                  <c:v>773</c:v>
                </c:pt>
                <c:pt idx="18">
                  <c:v>804</c:v>
                </c:pt>
                <c:pt idx="19">
                  <c:v>825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62.6</c:v>
                </c:pt>
                <c:pt idx="1">
                  <c:v>62.4</c:v>
                </c:pt>
                <c:pt idx="2">
                  <c:v>60.1</c:v>
                </c:pt>
                <c:pt idx="3">
                  <c:v>60.6</c:v>
                </c:pt>
                <c:pt idx="4">
                  <c:v>62.1</c:v>
                </c:pt>
                <c:pt idx="5">
                  <c:v>63.3</c:v>
                </c:pt>
                <c:pt idx="6">
                  <c:v>64.1</c:v>
                </c:pt>
                <c:pt idx="7">
                  <c:v>61.8</c:v>
                </c:pt>
                <c:pt idx="8">
                  <c:v>66.5</c:v>
                </c:pt>
                <c:pt idx="9">
                  <c:v>63.5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29.5</c:v>
                </c:pt>
                <c:pt idx="1">
                  <c:v>30.6</c:v>
                </c:pt>
                <c:pt idx="2">
                  <c:v>30.8</c:v>
                </c:pt>
                <c:pt idx="3">
                  <c:v>27</c:v>
                </c:pt>
                <c:pt idx="4">
                  <c:v>30.4</c:v>
                </c:pt>
                <c:pt idx="5">
                  <c:v>34.2</c:v>
                </c:pt>
                <c:pt idx="6">
                  <c:v>35</c:v>
                </c:pt>
                <c:pt idx="7">
                  <c:v>30.6</c:v>
                </c:pt>
                <c:pt idx="8">
                  <c:v>31.2</c:v>
                </c:pt>
                <c:pt idx="9">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23.3</c:v>
                </c:pt>
                <c:pt idx="1">
                  <c:v>25.8</c:v>
                </c:pt>
                <c:pt idx="2">
                  <c:v>25.7</c:v>
                </c:pt>
                <c:pt idx="3">
                  <c:v>18.9</c:v>
                </c:pt>
                <c:pt idx="4">
                  <c:v>24.5</c:v>
                </c:pt>
                <c:pt idx="5">
                  <c:v>29.4</c:v>
                </c:pt>
                <c:pt idx="6">
                  <c:v>31.4</c:v>
                </c:pt>
                <c:pt idx="7">
                  <c:v>25.8</c:v>
                </c:pt>
                <c:pt idx="8">
                  <c:v>26.6</c:v>
                </c:pt>
                <c:pt idx="9">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13.2</c:v>
                </c:pt>
                <c:pt idx="1">
                  <c:v>16.7</c:v>
                </c:pt>
                <c:pt idx="2">
                  <c:v>19.4</c:v>
                </c:pt>
                <c:pt idx="3">
                  <c:v>13.1</c:v>
                </c:pt>
                <c:pt idx="4">
                  <c:v>18.5</c:v>
                </c:pt>
                <c:pt idx="5">
                  <c:v>24.1</c:v>
                </c:pt>
                <c:pt idx="6">
                  <c:v>26.8</c:v>
                </c:pt>
                <c:pt idx="7">
                  <c:v>21.5</c:v>
                </c:pt>
                <c:pt idx="8">
                  <c:v>22.5</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-17.3</c:v>
                </c:pt>
                <c:pt idx="1">
                  <c:v>-27.7</c:v>
                </c:pt>
                <c:pt idx="2">
                  <c:v>-0.9</c:v>
                </c:pt>
                <c:pt idx="3">
                  <c:v>14.1</c:v>
                </c:pt>
                <c:pt idx="4">
                  <c:v>24.1</c:v>
                </c:pt>
                <c:pt idx="5">
                  <c:v>4.6</c:v>
                </c:pt>
                <c:pt idx="6">
                  <c:v>-8.3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65</c:v>
                </c:pt>
                <c:pt idx="2">
                  <c:v>50</c:v>
                </c:pt>
                <c:pt idx="3">
                  <c:v>62</c:v>
                </c:pt>
                <c:pt idx="4">
                  <c:v>50</c:v>
                </c:pt>
                <c:pt idx="5">
                  <c:v>50</c:v>
                </c:pt>
                <c:pt idx="6">
                  <c:v>52</c:v>
                </c:pt>
                <c:pt idx="7">
                  <c:v>45</c:v>
                </c:pt>
                <c:pt idx="8">
                  <c:v>55</c:v>
                </c:pt>
                <c:pt idx="9">
                  <c:v>43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84</c:v>
                </c:pt>
                <c:pt idx="2">
                  <c:v>79</c:v>
                </c:pt>
                <c:pt idx="3">
                  <c:v>74</c:v>
                </c:pt>
                <c:pt idx="4">
                  <c:v>79</c:v>
                </c:pt>
                <c:pt idx="5">
                  <c:v>94</c:v>
                </c:pt>
                <c:pt idx="6">
                  <c:v>112</c:v>
                </c:pt>
                <c:pt idx="7">
                  <c:v>112</c:v>
                </c:pt>
                <c:pt idx="8">
                  <c:v>139</c:v>
                </c:pt>
                <c:pt idx="9">
                  <c:v>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52</c:v>
                </c:pt>
                <c:pt idx="1">
                  <c:v>71</c:v>
                </c:pt>
                <c:pt idx="2">
                  <c:v>34</c:v>
                </c:pt>
                <c:pt idx="3">
                  <c:v>58</c:v>
                </c:pt>
                <c:pt idx="4">
                  <c:v>37</c:v>
                </c:pt>
                <c:pt idx="5">
                  <c:v>49</c:v>
                </c:pt>
                <c:pt idx="6">
                  <c:v>65</c:v>
                </c:pt>
                <c:pt idx="7">
                  <c:v>49</c:v>
                </c:pt>
                <c:pt idx="8">
                  <c:v>63</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116.60000000000001</c:v>
                </c:pt>
                <c:pt idx="1">
                  <c:v>103.9</c:v>
                </c:pt>
                <c:pt idx="2">
                  <c:v>119.19999999999999</c:v>
                </c:pt>
                <c:pt idx="3">
                  <c:v>132.4</c:v>
                </c:pt>
                <c:pt idx="4">
                  <c:v>140.29999999999998</c:v>
                </c:pt>
                <c:pt idx="5">
                  <c:v>190.70000000000002</c:v>
                </c:pt>
                <c:pt idx="6">
                  <c:v>221.00000000000003</c:v>
                </c:pt>
                <c:pt idx="7">
                  <c:v>177.1</c:v>
                </c:pt>
                <c:pt idx="8">
                  <c:v>177.59999999999997</c:v>
                </c:pt>
                <c:pt idx="9">
                  <c:v>222.39999999999998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67.2</c:v>
                </c:pt>
                <c:pt idx="1">
                  <c:v>115.7</c:v>
                </c:pt>
                <c:pt idx="2">
                  <c:v>135.7</c:v>
                </c:pt>
                <c:pt idx="3">
                  <c:v>74.8</c:v>
                </c:pt>
                <c:pt idx="4">
                  <c:v>127.9</c:v>
                </c:pt>
                <c:pt idx="5">
                  <c:v>217.4</c:v>
                </c:pt>
                <c:pt idx="6">
                  <c:v>306.8</c:v>
                </c:pt>
                <c:pt idx="7">
                  <c:v>190.3</c:v>
                </c:pt>
                <c:pt idx="8">
                  <c:v>211.8</c:v>
                </c:pt>
                <c:pt idx="9">
                  <c:v>214.3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c:v>
                </c:pt>
                <c:pt idx="1">
                  <c:v>22.8</c:v>
                </c:pt>
                <c:pt idx="2">
                  <c:v>20.7</c:v>
                </c:pt>
                <c:pt idx="3">
                  <c:v>11.8</c:v>
                </c:pt>
                <c:pt idx="4">
                  <c:v>21</c:v>
                </c:pt>
                <c:pt idx="5">
                  <c:v>32.2</c:v>
                </c:pt>
                <c:pt idx="6">
                  <c:v>40.4</c:v>
                </c:pt>
                <c:pt idx="7">
                  <c:v>25.7</c:v>
                </c:pt>
                <c:pt idx="8">
                  <c:v>25.3</c:v>
                </c:pt>
                <c:pt idx="9">
                  <c:v>26.1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8.1</c:v>
                </c:pt>
                <c:pt idx="2">
                  <c:v>8.1</c:v>
                </c:pt>
                <c:pt idx="3">
                  <c:v>8.1</c:v>
                </c:pt>
                <c:pt idx="4">
                  <c:v>8.1</c:v>
                </c:pt>
                <c:pt idx="5">
                  <c:v>8.1</c:v>
                </c:pt>
                <c:pt idx="6">
                  <c:v>8.1</c:v>
                </c:pt>
                <c:pt idx="7">
                  <c:v>8.1</c:v>
                </c:pt>
                <c:pt idx="8">
                  <c:v>8.1</c:v>
                </c:pt>
                <c:pt idx="9">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13.2</c:v>
                </c:pt>
                <c:pt idx="1">
                  <c:v>21.7</c:v>
                </c:pt>
                <c:pt idx="2">
                  <c:v>24.2</c:v>
                </c:pt>
                <c:pt idx="3">
                  <c:v>13.8</c:v>
                </c:pt>
                <c:pt idx="4">
                  <c:v>24</c:v>
                </c:pt>
                <c:pt idx="5">
                  <c:v>36.9</c:v>
                </c:pt>
                <c:pt idx="6">
                  <c:v>43.4</c:v>
                </c:pt>
                <c:pt idx="7">
                  <c:v>24.8</c:v>
                </c:pt>
                <c:pt idx="8">
                  <c:v>28</c:v>
                </c:pt>
                <c:pt idx="9">
                  <c:v>27.7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0.9</c:v>
                </c:pt>
                <c:pt idx="1">
                  <c:v>0.68</c:v>
                </c:pt>
                <c:pt idx="2">
                  <c:v>0.69</c:v>
                </c:pt>
                <c:pt idx="3">
                  <c:v>0.94</c:v>
                </c:pt>
                <c:pt idx="4">
                  <c:v>0.61</c:v>
                </c:pt>
                <c:pt idx="5">
                  <c:v>0.26</c:v>
                </c:pt>
                <c:pt idx="6">
                  <c:v>0.09</c:v>
                </c:pt>
                <c:pt idx="7">
                  <c:v>0.23</c:v>
                </c:pt>
                <c:pt idx="8">
                  <c:v>0.28</c:v>
                </c:pt>
                <c:pt idx="9">
                  <c:v>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200</c:v>
                </c:pt>
                <c:pt idx="1">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1.6</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119.9</c:v>
                </c:pt>
                <c:pt idx="2">
                  <c:v>119.9</c:v>
                </c:pt>
                <c:pt idx="3">
                  <c:v>119.9</c:v>
                </c:pt>
                <c:pt idx="4">
                  <c:v>120</c:v>
                </c:pt>
                <c:pt idx="5">
                  <c:v>135</c:v>
                </c:pt>
                <c:pt idx="6">
                  <c:v>165</c:v>
                </c:pt>
                <c:pt idx="7">
                  <c:v>187.4</c:v>
                </c:pt>
                <c:pt idx="8">
                  <c:v>187.4</c:v>
                </c:pt>
                <c:pt idx="9">
                  <c:v>187.4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c:v>
                </c:pt>
                <c:pt idx="1">
                  <c:v>0</c:v>
                </c:pt>
                <c:pt idx="2">
                  <c:v>0</c:v>
                </c:pt>
                <c:pt idx="3">
                  <c:v>0</c:v>
                </c:pt>
                <c:pt idx="4">
                  <c:v>0.1</c:v>
                </c:pt>
                <c:pt idx="5">
                  <c:v>4.3</c:v>
                </c:pt>
                <c:pt idx="6">
                  <c:v>4.5</c:v>
                </c:pt>
                <c:pt idx="7">
                  <c:v>5.7</c:v>
                </c:pt>
                <c:pt idx="8">
                  <c:v>7</c:v>
                </c:pt>
                <c:pt idx="9">
                  <c:v>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Rudolf Maag</c:v>
                </c:pt>
                <c:pt idx="1">
                  <c:v>UBS Fund Management (Switzerland) AG</c:v>
                </c:pt>
                <c:pt idx="2">
                  <c:v>BlackRock, Inc.</c:v>
                </c:pt>
                <c:pt idx="3">
                  <c:v>Autocartera</c:v>
                </c:pt>
              </c:strCache>
            </c:strRef>
          </c:cat>
          <c:val>
            <c:numRef>
              <c:f>Hoja1!$B$2:$B$5</c:f>
              <c:numCache>
                <c:formatCode>0.0"%"</c:formatCode>
                <c:ptCount val="4"/>
                <c:pt idx="0">
                  <c:v>10</c:v>
                </c:pt>
                <c:pt idx="1">
                  <c:v>6.57</c:v>
                </c:pt>
                <c:pt idx="2">
                  <c:v>5.72</c:v>
                </c:pt>
                <c:pt idx="3">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75.8</c:v>
                </c:pt>
                <c:pt idx="1">
                  <c:v>-38.5</c:v>
                </c:pt>
                <c:pt idx="2">
                  <c:v>96</c:v>
                </c:pt>
                <c:pt idx="3">
                  <c:v>38.5</c:v>
                </c:pt>
                <c:pt idx="4">
                  <c:v>109.5</c:v>
                </c:pt>
                <c:pt idx="5">
                  <c:v>-43.2</c:v>
                </c:pt>
                <c:pt idx="6">
                  <c:v>70.1</c:v>
                </c:pt>
                <c:pt idx="7">
                  <c:v>-17.6</c:v>
                </c:pt>
                <c:pt idx="8">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19</c:v>
                </c:pt>
                <c:pt idx="1">
                  <c:v>-8.3</c:v>
                </c:pt>
                <c:pt idx="2">
                  <c:v>30.4</c:v>
                </c:pt>
                <c:pt idx="3">
                  <c:v>7.1</c:v>
                </c:pt>
                <c:pt idx="4">
                  <c:v>26.2</c:v>
                </c:pt>
                <c:pt idx="5">
                  <c:v>-15.1</c:v>
                </c:pt>
                <c:pt idx="6">
                  <c:v>7</c:v>
                </c:pt>
                <c:pt idx="7">
                  <c:v>7.8</c:v>
                </c:pt>
                <c:pt idx="8">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16.7</c:v>
                </c:pt>
                <c:pt idx="1">
                  <c:v>21.1</c:v>
                </c:pt>
                <c:pt idx="2">
                  <c:v>12.7</c:v>
                </c:pt>
                <c:pt idx="3">
                  <c:v>32.8</c:v>
                </c:pt>
                <c:pt idx="4">
                  <c:v>32.1</c:v>
                </c:pt>
                <c:pt idx="5">
                  <c:v>44.6</c:v>
                </c:pt>
                <c:pt idx="6">
                  <c:v>19</c:v>
                </c:pt>
                <c:pt idx="7">
                  <c:v>46.9</c:v>
                </c:pt>
                <c:pt idx="8">
                  <c:v>35.3</c:v>
                </c:pt>
                <c:pt idx="9">
                  <c:v>36.3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32.5</c:v>
                </c:pt>
                <c:pt idx="1">
                  <c:v>32.5</c:v>
                </c:pt>
                <c:pt idx="2">
                  <c:v>32.5</c:v>
                </c:pt>
                <c:pt idx="3">
                  <c:v>32.5</c:v>
                </c:pt>
                <c:pt idx="4">
                  <c:v>32.5</c:v>
                </c:pt>
                <c:pt idx="5">
                  <c:v>32.5</c:v>
                </c:pt>
                <c:pt idx="6">
                  <c:v>32.5</c:v>
                </c:pt>
                <c:pt idx="7">
                  <c:v>32.5</c:v>
                </c:pt>
                <c:pt idx="8">
                  <c:v>32.5</c:v>
                </c:pt>
                <c:pt idx="9">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VAT</c:v>
                </c:pt>
                <c:pt idx="1">
                  <c:v>MKS Inc.</c:v>
                </c:pt>
                <c:pt idx="2">
                  <c:v>Ultra Clean Holdings</c:v>
                </c:pt>
                <c:pt idx="3">
                  <c:v>Ichor Holdings</c:v>
                </c:pt>
                <c:pt idx="4">
                  <c:v>Applied Materials</c:v>
                </c:pt>
                <c:pt idx="5">
                  <c:v>Lam Research</c:v>
                </c:pt>
                <c:pt idx="6">
                  <c:v>ASM International</c:v>
                </c:pt>
                <c:pt idx="7">
                  <c:v>Comet Holding</c:v>
                </c:pt>
                <c:pt idx="8">
                  <c:v>Inficon Holding</c:v>
                </c:pt>
              </c:strCache>
            </c:strRef>
          </c:cat>
          <c:val>
            <c:numRef>
              <c:f>Hoja1!$B$2:$B$10</c:f>
              <c:numCache>
                <c:formatCode>0.0"x"</c:formatCode>
                <c:ptCount val="9"/>
                <c:pt idx="0">
                  <c:v>33.9</c:v>
                </c:pt>
                <c:pt idx="1">
                  <c:v>13</c:v>
                </c:pt>
                <c:pt idx="2">
                  <c:v>7.9</c:v>
                </c:pt>
                <c:pt idx="3">
                  <c:v>14.3</c:v>
                </c:pt>
                <c:pt idx="4">
                  <c:v>25.1</c:v>
                </c:pt>
                <c:pt idx="5">
                  <c:v>27.9</c:v>
                </c:pt>
                <c:pt idx="6">
                  <c:v>22.5</c:v>
                </c:pt>
                <c:pt idx="7">
                  <c:v>18.8</c:v>
                </c:pt>
                <c:pt idx="8">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VAT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51.9</c:v>
                </c:pt>
              </c:numCache>
            </c:numRef>
          </c:xVal>
          <c:yVal>
            <c:numRef>
              <c:f>Hoja1!$C$2</c:f>
              <c:numCache>
                <c:formatCode>0.0"x"</c:formatCode>
                <c:ptCount val="1"/>
                <c:pt idx="0">
                  <c:v>33.9</c:v>
                </c:pt>
              </c:numCache>
            </c:numRef>
          </c:yVal>
          <c:smooth val="0"/>
        </c:ser>
        <c:ser>
          <c:idx val="1"/>
          <c:order val="1"/>
          <c:tx>
            <c:strRef>
              <c:f>Hoja1!$A$3</c:f>
              <c:strCache>
                <c:ptCount val="1"/>
                <c:pt idx="0">
                  <c:v>MKS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25.7</c:v>
                </c:pt>
              </c:numCache>
            </c:numRef>
          </c:xVal>
          <c:yVal>
            <c:numRef>
              <c:f>Hoja1!$C$3</c:f>
              <c:numCache>
                <c:formatCode>0.0"x"</c:formatCode>
                <c:ptCount val="1"/>
                <c:pt idx="0">
                  <c:v>13</c:v>
                </c:pt>
              </c:numCache>
            </c:numRef>
          </c:yVal>
          <c:smooth val="0"/>
        </c:ser>
        <c:ser>
          <c:idx val="2"/>
          <c:order val="2"/>
          <c:tx>
            <c:strRef>
              <c:f>Hoja1!$A$4</c:f>
              <c:strCache>
                <c:ptCount val="1"/>
                <c:pt idx="0">
                  <c:v>Ultra Clean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37.8</c:v>
                </c:pt>
              </c:numCache>
            </c:numRef>
          </c:xVal>
          <c:yVal>
            <c:numRef>
              <c:f>Hoja1!$C$4</c:f>
              <c:numCache>
                <c:formatCode>0.0"x"</c:formatCode>
                <c:ptCount val="1"/>
                <c:pt idx="0">
                  <c:v>7.9</c:v>
                </c:pt>
              </c:numCache>
            </c:numRef>
          </c:yVal>
          <c:smooth val="0"/>
        </c:ser>
        <c:ser>
          <c:idx val="3"/>
          <c:order val="3"/>
          <c:tx>
            <c:strRef>
              <c:f>Hoja1!$A$5</c:f>
              <c:strCache>
                <c:ptCount val="1"/>
                <c:pt idx="0">
                  <c:v>Ichor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32.7</c:v>
                </c:pt>
              </c:numCache>
            </c:numRef>
          </c:xVal>
          <c:yVal>
            <c:numRef>
              <c:f>Hoja1!$C$5</c:f>
              <c:numCache>
                <c:formatCode>0.0"x"</c:formatCode>
                <c:ptCount val="1"/>
                <c:pt idx="0">
                  <c:v>14.3</c:v>
                </c:pt>
              </c:numCache>
            </c:numRef>
          </c:yVal>
          <c:smooth val="0"/>
        </c:ser>
        <c:ser>
          <c:idx val="4"/>
          <c:order val="4"/>
          <c:tx>
            <c:strRef>
              <c:f>Hoja1!$A$6</c:f>
              <c:strCache>
                <c:ptCount val="1"/>
                <c:pt idx="0">
                  <c:v>Applied Materials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27.5</c:v>
                </c:pt>
              </c:numCache>
            </c:numRef>
          </c:xVal>
          <c:yVal>
            <c:numRef>
              <c:f>Hoja1!$C$6</c:f>
              <c:numCache>
                <c:formatCode>0.0"x"</c:formatCode>
                <c:ptCount val="1"/>
                <c:pt idx="0">
                  <c:v>25.1</c:v>
                </c:pt>
              </c:numCache>
            </c:numRef>
          </c:yVal>
          <c:smooth val="0"/>
        </c:ser>
        <c:ser>
          <c:idx val="5"/>
          <c:order val="5"/>
          <c:tx>
            <c:strRef>
              <c:f>Hoja1!$A$7</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27.9</c:v>
                </c:pt>
              </c:numCache>
            </c:numRef>
          </c:yVal>
          <c:smooth val="0"/>
        </c:ser>
        <c:ser>
          <c:idx val="6"/>
          <c:order val="6"/>
          <c:tx>
            <c:strRef>
              <c:f>Hoja1!$A$8</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31.1</c:v>
                </c:pt>
              </c:numCache>
            </c:numRef>
          </c:xVal>
          <c:yVal>
            <c:numRef>
              <c:f>Hoja1!$C$8</c:f>
              <c:numCache>
                <c:formatCode>0.0"x"</c:formatCode>
                <c:ptCount val="1"/>
                <c:pt idx="0">
                  <c:v>22.5</c:v>
                </c:pt>
              </c:numCache>
            </c:numRef>
          </c:yVal>
          <c:smooth val="0"/>
        </c:ser>
        <c:ser>
          <c:idx val="7"/>
          <c:order val="7"/>
          <c:tx>
            <c:strRef>
              <c:f>Hoja1!$A$9</c:f>
              <c:strCache>
                <c:ptCount val="1"/>
                <c:pt idx="0">
                  <c:v>Comet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29.1</c:v>
                </c:pt>
              </c:numCache>
            </c:numRef>
          </c:xVal>
          <c:yVal>
            <c:numRef>
              <c:f>Hoja1!$C$9</c:f>
              <c:numCache>
                <c:formatCode>0.0"x"</c:formatCode>
                <c:ptCount val="1"/>
                <c:pt idx="0">
                  <c:v>18.8</c:v>
                </c:pt>
              </c:numCache>
            </c:numRef>
          </c:yVal>
          <c:smooth val="0"/>
        </c:ser>
        <c:ser>
          <c:idx val="8"/>
          <c:order val="8"/>
          <c:tx>
            <c:strRef>
              <c:f>Hoja1!$A$10</c:f>
              <c:strCache>
                <c:ptCount val="1"/>
                <c:pt idx="0">
                  <c:v>Inficon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18.3</c:v>
                </c:pt>
              </c:numCache>
            </c:numRef>
          </c:xVal>
          <c:yVal>
            <c:numRef>
              <c:f>Hoja1!$C$10</c:f>
              <c:numCache>
                <c:formatCode>0.0"x"</c:formatCode>
                <c:ptCount val="1"/>
                <c:pt idx="0">
                  <c:v>25.9</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Atonarp Inc. (Japón; espectrometría y sensores moleculares para control de procesos)</c:v>
                </c:pt>
                <c:pt idx="1">
                  <c:v>CMC Materials (EE. UU.; lodos y pads de CMP)</c:v>
                </c:pt>
                <c:pt idx="2">
                  <c:v>Negocio de automatización de semiconductores de Brooks Automation (robots de vacío y manipulación de obleas)</c:v>
                </c:pt>
                <c:pt idx="3">
                  <c:v>Atotech (Alemania; química de procesos para PCB y semiconductores)</c:v>
                </c:pt>
                <c:pt idx="4">
                  <c:v>Ham-Let (Israel; válvulas y conectores de fluidos de alta pureza)</c:v>
                </c:pt>
              </c:strCache>
            </c:strRef>
          </c:cat>
          <c:val>
            <c:numRef>
              <c:f>Hoja1!$B$2:$B$6</c:f>
              <c:numCache>
                <c:formatCode>0.0"x"</c:formatCode>
                <c:ptCount val="5"/>
                <c:pt idx="2">
                  <c:v>19</c:v>
                </c:pt>
                <c:pt idx="3">
                  <c:v>20.8</c:v>
                </c:pt>
                <c:pt idx="4">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320</c:v>
                </c:pt>
                <c:pt idx="2">
                  <c:v>468</c:v>
                </c:pt>
                <c:pt idx="3">
                  <c:v>457</c:v>
                </c:pt>
                <c:pt idx="4">
                  <c:v>403</c:v>
                </c:pt>
                <c:pt idx="5">
                  <c:v>439</c:v>
                </c:pt>
                <c:pt idx="6">
                  <c:v>473</c:v>
                </c:pt>
                <c:pt idx="7">
                  <c:v>517</c:v>
                </c:pt>
                <c:pt idx="8">
                  <c:v>548</c:v>
                </c:pt>
                <c:pt idx="9">
                  <c:v>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2929</c:v>
                </c:pt>
                <c:pt idx="1">
                  <c:v>4244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698,20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148.36</c:v>
                </c:pt>
                <c:pt idx="1">
                  <c:v>229.55</c:v>
                </c:pt>
                <c:pt idx="2">
                  <c:v>349.49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Transacciones precedentes (EV/EBITDA) (161,65 – 192,64)</c:v>
                </c:pt>
                <c:pt idx="5">
                  <c:v>DCF (WACC y g ± 0,5) (203,29 – 264,91)</c:v>
                </c:pt>
                <c:pt idx="6">
                  <c:v>Escenarios (bajista – alcista) (148,36 – 349,49)</c:v>
                </c:pt>
                <c:pt idx="7">
                  <c:v>Precio actual (698,20)</c:v>
                </c:pt>
              </c:strCache>
            </c:strRef>
          </c:cat>
          <c:val>
            <c:numRef>
              <c:f>Hoja1!$B$2:$B$9</c:f>
              <c:numCache>
                <c:formatCode>#,##0</c:formatCode>
                <c:ptCount val="8"/>
                <c:pt idx="0">
                  <c:v>305.1</c:v>
                </c:pt>
                <c:pt idx="1">
                  <c:v>390</c:v>
                </c:pt>
                <c:pt idx="2">
                  <c:v>282.56</c:v>
                </c:pt>
                <c:pt idx="3">
                  <c:v>409.98</c:v>
                </c:pt>
                <c:pt idx="4">
                  <c:v>161.65</c:v>
                </c:pt>
                <c:pt idx="5">
                  <c:v>203.29</c:v>
                </c:pt>
                <c:pt idx="6">
                  <c:v>148.36</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Transacciones precedentes (EV/EBITDA) (161,65 – 192,64)</c:v>
                </c:pt>
                <c:pt idx="5">
                  <c:v>DCF (WACC y g ± 0,5) (203,29 – 264,91)</c:v>
                </c:pt>
                <c:pt idx="6">
                  <c:v>Escenarios (bajista – alcista) (148,36 – 349,49)</c:v>
                </c:pt>
                <c:pt idx="7">
                  <c:v>Precio actual (698,20)</c:v>
                </c:pt>
              </c:strCache>
            </c:strRef>
          </c:cat>
          <c:val>
            <c:numRef>
              <c:f>Hoja1!$C$2:$C$9</c:f>
              <c:numCache>
                <c:formatCode>#,##0</c:formatCode>
                <c:ptCount val="8"/>
                <c:pt idx="0">
                  <c:v>422.1</c:v>
                </c:pt>
                <c:pt idx="1">
                  <c:v>470</c:v>
                </c:pt>
                <c:pt idx="2">
                  <c:v>236.72999999999996</c:v>
                </c:pt>
                <c:pt idx="3">
                  <c:v>81.22999999999996</c:v>
                </c:pt>
                <c:pt idx="4">
                  <c:v>30.98999999999998</c:v>
                </c:pt>
                <c:pt idx="5">
                  <c:v>61.62000000000003</c:v>
                </c:pt>
                <c:pt idx="6">
                  <c:v>201.13</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2026-10-06T21:43:45.395Z</dcterms:created>
  <dcterms:modified xsi:type="dcterms:W3CDTF">2026-10-06T21:43:45.397Z</dcterms:modified>
</cp:coreProperties>
</file>

<file path=docProps/custom.xml><?xml version="1.0" encoding="utf-8"?>
<Properties xmlns="http://schemas.openxmlformats.org/officeDocument/2006/custom-properties" xmlns:vt="http://schemas.openxmlformats.org/officeDocument/2006/docPropsVTypes"/>
</file>