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Puig Brands, S.A.</w:t>
      </w:r>
    </w:p>
    <w:p>
      <w:pPr>
        <w:spacing w:after="60"/>
        <w:rPr>
          <w:color w:val="52514E"/>
          <w:sz w:val="22"/>
          <w:szCs w:val="22"/>
        </w:rPr>
      </w:pPr>
      <w:r>
        <w:rPr>
          <w:color w:val="52514E"/>
          <w:sz w:val="22"/>
          <w:szCs w:val="22"/>
        </w:rPr>
        <w:t xml:space="preserve">PUIG · Bolsas de Madrid, Barcelona, Bilbao y Valencia (SIBE); cotizan solo las acciones de clase B · ISIN ES0105777017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19,59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19,73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+2,9 % (base +3,0 %)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22,24 EUR · mercado 25,59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11.035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Puig Brands,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PUIG / ES0105777017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de Madrid, Barcelona, Bilbao y Valencia (SIBE); cotizan solo las acciones de clase 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Productos de cuidado personal</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19,59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13,46 – 19,63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11.035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11.715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9,3 M EUR/día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19,73 EUR</w:t>
      </w:r>
      <w:r>
        <w:t xml:space="preserve"> frente a 19,59 · Rentabilidad a 12 meses </w:t>
      </w:r>
      <w:r>
        <w:rPr>
          <w:b/>
          <w:bCs/>
        </w:rPr>
        <w:t xml:space="preserve">+2,9 % (base +3,0 %)</w:t>
      </w:r>
      <w:r>
        <w:t xml:space="preserve"> · Valor intrínseco 22,24 EUR · con la prima implícita del mercado: 25,59 (+30,6 %) · Alcista / bajista +22,0 % / -33,1 %</w:t>
      </w:r>
    </w:p>
    <w:p>
      <w:pPr>
        <w:spacing w:after="100"/>
      </w:pPr>
      <w:r>
        <w:rPr>
          <w:b/>
        </w:rPr>
        <w:t xml:space="preserve">La recomendación y por qué.</w:t>
      </w:r>
      <w:r>
        <w:t xml:space="preserve"> Mantener, con convicción baja. A 12 meses, con nuestra regla de múltiplos, el objetivo es de 19,73 EUR: +2,9 % ponderado y +3,0 % en el caso base, con dividendo, sobre el cierre de 19,59 EUR del 21-oct, muy lejos del 15 % que exigimos. El valor intrínseco (síntesis del DCF, los escenarios y los comparables) es de 22,24 EUR, un 13,5 % por encima, pero sale sobre todo de los múltiplos; el DCF solo da 20,45 EUR (+4,4 %). La convicción es baja porque las dos reglas discrepan: con la prima de riesgo que hoy pide el mercado el objetivo sube a 25,59 EUR. El 11-oct recomendábamos Comprar a 18,08 EUR; la acción ha subido un 8,4 % desde entonces y se ha comido el margen.</w:t>
      </w:r>
    </w:p>
    <w:p>
      <w:pPr>
        <w:spacing w:after="100"/>
      </w:pPr>
      <w:r>
        <w:rPr>
          <w:b/>
        </w:rPr>
        <w:t xml:space="preserve">Qué ha cambiado con las ventas de los nueve meses (21-oct, tras el cierre).</w:t>
      </w:r>
      <w:r>
        <w:t xml:space="preserve"> Buen trimestre: el 3T26 vende 1.390,8 M, +5,6 % comparable y +7,2 % reportado, el mayor de su historia, por encima del +5,0 % que esperaba Jefferies [11, 76]. Maquillaje (Charlotte Tilbury) acelera al +16,1 %, Fragancias y Moda crece un +3,9 % y Cuidado de la piel cae un 0,8 % por Sturm. En nueve meses, 3.744,5 M (+4,8 % comparable). Reitera la guía de 2026 (crecer más que el mercado de belleza premium con el margen estable) y confirma ISDIN: 900 M al cierre, a finales del 1T27, y 300 M sin intereses en el 1T29 [11]. Subimos el crecimiento de 2026e del 3,5 % al 4,0 %. Nada nuevo de Estée Lauder desde la ruptura de mayo.</w:t>
      </w:r>
    </w:p>
    <w:p>
      <w:pPr>
        <w:spacing w:after="100"/>
      </w:pPr>
      <w:r>
        <w:rPr>
          <w:b/>
        </w:rPr>
        <w:t xml:space="preserve">El negocio.</w:t>
      </w:r>
      <w:r>
        <w:t xml:space="preserve"> Puig es perfumería de marca: el 72 % de sus 5.042 M de ventas de 2025 y el 84 % del resultado de los segmentos salen de Rabanne, Carolina Herrera, Jean Paul Gaultier y Byredo, con un 11,1 % de la perfumería selectiva mundial [1, 3]. ROIC del 13,1 % frente a un WACC del 8,02 %, a la baja desde el 22 % de 2023 por las compras de minoritarios. Su calidad sostiene el crecimiento que proyectamos (4,4 % anual; veredicto: Sí).</w:t>
      </w:r>
    </w:p>
    <w:p>
      <w:pPr>
        <w:spacing w:after="100"/>
      </w:pPr>
      <w:r>
        <w:rPr>
          <w:b/>
        </w:rPr>
        <w:t xml:space="preserve">Equipo y gobierno.</w:t>
      </w:r>
      <w:r>
        <w:t xml:space="preserve"> Resta. La familia tiene el 93,21 % de los votos y el 43,7 % del capital libre presente votó en 2026 contra la política de remuneración [33, 36]. Por eso añadimos un punto de prima de riesgo.</w:t>
      </w:r>
    </w:p>
    <w:p>
      <w:pPr>
        <w:spacing w:after="100"/>
      </w:pPr>
      <w:r>
        <w:rPr>
          <w:b/>
        </w:rPr>
        <w:t xml:space="preserve">Valoración.</w:t>
      </w:r>
      <w:r>
        <w:t xml:space="preserve"> El DCF inverso dice que el precio descuenta un crecimiento del 3,4 % anual hasta 2033e, frente al 4,4 % de nuestro base: rinde un 8,2 %, apenas el coste del capital. Cotiza a 10,3 veces el EBITDA de los próximos 12 meses y 16,7 veces el beneficio, por debajo de sus comparables (13,9 y 28,2 veces), pero esa muestra es frágil. Nuestro BPA de 2028e (1,22 EUR) queda un 4 % por debajo del consenso.</w:t>
      </w:r>
    </w:p>
    <w:p>
      <w:pPr>
        <w:spacing w:after="100"/>
      </w:pPr>
      <w:r>
        <w:rPr>
          <w:b/>
        </w:rPr>
        <w:t xml:space="preserve">Riesgos y catalizadores.</w:t>
      </w:r>
      <w:r>
        <w:t xml:space="preserve"> El mayor riesgo es que la perfumería se estanque y Puig acabe como Coty o Estée Lauder (bajista: 13,11 EUR, −33,1 %); la asimetría es mala (0,66 veces). ISDIN (1.200 M por el 50 %) es cara y llevará la deuda hacia 2 veces el EBITDA [42, 70]. Catalizador: el día del inversor del 28-oct.</w:t>
      </w:r>
    </w:p>
    <w:p>
      <w:pPr>
        <w:spacing w:after="100"/>
      </w:pPr>
      <w:r>
        <w:rPr>
          <w:b/>
        </w:rPr>
        <w:t xml:space="preserve">Qué cambiaría la decisión.</w:t>
      </w:r>
      <w:r>
        <w:t xml:space="preserve"> Compraríamos por debajo de 17,52 EUR y venderíamos por encima de 22,39 EUR. La convicción subiría si el día del inversor fija un margen por encima del 22 % y un crecimiento por encima del 6 %.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19,73 EUR</w:t>
      </w:r>
      <w:r>
        <w:t xml:space="preserve"> (rentabilidad +2,9 % (base +3,0 %)) · Valor intrínseco: 22,24 EUR (+13,5 % sobre 19,59) · con la prima implícita del mercado: 25,59 (+30,6 %)</w:t>
      </w:r>
    </w:p>
    <w:p>
      <w:pPr>
        <w:spacing w:after="100"/>
      </w:pPr>
      <w:r>
        <w:t xml:space="preserve">Puig es una de las tres grandes casas de perfumería de prestigio del mundo: tres de las diez primeras marcas de perfume, un 11,1 % de cuota en perfumería selectiva y 5.042 M de ventas en 2025, con un margen EBITDA del 20,8 % [1, 3]. El 3T26 confirma que crece más que su mercado (+5,6 % comparable) [11].</w:t>
      </w:r>
    </w:p>
    <w:p>
      <w:pPr>
        <w:spacing w:after="100"/>
      </w:pPr>
      <w:r>
        <w:t xml:space="preserve">El precio de 19,59 EUR descuenta ya un crecimiento del 3,4 % anual hasta 2033e, cerca del 4,4 % de nuestro caso base; tras subir un 11,6 % en un mes, a 12 meses solo rinde un 2,9 % con nuestra regla.</w:t>
      </w:r>
    </w:p>
    <w:p>
      <w:pPr>
        <w:spacing w:after="100"/>
      </w:pPr>
      <w:r>
        <w:t xml:space="preserve">Para invertir hay que creer que el día del inversor del 28-oct sube el margen objetivo por encima del 22 %; si no, el precio es justo.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 × 0,92 = 11,96 · 16,2x × 1,22 = 19,76 · 21,9x × 1,34 = 29,35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 / 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19,94 (nuestro base -0,9 %)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 / -33,1 %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frente a 8,0 %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17,52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17,52 y 22,39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22,39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17,52 EUR: pasaríamos a Comprar.</w:t>
      </w:r>
    </w:p>
    <w:p>
      <w:pPr>
        <w:pStyle w:val="ListParagraph"/>
        <w:numPr>
          <w:ilvl w:val="0"/>
          <w:numId w:val="2"/>
        </w:numPr>
        <w:spacing w:after="60"/>
      </w:pPr>
      <w:r>
        <w:t xml:space="preserve">Precio por encima de 22,39 EUR: Vender o reducir.</w:t>
      </w:r>
    </w:p>
    <w:p>
      <w:pPr>
        <w:pStyle w:val="ListParagraph"/>
        <w:numPr>
          <w:ilvl w:val="0"/>
          <w:numId w:val="2"/>
        </w:numPr>
        <w:spacing w:after="60"/>
      </w:pPr>
      <w:r>
        <w:t xml:space="preserve">Día del inversor con margen objetivo por encima del 22 %: revisaríamos al alza el BPA.</w:t>
      </w:r>
    </w:p>
    <w:p>
      <w:pPr>
        <w:pStyle w:val="ListParagraph"/>
        <w:numPr>
          <w:ilvl w:val="0"/>
          <w:numId w:val="2"/>
        </w:numPr>
        <w:spacing w:after="60"/>
      </w:pPr>
      <w:r>
        <w:t xml:space="preserve">Deuda neta por encima de 2,5 veces el EBITDA tras ISDIN: revisaríamos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3,4 % anual hasta 2033e con nuestros márgenes, y un objetivo medio de 19,94 EUR de 16 analistas, casi el precio [59, 60].</w:t>
      </w:r>
    </w:p>
    <w:p>
      <w:pPr>
        <w:keepNext/>
        <w:spacing w:after="100"/>
      </w:pPr>
      <w:r>
        <w:rPr>
          <w:b/>
          <w:bCs/>
        </w:rPr>
        <w:t xml:space="preserve">Lo que creemos nosotros.</w:t>
      </w:r>
    </w:p>
    <w:p>
      <w:pPr>
        <w:spacing w:after="100"/>
      </w:pPr>
      <w:r>
        <w:t xml:space="preserve">Coincidimos con el consenso: nuestro BPA de 2028e (1,22 EUR) queda un 4 % por debajo del suyo y nuestro objetivo a 12 meses (19,73) es casi el mismo.</w:t>
      </w:r>
    </w:p>
    <w:p>
      <w:pPr>
        <w:keepNext/>
        <w:spacing w:after="100"/>
      </w:pPr>
      <w:r>
        <w:rPr>
          <w:b/>
          <w:bCs/>
        </w:rPr>
        <w:t xml:space="preserve">Por qué podemos tener razón.</w:t>
      </w:r>
    </w:p>
    <w:p>
      <w:pPr>
        <w:spacing w:after="100"/>
      </w:pPr>
      <w:r>
        <w:t xml:space="preserve">La diferencia con el 11-oct no es la empresa, que lo ha hecho bien, sino el precio: ha subido un 8,4 % y deja poco recorrido [57].</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9,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3T26 récord</w:t>
      </w:r>
      <w:r>
        <w:t xml:space="preserve">: 1.390,8 M de ventas, +5,6 % comparable, por encima de lo esperado [11, 76].</w:t>
      </w:r>
    </w:p>
    <w:p>
      <w:pPr>
        <w:pStyle w:val="ListParagraph"/>
        <w:numPr>
          <w:ilvl w:val="0"/>
          <w:numId w:val="2"/>
        </w:numPr>
        <w:spacing w:after="60"/>
      </w:pPr>
      <w:r>
        <w:rPr>
          <w:b/>
        </w:rPr>
        <w:t xml:space="preserve">Gana cuota</w:t>
      </w:r>
      <w:r>
        <w:t xml:space="preserve">: 11,1 % de la perfumería selectiva [3].</w:t>
      </w:r>
    </w:p>
    <w:p>
      <w:pPr>
        <w:pStyle w:val="ListParagraph"/>
        <w:numPr>
          <w:ilvl w:val="0"/>
          <w:numId w:val="2"/>
        </w:numPr>
        <w:spacing w:after="60"/>
      </w:pPr>
      <w:r>
        <w:rPr>
          <w:b/>
        </w:rPr>
        <w:t xml:space="preserve">Poder de precios</w:t>
      </w:r>
      <w:r>
        <w:t xml:space="preserve">: margen bruto del 75,1 % [1].</w:t>
      </w:r>
    </w:p>
    <w:p>
      <w:pPr>
        <w:pStyle w:val="ListParagraph"/>
        <w:numPr>
          <w:ilvl w:val="0"/>
          <w:numId w:val="2"/>
        </w:numPr>
        <w:spacing w:after="60"/>
      </w:pPr>
      <w:r>
        <w:rPr>
          <w:b/>
        </w:rPr>
        <w:t xml:space="preserve">Más barata que sus comparables</w:t>
      </w:r>
      <w:r>
        <w:t xml:space="preserve">: 10,3 veces el EBITDA de los próximos 12 meses frente a 13,9 veces.</w:t>
      </w:r>
    </w:p>
    <w:p>
      <w:pPr>
        <w:pStyle w:val="Heading2"/>
      </w:pPr>
      <w:r>
        <w:t xml:space="preserve">En contra</w:t>
      </w:r>
    </w:p>
    <w:p>
      <w:pPr>
        <w:pStyle w:val="ListParagraph"/>
        <w:numPr>
          <w:ilvl w:val="0"/>
          <w:numId w:val="2"/>
        </w:numPr>
        <w:spacing w:after="60"/>
      </w:pPr>
      <w:r>
        <w:rPr>
          <w:b/>
        </w:rPr>
        <w:t xml:space="preserve">Rentabilidad a 12 meses del 2,9 %</w:t>
      </w:r>
      <w:r>
        <w:t xml:space="preserve">, muy por debajo del 15 %.</w:t>
      </w:r>
    </w:p>
    <w:p>
      <w:pPr>
        <w:pStyle w:val="ListParagraph"/>
        <w:numPr>
          <w:ilvl w:val="0"/>
          <w:numId w:val="2"/>
        </w:numPr>
        <w:spacing w:after="60"/>
      </w:pPr>
      <w:r>
        <w:rPr>
          <w:b/>
        </w:rPr>
        <w:t xml:space="preserve">Asimetría mala</w:t>
      </w:r>
      <w:r>
        <w:t xml:space="preserve">: el bajista pierde un 33,1 % y el alcista gana un 22,0 %.</w:t>
      </w:r>
    </w:p>
    <w:p>
      <w:pPr>
        <w:pStyle w:val="ListParagraph"/>
        <w:numPr>
          <w:ilvl w:val="0"/>
          <w:numId w:val="2"/>
        </w:numPr>
        <w:spacing w:after="60"/>
      </w:pPr>
      <w:r>
        <w:rPr>
          <w:b/>
        </w:rPr>
        <w:t xml:space="preserve">Control familiar</w:t>
      </w:r>
      <w:r>
        <w:t xml:space="preserve">: el 93,21 % de los votos [36].</w:t>
      </w:r>
    </w:p>
    <w:p>
      <w:pPr>
        <w:pStyle w:val="ListParagraph"/>
        <w:numPr>
          <w:ilvl w:val="0"/>
          <w:numId w:val="2"/>
        </w:numPr>
        <w:spacing w:after="60"/>
      </w:pPr>
      <w:r>
        <w:rPr>
          <w:b/>
        </w:rPr>
        <w:t xml:space="preserve">ISDIN cara</w:t>
      </w:r>
      <w:r>
        <w:t xml:space="preserve">: 1.200 M por el 50 %, unas 3,7 veces las ventas [70].</w:t>
      </w:r>
    </w:p>
    <w:p>
      <w:pPr>
        <w:pStyle w:val="Heading2"/>
      </w:pPr>
      <w:r>
        <w:t xml:space="preserve">Qué tiene que pasar para que la tesis funcione</w:t>
      </w:r>
    </w:p>
    <w:p>
      <w:pPr>
        <w:spacing w:after="100"/>
      </w:pPr>
      <w:r>
        <w:t xml:space="preserve">La tesis depende de que Puig siga creciendo al menos un 4 % comparable con margen estable. La señal de que no se cumple: Fragancias y Moda por debajo del 3 % comparable en el ejercicio 2026, o un margen objetivo por debajo del 20,5 % en el día del inversor del 28-oct.</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3,4 % anual.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mueve el valor un 8 %.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2,5x tras ISDIN</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techo que fija la empresa es de 2x.</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11,0x / 10,3x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19,0x / 16,7x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Antonio Puig Castelló fundó la empresa en Barcelona en 1914 como negocio familiar de cosmética y perfumería; la segunda generación entró en 1950 y hoy la dirige la tercera [13]. La internacionalización empezó con la filial de EE. UU. y la licencia de belleza de Paco Rabanne (1968), y el modelo actual nació de unir moda y perfume: compra de Paco Rabanne entero y licencia de Carolina Herrera (1987), Nina Ricci (1998) y Jean Paul Gaultier (2011) [13]. Desde 2015 diversificó con nicho (Penhaligon's, L'Artisan, Byredo en 2022), maquillaje (Charlotte Tilbury, mayoría en 2020) y cuidado de la piel (Uriage y Apivita en 2021, Dr. Barbara Sturm en 2024) [13]. Pasó de 1.000 M EUR de ventas en 2008 a 2.000 M en 2019 y 5.042 M en 2025 [13]. Salió a bolsa el 3 de mayo de 2024 [13]. En marzo de 2026 José Manuel Albesa pasó a primer ejecutivo y Marc Puig a presidente ejecutivo [3]; ese mismo mes Estée Lauder confirmó conversaciones de fusión, que se rompieron sin acuerdo el 21-22 de mayo de 2026 [17]; desde entonces no se han reanudado. En septiembre de 2026 acordó comprar a Esteve el 50 % de ISDIN que no tenía, por 900 M EUR al cierre (previsto a finales del 1T27) y 300 M EUR aplazados sin intereses al 1T29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Antonio Puig Castelló funda Antonio Puig en Barcelona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filial en EE. UU. y licencia de la belleza de Paco Rabanne (perfume Calandre)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resto de Paco Rabanne (moda incluida) y licencia de belleza de Carolina Herrera; primer perfume de la marca en 1988 y compra de su moda en 1995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Nina Ricci (perfume y moda)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de Jean Paul Gaultier; sus perfumes se incorporan en 2016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perfumería de nicho con Penhaligon's y L'Artisan Parfumeur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Dries Van Noten y licencia mundial a largo plazo de Christian Louboutin Beauté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de Charlotte Tilbury (maquillaje y cuidado de la piel)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Byredo (nicho), Kama Ayurveda y Loto del Sur; ventas por encima de 3.000 M EUR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de Dr. Barbara Sturm y salida a bolsa en las Bolsas españolas el 3 de mayo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Albesa, primer ejecutivo; Marc Puig, presidente ejecutivo (marzo) [3]. Participación en Charlotte Tilbury al 85 % por 260 M EUR (abril) [3]. Ruptura de las conversaciones de fusión con Estée Lauder (21-22 de mayo) [17]. Acuerdo para comprar el 50 % restante de ISDIN por 900 M EUR más 300 M aplazados al 1T29 (14 de septiembre; cierre previsto a finales del 1T27) [11].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Puig diseña, fabrica y comercializa perfumes, maquillaje y cuidado de la piel de gama alta, y una pequeña actividad de moda que sostiene la imagen de sus marcas de perfume (menos del 5 % de las ventas) [13]. En 2025 facturó 5.042 M EUR: Fragancias y Moda, 3.646 M (72 %; Rabanne, Carolina Herrera, Jean Paul Gaultier, Nina Ricci y el nicho de Byredo, Penhaligon's, L'Artisan y Dries Van Noten); Maquillaje, 845 M (17 %; sobre todo Charlotte Tilbury, más Christian Louboutin Beauté); y Cuidado de la piel, 551 M (11 %; Uriage, Apivita, Dr. Barbara Sturm, Kama Ayurveda, Loto del Sur) [13]. En los nueve primeros meses de 2026 la mezcla se mantuvo (72 %, 17 % y 11 % de 3.745 M EUR) [11], y la piel ganará peso con ISDIN (hoy al 50 %, fuera de las ventas consolidadas) cuando se cierre su compra [11]. Vende en más de 150 países a través de perfumerías selectivas, grandes almacenes, farmacias y parafarmacias, comercio de viaje y 330 tiendas propias, y en digital (webs propias, distribuidores y puros digitales) [13]. Fabrica en sus plantas de España (Vacarisses) y compra aceites esenciales, alcohol y envases a terceros [13]. El cliente es el distribuidor; el consumidor final, el de belleza de prestigio [13].</w:t>
      </w:r>
    </w:p>
    <w:p>
      <w:pPr>
        <w:pStyle w:val="Heading2"/>
      </w:pPr>
      <w:r>
        <w:t xml:space="preserve">Cómo gana dinero</w:t>
      </w:r>
    </w:p>
    <w:p>
      <w:pPr>
        <w:spacing w:after="100"/>
      </w:pPr>
      <w:r>
        <w:t xml:space="preserve">El margen bruto es muy alto (75,1 % en 2025, frente a 74,9 % en 2024) y el beneficio depende de cuánto se reinvierte en marca: publicidad y promoción se llevaron 1.647,5 M EUR (32,7 % de las ventas), gastos generales y de venta 1.094,7 M y distribución 232,2 M, para un beneficio operativo de 812,4 M (16,1 %) y un EBITDA ajustado del 20,7 % [13, 14]. El margen operativo por segmento fue del 18,7 % en Fragancias y Moda, 11,4 % en Maquillaje y 6,0 % en Cuidado de la piel, de modo que la mezcla pesa: el nicho mejora el margen bruto y las marcas pequeñas de piel lo diluyen [13, 14]. La mayoría de las marcas son propias; algunas, como Christian Louboutin Beauté, son licencias, y Puig cobra regalías por licencias de sus marcas de moda [13]. No hay ingresos recurrentes contractuales: las ventas se renuevan con lanzamientos y recompra. Hay estacionalidad: el primer semestre de 2025 fue el 45,6 % de las ventas del año (2.299,3 de 5.042 M) por el peso de la campaña de Navidad [3, 13].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Fragancias y Moda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Maquillaje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Cuidado de la piel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Fragancias y Moda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Maquillaje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Cuidado de la piel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ningún cliente supera el 10 % de las ventas [13]. El 73 % de las ventas pasa por canal físico y el 27 % por digital; la venta directa (tiendas y webs propias) supone el 12 % y el comercio de viaje el 10 % [13]. Puig descontó de las ventas brutas 677,2 M EUR en descuentos, devoluciones y apoyo promocional a distribuidores en 2025 (616,0 M en 2024), equivalente al 13,4 % de las ventas netas, lo que mide el peso negociador de las grandes cadenas [13]. No hay contratos plurianuales con los distribuidores. El poder de precios se ha visto en 2025: tras los aranceles de EE. UU., Puig subió precios en ese país en agosto y el margen bruto aún subió 20 puntos básicos, a 75,1 % [13, 14]. La propia empresa describe su exposición a materias primas y energía como limitada y su poder de precios como fuerte por los márgenes del segmento de prestigio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ventas (LFL)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(2025); 4,4 % (1S26); 4,8 % (9M26; 3T26: 5,6 %)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pp (9M26 frente a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divisa ni perímetro; la divisa restó 2,6 pp en 2025 y 0,7 pp en los 9M26 (sumó 1,7 pp en el 3T26, por el dólar)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 (2025); 19,5 %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Excluye «otros ingresos y gastos operativos» (costes de transacción, OPV, plusvalías)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 (2025); 75,5 %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1S25: 75,8 %; la divisa compensó la mejora de mezcla en el 1S26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 mercado en valor, fragancias selectivas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 (1S25, implícito)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Fuentes sectoriales citadas por la empresa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en Asia-Pacífico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reportado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 LFL (2025); 20,9 % LFL (1S26); 17,9 % LFL (9M26; 3T26: 12,9 %)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región más pequeña (11 % de las ventas de los 9M26) es la que más crece; se modera en el 3T26 [1, 3,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 (definición de la empresa, con arrendamientos)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 (2025); 1,5x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en el 1S26 por dividendo, pagos a minoritarios de Charlotte Tilbury y estacionalidad del circulante [1,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a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12.116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5.506 personas en punto de venta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perfumería selectiva (de prestigio) mundial, donde Puig obtiene el 72 % de sus ventas y mide su cuota (11,1 % en valor en 2025) [13]. Se contrastan dos fuentes: L'Oréal estima el mercado mundial de belleza a precios netos de fabricante en unos 300.000 M EUR en 2025, con los perfumes como el 14 % (≈ 42.000 M) [16]; Euromonitor, en el folleto de la OPV, lo mide a precio de venta al público: 422.000 M USD en 2022, con 57.000 M USD de perfumería, de los que unos dos tercios son de gama alta [24]. Se usa la base de L'Oréal (precios de fabricante, comparable con las ventas de Puig) y la proporción de gama alta de Euromonitor: perfumería selectiva ≈ 28.000 M EUR en 2025 (estimación propia: 300.000 × 14 % × 2/3). Con las ventas de fragancias de Puig (≥ 3.394 M EUR, descontada la moda) sale una cuota implícita del 12 %, coherente con el 11,1 % que publica.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28.000 M EUR en 2025 a precios de fabricante (estimación propia sobre ≈ 300.000 M EUR de belleza mundial y 14 % de perfumes [16] y dos tercios de gama alta [24]); el mercado total de belleza, ≈ 300.000 M EUR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perfumería selectiva mundial a precios netos de fabricante; estimación propia; 2026e-2030e al 5 % anu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Premiumización del gasto en belleza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gama alta era el 36 % del mercado de belleza en 2022 (≈ 150.000 M USD) y se esperaba que creciera al 7 % anual hasta 2027, frente al 5 % de la gama masiva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peso de la perfumería dentro de la belleza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perfumes pasaron del 12 % del mercado mundial de belleza en 2023 al 13 % en 2024 y al 14 % en 2025, según L'Oréal [16, 25,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del crecimiento de fragancias tras 2021-2024</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selectivo creció en torno a un 1 % en 2025 según L'Oréal [15]; en el 1S26 L'Oréal Luxe creció un 5,1 % comparable ajustado, «el doble que el mercado selectivo mundial» (≈ 2,5 %, estimación propia) [29]. Puig espera que el mercado de fragancias siga normalizándose [13,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en Asia y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perfumería era menos del 5 % de la belleza en Asia-Pacífico (20 % en EMEA) [24]; Asia-Pacífico creció un 17,9 % comparable en las ventas de Puig de los nueve primeros meses de 2026 (12,9 % en el 3T) y ya es el 11 % del total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aranceles y comercio de viaje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de EE. UU. desde el 2S25, compensados con subidas de precio en agosto de 2025 [13]; el conflicto en Oriente Medio restó unos 14 M EUR (0,6 %) a las ventas de Puig en el 1S26 [3], pero no tuvo efecto significativo en el 3T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divisas restaron un 2,1 % a las ventas publicadas de Puig en el 1S26, sobre todo por el dólar [3]; en el 3T26 sumaron un 1,7 % y en los nueve meses restan un 0,7 % [11].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Compiten grupos con mucha más escala (L'Oréal Luxe, 15.595 M EUR de ventas; LVMH Perfumes y Cosméticos, 8.174 M) [15, 18] y la lucha es en publicidad: Puig gasta el 32,7 % de sus ventas y L'Oréal el 32,2 % [13, 15]. Puig describe un entorno muy competitivo y promocional, con pérdida de cuota en Latinoamérica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10 % de las ventas, pero las cadenas de perfumería, los grandes almacenes y el comercio de viaje exigen apoyo: 677 M EUR de descuentos, devoluciones y apoyo promocional en 2025, el 13,4 % de las ventas netas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Aceites esenciales, alcohol, productos químicos y envases de proveedores diversos; el coste de ventas es solo el 24,9 % de las ventas y la exposición a energía y materias primas es limitada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independientes crecen apoyadas en redes sociales y comercio electrónico [13], pero la escala en publicidad y distribución pesa: las diez mayores empresas suman el 58,5 % de las ventas del Top 100 de WWD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Crecen las alternativas baratas (brumas corporales, imitaciones en maquillaje) por la presión sobre la renta [13], pero el perfume de marca se apoya en la licencia emocional y de moda: unas tres cuartas partes de las 15 primeras marcas de perfume de gama alta nacen de casas de moda [24].</w:t>
            </w:r>
          </w:p>
        </w:tc>
      </w:tr>
    </w:tbl>
    <w:p>
      <w:pPr>
        <w:spacing w:after="160" w:before="0"/>
      </w:pPr>
    </w:p>
    <w:p>
      <w:pPr>
        <w:pStyle w:val="Heading2"/>
      </w:pPr>
      <w:r>
        <w:t xml:space="preserve">Ciclo</w:t>
      </w:r>
    </w:p>
    <w:p>
      <w:pPr>
        <w:spacing w:after="100"/>
      </w:pPr>
      <w:r>
        <w:t xml:space="preserve">Tras tres años de crecimiento extraordinario de las fragancias, el mercado selectivo apenas creció un 1 % en 2025 según L'Oréal [15] y en el 1S26 algo más, en torno al 2,5 % (estimación propia: L'Oréal Luxe creció un 5,1 %, el doble que el mercado) [29]; Puig habla de normalización [13, 14]. La belleza es defensiva: según L'Oréal el mercado creció un 3 % en 2008 y un 1 % en 2009, cayó un 8 % en 2020 por el cierre de tiendas y viajes, y rebotó un 8 % en 2021, un 6 % en 2022 y un 8 % en 2023 [26]. En 2022 la inflación no frenó el gasto. Indicadores a vigilar: L'Oréal Luxe (+5,1 % en el 1S26) [29], Puig (+4,8 % en 9M26 y +5,6 % en el 3T, acelerando) [11] y comercio de viaje.</w:t>
      </w:r>
    </w:p>
    <w:p>
      <w:pPr>
        <w:pStyle w:val="Heading2"/>
      </w:pPr>
      <w:r>
        <w:t xml:space="preserve">Regulación</w:t>
      </w:r>
    </w:p>
    <w:p>
      <w:pPr>
        <w:spacing w:after="100"/>
      </w:pPr>
      <w:r>
        <w:t xml:space="preserve">Los cosméticos están regulados en materias primas, fabricación, etiquetado, envases, publicidad y seguridad del producto en cada país; Puig dice que su cumplimiento no ha tenido efecto material en inversiones [24]. En la UE, el Reglamento (UE) 2023/1545 obliga a etiquetar individualmente muchos más alérgenos de fragancias: desde el 31 de julio de 2026 ya no pueden comercializarse por primera vez productos que no cumplan, y los ya distribuidos pueden venderse hasta el 31 de julio de 2028, lo que obliga a reformular o reetiquetar [27]. En EE. UU., los aranceles de 2025 llevaron a Puig a subir precios en agosto de 2025 [13]. Puig retira de sus fórmulas sustancias persistentes como los PFAS y los microplásticos [13].</w:t>
      </w:r>
    </w:p>
    <w:p>
      <w:pPr>
        <w:pStyle w:val="Heading2"/>
      </w:pPr>
      <w:r>
        <w:t xml:space="preserve">Tendencias y disrupción</w:t>
      </w:r>
    </w:p>
    <w:p>
      <w:pPr>
        <w:spacing w:after="100"/>
      </w:pPr>
      <w:r>
        <w:t xml:space="preserve">Puig identifica como tendencias la búsqueda de valor (brumas corporales, imitaciones de maquillaje y cuidado de la piel barato y eficaz), el bienestar y la longevidad, el perfume como bienestar emocional, la influencia de la generación Z, el comercio social y las herramientas de IA y prueba virtual, y la fuerza de las marcas independientes nacidas en redes [13]. Puig gana con el auge del perfume y del nicho (crecimiento de dos cifras de Byredo y del nicho en 2025 y en los nueve meses de 2026) y con el canal digital (27 % de sus ventas) [3, 13]. Pierde donde la búsqueda de precio favorece a la gama masiva y en la piel de gama alta, que se debilitó en el 1S26 y siguió floja en el 3T (Cuidado de la piel −0,8 % comparable) [3, 11]. La dermocosmética, en cambio, crece a doble dígito [11].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grandes de la perfumería selectiva mundial, con un 11,1 % de cuota en valor en 2025 y en el 1S26 (+0,3 puntos interanual) [3, 13]; tres de las diez primeras marcas de perfume del mundo: Rabanne (5.ª), Carolina Herrera (6.ª) y Jean Paul Gaultier (9.ª) [13]. En maquillaje, Charlotte Tilbury es la primera marca de prestigio en el Reino Unido y la tercera en EE. UU. [13], y siguió ganando cuota en todas las regiones en el 3T26 (Maquillaje +16,1 % comparable) [11]. En el conjunto de la belleza mundial, décima empresa por ventas en 2024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 Luxe (división de L'Oréal)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de la belleza de lujo (Yves Saint Laurent, Armani, Prada, Lancôme); creció un 2,8 % comparable en 2025 frente a un mercado selectivo del +1 % [15] y un 5,1 % comparable ajustado en el 1S26 (7.996,7 M EUR de ventas), con fragancias a doble dígito [29]. Ya integra Kering Beauté (Creed)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Perfumes y Cosméticos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Dior, Guerlain, Givenchy, Maison Francis Kurkdjian; Sauvage es el perfume masculino más vendido del mundo; ventas planas comparables en 2025 y margen operativo recurrente del 8,9 %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Estée Lauder Companies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julio 2025-junio 2026: 15.049 M USD de ventas y 780 M USD de resultado operativo publicado [19]; convertido a 1,1662 USD/EUR (media BCE del periodo) [28]. Fuerte en piel y maquillaje (Estée Lauder, Clinique) y en perfume de prestigio y nicho; en plena reestructuración. Rompió las conversaciones de fusión con Puig en mayo de 2026 y no se han reanudado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julio 2025-junio 2026: 5.806,6 M USD de ventas y pérdida operativa de 81,5 M USD [20]; a 1,1662 USD/EUR [28]. Rival directo en perfume de prestigio bajo licencia de casas de moda, con una división de consumo masivo.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Interparfums Inc.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IPAR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1.488,5 M USD de ventas y 270,3 M USD de resultado operativo [22]; a 1,1300 USD/EUR (media BCE de 2025) [28]. Modelo casi puro de perfumes bajo licencia, con filial cotizada en París; el margen más alto del grupo de licenciatarios.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Shiseido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4911.T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970.000 M JPY de ventas y pérdida operativa de 27.700 M JPY por deterioros (fondo de comercio de América); margen operativo básico del 4,6 % [21]; a 169,04 JPY/EUR (media BCE de 2025) [28]. Fuerte en cuidado de la piel; caída de ventas por China, comercio de viaje y Drunk Elephant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Beiersdorf</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9.852 M EUR de ventas y margen EBIT sin partidas especiales del 14,0 % (grupo, con tesa) [23]. Compite con Puig en dermocosmética (Eucerin frente a Uriage) y en piel de lujo con La Prairie (−4,5 % orgánico en 2025)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en sentido estricto; la viralidad en redes ayuda a todas las marcas, también a las independientes que entran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perfume o de maquillaje sin coste; la fidelidad se sostiene con franquicias (Good Girl, 1 Million, La Bomba) y lanzamientos, no con contratos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de las diez primeras marcas de perfume del mundo [1]; Rabanne superó los 1.000 M EUR de ventas en 2023 [13]; cuota estable o al alza (11,1 %, +0,3 puntos en el 1S26) con subidas de precio en EE. UU. en 2025 y margen bruto al alza hasta el 75,1 % [1, 2, 3]; Carolina Herrera y el nicho tiran en 2026 y los lanzamientos del 3T (1 Million Black, La Favorite) empezaron bien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16,1 % en 2025 [1], por debajo del 22,4 % de L'Oréal Luxe [4] y del 18,2 % de Interparfums [11], pero por encima de LVMH Perfumes y Cosméticos (8,9 %) [7], Estée Lauder (5,2 %) [8] y Coty (−1,4 %)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1.647,5 M EUR de publicidad y promoción al año (32,7 % de las ventas) y red comercial en más de 150 países con 330 tiendas propias [1]; escala relevante, aunque L'Oréal Luxe factura tres veces más [4].</w:t>
            </w:r>
          </w:p>
        </w:tc>
      </w:tr>
    </w:tbl>
    <w:p>
      <w:pPr>
        <w:spacing w:after="160" w:before="0"/>
      </w:pPr>
    </w:p>
    <w:p>
      <w:pPr>
        <w:pStyle w:val="Heading2"/>
      </w:pPr>
      <w:r>
        <w:t xml:space="preserve">Amenazas</w:t>
      </w:r>
    </w:p>
    <w:p>
      <w:pPr>
        <w:spacing w:after="100"/>
      </w:pPr>
      <w:r>
        <w:t xml:space="preserve">El riesgo principal es la normalización del mercado de fragancias tras el auge de 2021-2024: el mercado selectivo apenas creció un 1 % en 2025 [15] y el 72 % de las ventas de Puig depende de él [13]. L'Oréal refuerza su liderazgo en lujo con Kering Beauté, ya integrada (Creed) [15, 29], y la presión promocional ya le restó cuota en Latinoamérica [13]. Las alternativas baratas (brumas corporales, imitaciones) y las marcas independientes nacidas en redes compiten por el gasto [13]. Hay dependencia de una marca de maquillaje, Charlotte Tilbury, y exposición al comercio de viaje (10 % de las ventas), sensible a conflictos como el de Oriente Medio (−14 M EUR en el 1S26) [3, 13]. La probabilidad de una erosión rápida del foso es baja: la cuota se ha mantenido en el 11,1 % [3, 13] y Puig crece más que el mercado de gama alta en 2026 (+4,8 % comparable en 9M26) [11].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2021-2025: ingresos </w:t>
      </w:r>
      <w:r>
        <w:rPr>
          <w:b/>
          <w:bCs/>
        </w:rPr>
        <w:t xml:space="preserve">18,2 %</w:t>
      </w:r>
      <w:r>
        <w:t xml:space="preserve">, EBITDA </w:t>
      </w:r>
      <w:r>
        <w:rPr>
          <w:b/>
          <w:bCs/>
        </w:rPr>
        <w:t xml:space="preserve">23,0 %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Ventas de 2.585 M en 2021 a 5.042 M en 2025 (TCAC del 18 %), con crecimiento comparable del 10,9 % en 2024 y del 7,8 % en 2025 [1, 5]. La parte inorgánica se concentra en 2022 (Byredo, Kama, Loto del Sur) y 2024 (Sturm, 1,2 pp) [1]. El margen operativo antes de otros ingresos y gastos subió del 13,6 % (2021) al 16,1 % (2025), y el margen bruto del 72,9 % al 75,1 % [1, 5]; Maquillaje pasó del 5,8 % al 11,4 % de margen entre 2024 y 2025 y Cuidado de la piel bajó del 7,2 % al 6,0 % [1]. La publicidad y promoción es el mayor gasto: 1.647,5 M, el 32,7 % de las ventas en 2025 [1]. La cuenta es por función. El resultado de las participadas (ISDIN, Lonia, Granado: 44,8 M en 2025) va debajo del resultado operativo; aquí se suma al resultado financiero para que BAI cuadre [1]. 2019-2020 (solo nota de prensa): ventas 2.029 y 1.537 M, BAI 304 y -72 M, beneficio atribuido 226 y -70 M [7].</w:t>
      </w:r>
    </w:p>
    <w:p>
      <w:pPr>
        <w:pStyle w:val="Heading2"/>
      </w:pPr>
      <w:r>
        <w:t xml:space="preserve">Ajustes y partidas no recurrentes</w:t>
      </w:r>
    </w:p>
    <w:p>
      <w:pPr>
        <w:spacing w:after="100"/>
      </w:pPr>
      <w:r>
        <w:t xml:space="preserve">La empresa publica EBITDA (beneficio operativo tras «otros ingresos y gastos operativos» + amortizaciones) y EBITDA ajustado, que excluye esa línea: 2021 -35,0 M (ganancia), 2022 +43,5 M, 2023 +13,8 M, 2024 +146,6 M (OPV 119,5 M, transacciones 17,8 M, Copa América femenina 9,1 M), 2025 -25,1 M (venta de la fábrica francesa, +27 M; transacciones 1,9 M), 1S26 +10,0 M [1, 2, 5]. En % de ventas: 2024 +3,1 %, 2025 -0,5 %, LTM -0,2 %. EBITDA ajustado: 458,1 (2021), 681,4, 862,7, 969,2 y 1.045,1 M (2025) [1, 5]. El beneficio neto ajustado excluye además la revalorización de earn-outs en el resultado financiero (+86,6 M en 2024, +9,9 M en 2025): 551,3 M en 2024 y 587,0 M en 2025 [1]. Los costes de transacción se repiten casi todos los años. BPA 2021-2023 sin sentido (antes de la OPV: 23.665,86, 3.001,89 y 1,25 EUR) [5]; el de 2024 es el reexpresado. DPA 2024 = 212,26 M / 563,3 M de acciones (cálculo propio); DPA 2025 0,42159 EUR [2]. FCF LTM = flujo operativo 786,7 − capex 206,9 − arrendamientos 96,8 (antes de intereses bancarios, unos 48 M al año) [1,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Ventas de los nueve meses (21-oct-2026, tras el cierre): 3.744,5 M, +4,8 % comparable y +4,1 % reportado (divisa −0,7 pp); el 3T26 vendió 1.390,8 M, +5,6 % comparable y +7,2 % reportado, el trimestre de más ventas de su historia, con la divisa a favor (+1,7 pp por el dólar) por primera vez en el año [11, 12]. Por segmentos, Maquillaje (Charlotte Tilbury) acelera al +16,1 % en el trimestre, Fragancias y Moda crece un +3,9 % y Cuidado de la piel cae un 0,8 % por el premium (Sturm), mientras Dermocosmética crece a doble dígito [11]. Asia-Pacífico se modera (+12,9 % frente a +20,9 % en el 1S) y América acelera (+6,2 %) [3, 11]. La dirección reitera la guía de 2026 (crecer más que el mercado de belleza premium y margen de EBITDA ajustado estable), un dividendo del ~40 % del beneficio publicado y deuda neta/EBITDA ajustado de hasta 2x, con compras «muy selectivas» [12]. El comunicado no da margen, beneficio ni deuda del trimestre ni menciona a Estée Lauder; la estrategia nueva se deja para el Capital Markets Day del 28-oct [11]. Resultados del 1S26 (30-jul): EBITDA ajustado de 460 M (margen 19,5 %, +15 pb), con menos publicidad en el semestre y margen bruto −30 pb por divisa [3]. No se han leído transcripciones de las conferencias (la del 21-oct era a las 18:00, tras el corte).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Byredo (consolidada desde 2022), Kama Ayurveda y Loto del Sur: 840,2 M de salida de caja por combinaciones de negocio; el fondo de comercio pasa de 1.012 a 1.727 M [4, 5].; 2024: Dr. Barbara Sturm (65 %, 265,3 M netos de caja; aportó 53,6 M de ventas en 2024) y OPV de mayo de 2024 (ampliación de capital de 1.377 M de caja)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bajó de 1.608 M en 2023 a 721 M en 2025 gracias a los 1.377 M de la OPV y a un flujo libre de 521 M, pero sube cada primer semestre: 1.589 M a 30-jun-2026 (1,5 veces el EBITDA ajustado), con 484 M de circulante, el dividendo y 372 M de pagos a minoritarios de Charlotte Tilbury [1, 2]. Con los 558 M de opciones de compra de minoritarios, la deuda neta ajustada es de 2.155 M (2,0 veces el EBITDA). El circulante comercial es alto y estable (20,4 % de las ventas; 202 días de inventario): es el coste de vender perfume en 150 países. La deuda es solo bancaria, sin rating, y la caja de junio (205 M) se apoya en 924 M de líneas no dispuestas [2]. La compra de ISDIN (900 M en el 1T27 y 300 M en 2029) llevará la deuda hacia el techo de 2 veces que fija la propia empresa [42].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1.756</w:t>
      </w:r>
      <w:r>
        <w:t xml:space="preserve">, conversión </w:t>
      </w:r>
      <w:r>
        <w:rPr>
          <w:b/>
          <w:bCs/>
        </w:rPr>
        <w:t xml:space="preserve">79 %</w:t>
      </w:r>
      <w:r>
        <w:t xml:space="preserve"> del beneficio neto; adquisiciones 2.050, dividendos 740, recompras 109.</w:t>
      </w:r>
    </w:p>
    <w:p>
      <w:pPr>
        <w:spacing w:after="100"/>
      </w:pPr>
      <w:r>
        <w:t xml:space="preserve">Los intereses bancarios se pagan dentro de «devolución de deuda e intereses» (financiación); se toman como intereses el coste financiero bancario (2021-2023) y el «coste financiero neto» del movimiento de la deuda (2024-2025) [1, 5]. Adquisiciones incluyen compras de minoritarios: 811,5 M en 2024 por Byredo y Prado Investments y 265,3 M de Sturm [1]. El circulante consumió caja en 2022-2023 (−158 y −194 M) y la liberó en 2024-2025 (+41 M cada año) [1, 5]. Fuerte estacionalidad: flujo operativo de −118,6 M en el 1S26 (−46,2 M en el 1S25) por −483,6 M de circulante; en el 1S26 se pagaron además 260,1 M por minoritarios y 112,0 M de earn-outs [2]. En 2025 entraron 99,2 M por devolución de préstamos a vinculadas [1]. La empresa no separa capex de mantenimiento y de crecimiento; el capex es el 3,9 % de las ventas en 2025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de 2023 y estados con fines especiales 2021-2023; revisión limitada del 1S26 sin salvedades)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limpias en lo grande y opacas en las compras. Ernst &amp; Young firma sin salvedades desde la OPV y la revisión del 1S26 tampoco tiene salvedades [1, 2]. Altman Z de 2,93 (zona gris por la deuda y los intangibles, no por pérdidas), Piotroski F de 8 sobre 9 y Beneish M de −2,60, lejos del umbral de manipulación. Lo que pide atención son los 558 M de opciones de compra de minoritarios a valor razonable (nivel 3): sus cambios de valor van contra el patrimonio (+182 M en 2024, +33 M en 2025) y no pasan por la cuenta, y los earn-outs que se revalorizan a la baja dan ingresos financieros (86,6 M en 2024) porque las marcas compradas (Sturm) rinden menos de lo previsto [1]. La empresa los excluye del beneficio ajustado. Casi todos los años hay «otros gastos operativos» no recurrentes; en 2024 fueron 146,6 M, por la OPV [1]. Los intangibles (4.599 M) superan al patrimonio y no se han deteriorado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por opciones de minoritarios a valor razonable de nivel 3</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987,7 M a dic-25; las revalorizaciones van contra patrimonio (+182,2 M en 2024 y +33,0 M en 2025) y no pasan por la cuenta; la extensión de la opción de Charlotte Tilbury en 2024 dio +197,5 M de patrimonio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Ganancias por revalorización de earn-outs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86,6 M en 2024 y 9,9 M en 2025, por peores previsiones de los negocios comprados; la empresa las excluye del beneficio ajustado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transacción y no recurrentes casi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 ingresos y gastos operativos» distintos de cero en 2021-2025 y en el 1S26 (−10,0 M) [1, 2,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Intangibles de 4.598,7 M (fondo de comercio 2.041,4 M y marcas 2.330,4 M) frente a un patrimonio de 3.899,3 M; sin deterioros en 2024-2025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Exposición a hiperinflación (Argentina) y a divisa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Diferencias de cambio de −27,2 M en 2025 y −45,7 M en 2023 [1,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2.041 M en 2025 (el 44 % del capital invertido medio); ha subido más de un 5 % en 2 de 4 años: compra única grande. ROIC publicado 13,1 %; sin fondo de comercio, 23,4 %.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12,8 % · </w:t>
      </w:r>
      <w:r>
        <w:rPr>
          <w:b/>
          <w:bCs/>
        </w:rPr>
        <w:t xml:space="preserve">WACC</w:t>
      </w:r>
      <w:r>
        <w:t xml:space="preserve">: 8,0 %.</w:t>
      </w:r>
    </w:p>
    <w:p>
      <w:pPr>
        <w:spacing w:after="100"/>
      </w:pPr>
      <w:r>
        <w:rPr>
          <w:b/>
        </w:rPr>
        <w:t xml:space="preserve">Puig crea valor, pero cada vez menos por euro invertido.</w:t>
      </w:r>
      <w:r>
        <w:t xml:space="preserve"> El ROIC después de impuestos fue del 22,3 % y el 22,0 % en 2022-2023 y bajó al 16,3 % en 2024 y al 13,1 % en 2025, frente a un WACC del 8,1 % [1, 5]. No ha bajado el margen (el EBIT pasó del 13,6 % al 16,1 % de las ventas): ha subido el capital, porque las compras de minoritarios de Byredo y Sturm (1.122 M en 2024) y la salida a bolsa engordaron el fondo de comercio y el patrimonio [1]. El ROIC incremental de 2021-2025 es del 12,8 %: el crecimiento comprado rinde algo más que su coste, no mucho más. La rotación del activo (0,59 veces) es la de un negocio de marcas con mucho inventario (202 días). L'Oréal, con un margen EBITDA del 24,3 %, tiene un ROIC del 14,3 % y Estée Lauder del 5,9 % [64, 65].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205,1 M y líneas de crédito no dispuestas de 924 M a 30-jun-2026 (1.036,4 M y 894 M a dic-2025)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de agencia en los documentos leídos: la deuda es bancaria, sin bonos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por combinaciones de negocio (opciones cruzadas de compra y venta con los fundadores y earn-outs, a valor razonable, nivel 3, descontados al WACC de cada negocio): 2.383,0 M en 2022, 2.177,7 M en 2023, 1.087,5 M en 2024, 987,7 M en 2025 (636,3 M a largo y 351,3 M a corto, Charlotte Tilbury) y 558,2 M a 30-jun-2026, todo a largo [1, 2, 4]. Afectan a Charlotte Tilbury (15 % restante, ejercitable 2028-2031), Kama Ayurveda, Loto del Sur y Dr. Barbara Sturm (35 %) [1, 2]. Los cambios de valor van contra patrimonio, salvo los earn-outs, que van a resultado financiero [1]. Sensibilidad: ±2 pp de crecimiento del indicador mueve el pasivo +45/−40 M; ±1,5 pp de tasa, −36/+39 M [1]. Covenant anual de deuda financiera neta / EBITDA (antes de NIIF 16), cumplido [1]. Pensiones de prestación definida en Francia: 10,1 M [1]. Pago aplazado de ISDIN: 300 M fijos sin intereses en el 1T29, más 900 M al cierre (1T27), aún fuera de balance [9, 10].</w:t>
      </w:r>
    </w:p>
    <w:p>
      <w:pPr>
        <w:pStyle w:val="Heading1"/>
      </w:pPr>
      <w:r>
        <w:t xml:space="preserve">12. Asignación de capital</w:t>
      </w:r>
    </w:p>
    <w:p>
      <w:pPr>
        <w:pStyle w:val="Confianza"/>
        <w:spacing w:after="100"/>
      </w:pPr>
      <w:r>
        <w:t xml:space="preserve">Confianza: Media</w:t>
      </w:r>
    </w:p>
    <w:p>
      <w:pPr>
        <w:spacing w:after="100"/>
      </w:pPr>
      <w:r>
        <w:t xml:space="preserve">Dividendo con cargo al resultado: 212,3 M sobre 2024 (pagado en 2025) y 237,5 M sobre 2025, 0,42159 EUR por acción, pagado el 17-jun-2026 (40 % del beneficio atribuido de 2025, cálculo propio) [1, 2]; la empresa reitera un payout de ~40 % del beneficio publicado [12]. En 2024 se repartieron 186,1 M con cargo a prima de emisión, antes de la OPV [1]. No hay recompras en curso; la autocartera es de 4,89 M de acciones [1]. Prioridades declaradas: deuda neta/EBITDA ajustado de hasta 2x y compras «muy selectivas» (ISDIN, 1.200 M) [11,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Charlotte Tilbury (mayoría; maquillaje,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opciones cruzadas sobre el resto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marca de Maquillaje; margen del segmento 11,4 % en 2025; Puig sube al 85 % en 2026 pagando 260 M por el 6,5 % y 112 M de earn-out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Uriage y Apivita (y 50 % de ISDIN), integradas desde el 1-ene-2021</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segmento Cuidado de la piel; Uriage gana cuota en dermocosmética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Byredo, Kama Ayurveda y Loto del Sur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bancaria (emisión de 993 M en 2022)</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Byredo lidera el crecimiento de dos dígitos del nicho; minoritarios de Byredo comprados en 2024 [1, 3,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de Byredo y de Prado Investments, Ltd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Líneas de crédito renovables de 680 M, usadas en parte y devueltas a dic-2024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Pagado 181,6 M por debajo del pasivo registrado (1.038,4 M)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 Barbara Sturm (65 %)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Débil: el cuidado de la piel premium frena el segmento en el 1S26 y los earn-outs se revalorizaron a la baja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50 % restante de ISDIN (de Esteve)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Recursos propios y deuda; 300 M aplazados sin intereses al 1T29</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cierre (previsto a finales del 1T27) y de autorizaciones regulatorias [11].</w:t>
            </w:r>
          </w:p>
        </w:tc>
      </w:tr>
    </w:tbl>
    <w:p>
      <w:pPr>
        <w:spacing w:after="160" w:before="0"/>
      </w:pPr>
    </w:p>
    <w:p>
      <w:pPr>
        <w:spacing w:after="100"/>
      </w:pPr>
      <w:r>
        <w:t xml:space="preserve">La familia Puig ha asignado bien el capital en perfumería y peor fuera de ella. Las compras de 2020-2022 (Charlotte Tilbury, Byredo, Uriage, Apivita) llevaron a Puig a triplicar sus ventas en cinco años, como prometía el plan de 2021 [14]; Charlotte Tilbury dio al maquillaje un margen del 11,4 % en 2025 [1]. Sturm (265 M en 2024) no ha cumplido: sus earn-outs se revalorizaron a la baja y frena el cuidado de la piel premium [1, 3]. En 2021-2025 Puig generó 1.756 M de flujo libre y gastó 2.050 M en compras, 740 M en dividendos y 109 M en recompras, con un ROIC incremental del 12,8 %. ISDIN (1.200 M por el 50 %, unas 3,7 veces las ventas según AlphaValue) es la compra más grande desde la OPV y llega cuando la fusión con Estée Lauder se rompió: el riesgo es pagar por crecer en dermocosmética lo que la perfumería ya no da [42, 70].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 Manuel Albesa Muniesa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Puig desde 1998, con cargos en desarrollo de marcas, marketing y operaciones y papel central en la expansión internacional de Fragancias y Moda; hasta marzo de 2026 era Deputy CEO y presidente de Beauty and Fashion [34, 41]. Nombrado CEO el 17-mar-2026 tras un proceso de sucesión de más de un año con candidatos internos y externos, y consejero ejecutivo por la junta de 2026 con el 99,98 % a favor [33, 41]. Como CEO ha cerrado el 1S26 con ventas de 2.354 M EUR (+4,4 % comparable) y margen EBITDA ajustado del 19,5 % [3], y los nueve primeros meses con 3.745 M EUR (+4,8 % comparable), con un tercer trimestre de +5,6 % comparable, el mejor del año [11]. Presentará su primer plan estratégico en el Capital Markets Day del 28-oct-2026 [11].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Puig Guasch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la antigua matriz Puig, S.L. desde 1999 y presidente y consejero delegado de Puig Brands hasta el 17-mar-2026; sigue como presidente ejecutivo, centrado en fusiones y adquisiciones y nombramientos clave [31, 41]. Bajo su mandato se cumplió el plan 2021-2025: duplicar las ventas de 2020 en tres años y triplicarlas en cinco, hasta 5.042 M EUR en 2025 [14]. Tiene directamente el 0,159 % de los derechos de voto y representa a Consilium, S.L. en los consejos de Exea Inversión Empresarial y Exea Quorum, sociedades de control de la familia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Miquel Angel Serra Duran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vicepresidente de Corporate Controlling y Relaciones con Inversores de Puig; sustituye desde el 17-mar-2026 a Joan Albiol, CFO desde 2009, que sigue como secretario no consejero del consejo y mantiene las funciones legales y de M&amp;A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Bach Kutschruetter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Chief Operating Officer y presidente de Global Markets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alta dirección en 2025 [34]. En noviembre de 2025 aportó 107.264 acciones clase B a su sociedad Base 2 BCN, S.L., que controla (0,02 % del capital) [49].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Demetra Pinsent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Charlotte Tilbury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alta dirección del grupo en 2025 [34]. Dirige la marca que encabeza el crecimiento de Maquillaje en el 1S26 [3]; la fundadora conserva una participación minoritaria con opciones cruzadas de compra y venta entre 2026 y principios de 2031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Marc Toulemonde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la división Derma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 la alta dirección en 2025 [34]. Vendió 73.773 acciones a 16,07 EUR el 30-jun-2026 (1,19 M EUR) [48]. Su división crecerá con la compra del 50 % de Isdin que Puig aún no tiene, anunciada el 14-sep-2026 [42].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estratégico de 2021: duplicar las ventas de 2020 en tres años y triplicarlas en cinco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más que duplicadas en 2022 y más que triplicadas en 2025, hasta 5.042 M EUR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OPV: crecimiento comparable a medio plazo de un dígito alto, por encima del mercado de belleza premium, y mejora del margen EBITDA ajustado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4.790 M EUR, +10,9 % comparable y +11,3 % reportado; margen EBITDA ajustado del 20,2 % (+0,2 puntos), ligeramente por encima de lo previsto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del 6-8 % y mejora del margen EBITDA ajustado en línea con la de 2024 (unos +0,2 puntos) [44,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5.042 M EUR, +7,8 % comparable (parte alta del rango) y +5,3 % reportado; margen EBITDA ajustado del 20,7 % (+0,5 puntos)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Crecer por encima del mercado de belleza premium en términos comparables con margen EBITDA ajustado estable frente al 20,7 % de 2025; deuda neta/EBITDA ajustado no superior a 2,0x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ventas de 2.354 M EUR, +4,4 % comparable, y margen EBITDA ajustado del 19,5 % (+0,15 puntos); deuda neta/EBITDA ajustado de 1,5x [3]. 9M26: ventas de 3.744,5 M EUR, +4,8 % comparable y +4,1 % reportado, con el 3T26 a +5,6 % comparable (+7,2 % reportado); guía reafirmada el 21-oct-2026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Desde la OPV de mayo de 2024 la dirección ha cumplido todas sus guías anuales: en 2024 creció un 10,9 % comparable con un margen del 20,2 % [44], y en 2025 un 7,8 % con un margen del 20,7 %, por encima de lo previsto [14]. La guía de 2026 es menos concreta: solo promete crecer por encima del mercado de belleza premium con el margen estable [14]. El crecimiento comparable bajó al 4,4 % en el 1S26 [3] y repuntó al 5,6 % en el 3T26, con 4,8 % en nueve meses y la guía reafirmada [11]. En marzo de 2026 cambiaron a la vez el primer ejecutivo y el director financiero [41]; los dos sucesores son internos. Marc Puig sigue como presidente ejecutivo y conserva el M&amp;A [41]. El día del inversor, previsto para el 14-abr-2026, se aplazó por las conversaciones con Estée Lauder [14] y será el 28-oct-2026, primera prueba pública del nuevo equipo [11].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Puig Guasch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y Responsabilidad Social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 Manuel Albesa Muniesa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consta en los documentos revisados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Manuel Puig Rocha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y Responsabilidad Social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Nicolas Mirzayantz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Nombramientos y Retribuciones; Sostenibilidad y Responsabilidad Social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Lalonde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Ángeles García-Poveda Morera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 Sostenibilidad y Responsabilidad Social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Christine A. Mei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Dolores Dancausa Treviño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Tina Müller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Van Ongevalle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consta en los documentos revisados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Jordi Constans Fernández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Rafael Cerezo Laporta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Yiannis Petrides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Sostenibilidad y Responsabilidad Social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54 %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Jordi Constans Fernández, Rafael Cerezo Laporta, Yiannis Petrides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de 2023 y estados con fines especiales 2021-2023; revisión limitada del 1S26 sin salvedades)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1,07 / ventas 2,41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Exea Quorum, S.L. (familia Puig), a través de Exea Inversión Empresarial,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todas las acciones clase A (5 votos) y parte de las clase B; 93,21 % de los derechos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73,50 % al 74,40 % del capital en 2025 (92,97 % al 93,21 % de los votos) tras comprar a directivos 5.249.194 acciones clase B en sep-2025; última notificación a la CNMV, 4-sep-2026, con el 93,209 % de los votos [32, 36,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propias clase B (4.894.911 acciones)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4.886.667 acciones a cierre de 2025, sin variaciones en el año; 4.894.911 a la junta de 29-may-2026 (0,229 % de los votos) [33,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Consejo de administración (participación directa e indirecta)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0,206 % de los derechos de voto a cierre de 2025; 93,417 % representado con los dominicales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Torrellimona, S.L. (vinculada a Josep Oliu) compró 70.000 acciones el 22-may-2026 [34,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 estimado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136.144.260 acciones clase B (77,88 % de la clase B cotizada)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de la sociedad a cierre de 2025 [34]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James (presidente de Niche &amp; Wellness Brands)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James (presidente de Niche &amp; Wellness Brands)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Pedro Escudero Chinchilla (presidente de Américas)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32.627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Toulemonde (presidente de Derma)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73.773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Pedro Escudero Chinchilla (presidente de Américas)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Torrellimona, S.L. (vinculada al consejero dominical Josep Oliu Creus)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Marc Puig, entonces presidente y consejero delegado, devengó 5,25 M EUR: 1,80 M de fijo, 3,42 M de incentivo anual y 0,02 M en especie, más 0,54 M de aportación a previsión social, sin incentivo a largo plazo devengado [30]. El incentivo anual se pagó al 172,4 % del objetivo (189,6 % del fijo) y mide EBITDA ajustado (30 %), ventas comparables (30 %), costes fijos (10 %), flujo libre (10 %), ESG (10 %) y objetivos individuales (10 %) [30]. El plan a largo plazo 2025-2027 mide margen EBITDA ajustado (50 %), ventas (40 %) y ESG (10 %), sin ROIC ni rentabilidad para el accionista [30]. Hay cláusulas de reducción y recuperación (malus y clawback) y una indemnización de dos años de fijo [30, 34]. Tras la junta de 2025, accionistas y asesores de voto criticaron la cuantía máxima del paquete [30]. En la junta de 2026, la política tuvo un 98,5 % a favor, pero, según una estimación propia, el capital libre presente votó un 43,7 % en contra [33].</w:t>
      </w:r>
    </w:p>
    <w:p>
      <w:pPr>
        <w:pStyle w:val="Heading2"/>
      </w:pPr>
      <w:r>
        <w:t xml:space="preserve">Operaciones vinculadas, estructura de control y defensas</w:t>
      </w:r>
    </w:p>
    <w:p>
      <w:pPr>
        <w:spacing w:after="100"/>
      </w:pPr>
      <w:r>
        <w:t xml:space="preserve">Puig tiene dos clases de acciones. Las clase A (393,4 millones) no cotizan y dan 5 votos cada una; las clase B (174,8 millones) cotizan y dan un voto [32, 34]. La familia Puig, a través de Exea Quorum y Exea Inversión Empresarial, tiene el 74,4 % del capital y el 93,21 % de los votos, y decide sola la junta [32, 34, 36]. La sociedad no tiene comunicados pactos parasociales [34]. Las acciones clase A llevan derecho de adquisición preferente y de retracto a favor de la sociedad, y pueden convertirse en clase B en cualquier momento [34]. Los estatutos (art. 17 bis) exigen autorización de la junta para vender marcas con más de diez años en el grupo, como la marca Aromas de Castilla en 2026 [53]. Los consejeros vinculados a Exea no se abstienen en las operaciones vinculadas con el accionista de control [34]. Las tiendas de Carolina Herrera en Nueva York y de Rabanne en París y la sede se alquilan a Inmo, S.L., sociedad en cuyo consejo se sienta Manuel Puig [34]. En sep-2025 Exea compró con prima 5,25 millones de acciones a directivos para que devolvieran préstamos que el grupo les había concedido antes de la OPV [40].</w:t>
      </w:r>
    </w:p>
    <w:p>
      <w:pPr>
        <w:pStyle w:val="Heading2"/>
      </w:pPr>
      <w:r>
        <w:t xml:space="preserve">Señales de alerta</w:t>
      </w:r>
    </w:p>
    <w:p>
      <w:pPr>
        <w:pStyle w:val="ListParagraph"/>
        <w:numPr>
          <w:ilvl w:val="0"/>
          <w:numId w:val="2"/>
        </w:numPr>
        <w:spacing w:after="60"/>
      </w:pPr>
      <w:r>
        <w:t xml:space="preserve">En la junta de 2026 los accionistas minoritarios presentes votaron en contra en una proporción alta, según una estimación propia que descuenta los votos de Exea: el 43,7 % contra la política de remuneraciones, el 46,9 % contra la entrega de acciones a los consejeros ejecutivos y el 25,8 % contra el informe de remuneraciones de 2025. Sobre el total de votos emitidos, el voto en contra fue del 1,5 %, 1,6 % y 0,9 % [33].</w:t>
      </w:r>
    </w:p>
    <w:p>
      <w:pPr>
        <w:pStyle w:val="ListParagraph"/>
        <w:numPr>
          <w:ilvl w:val="0"/>
          <w:numId w:val="2"/>
        </w:numPr>
        <w:spacing w:after="60"/>
      </w:pPr>
      <w:r>
        <w:t xml:space="preserve">En marzo de 2026 cambiaron a la vez el primer ejecutivo y el director financiero; el CFO saliente llevaba en el cargo desde 2009 [41].</w:t>
      </w:r>
    </w:p>
    <w:p>
      <w:pPr>
        <w:pStyle w:val="ListParagraph"/>
        <w:numPr>
          <w:ilvl w:val="0"/>
          <w:numId w:val="2"/>
        </w:numPr>
        <w:spacing w:after="60"/>
      </w:pPr>
      <w:r>
        <w:t xml:space="preserve">Puig confirmó el 23-mar-2026 conversaciones de fusión con The Estée Lauder Companies y las dio por terminadas sin acuerdo el 21-may-2026 [38, 39]. En la junta del 29-may-2026 Marc Puig dijo «no estamos en venta» y que la familia quiere «quedarse a largo plazo» [54]. Hasta el 21-oct-2026 no hay en la CNMV ninguna información privilegiada nueva sobre Estée Lauder: la última es la compra de Isdin del 14-sep [56].</w:t>
      </w:r>
    </w:p>
    <w:p>
      <w:pPr>
        <w:pStyle w:val="ListParagraph"/>
        <w:numPr>
          <w:ilvl w:val="0"/>
          <w:numId w:val="2"/>
        </w:numPr>
        <w:spacing w:after="60"/>
      </w:pPr>
      <w:r>
        <w:t xml:space="preserve">El 14-sep-2026 Puig acordó comprar a Esteve el 50 % de Isdin que no tiene, por 1.200 M EUR: 900 M en efectivo al cierre, previsto a finales del 1T27 y sujeto a autorizaciones, y 300 M aplazados sin interés hasta el 1T29 [11, 42]. La deuda neta no debe superar 2,0 veces el EBITDA ajustado [42].</w:t>
      </w:r>
    </w:p>
    <w:p>
      <w:pPr>
        <w:pStyle w:val="ListParagraph"/>
        <w:numPr>
          <w:ilvl w:val="0"/>
          <w:numId w:val="2"/>
        </w:numPr>
        <w:spacing w:after="60"/>
      </w:pPr>
      <w:r>
        <w:t xml:space="preserve">Operaciones con el entorno del accionista de control. Puig alquila locales y la sede a Inmo, S.L. En sep-2025 Exea compró acciones a directivos para cancelar préstamos que el grupo les había dado antes de la OPV [34, 40].</w:t>
      </w:r>
    </w:p>
    <w:p>
      <w:pPr>
        <w:pStyle w:val="ListParagraph"/>
        <w:numPr>
          <w:ilvl w:val="0"/>
          <w:numId w:val="2"/>
        </w:numPr>
        <w:spacing w:after="60"/>
      </w:pPr>
      <w:r>
        <w:t xml:space="preserve">Inspección fiscal en curso del grupo fiscal que encabeza Exea (Impuesto sobre Sociedades 2019-2022, IVA y retenciones 2020-2022). Puig Brands recibió una notificación propia en marzo de 2025 [32].</w:t>
      </w:r>
    </w:p>
    <w:p>
      <w:pPr>
        <w:pStyle w:val="ListParagraph"/>
        <w:numPr>
          <w:ilvl w:val="0"/>
          <w:numId w:val="2"/>
        </w:numPr>
        <w:spacing w:after="60"/>
      </w:pPr>
      <w:r>
        <w:t xml:space="preserve">Ventas de acciones de cuatro directivos entre junio y septiembre de 2026 por unos 2,4 M EUR, frente a una sola compra de un consejero dominical, por 1,07 M EUR, al día siguiente de la ruptura con Estée Lauder [46, 47, 48, 50, 51, 52]. Entre el 21-sep y el 21-oct-2026 no hay notificaciones nuevas en el registro de la CNMV [55].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Puig reiteró el 21-oct-2026, con las ventas de los nueve meses, su objetivo para 2026: crecer por encima del mercado de belleza premium en términos comparables y mantener estable el margen de EBITDA ajustado, en línea con el de 2025 (20,7 %) [11, 14]. Los nueve meses cerraron con ventas de 3.744,5 M EUR, +4,8 % comparable y +4,1 % reportado (efecto divisa de −0,7 %), con un tercer trimestre de +5,6 % comparable que acelera desde el +4,1 % del primer semestre [3, 11]. El plan a medio plazo se presentará en el Capital Markets Day del 28-oct-2026 [11]. La compra del 50 % restante de ISDIN (900 M EUR al cierre, previsto a finales del 1T27, y 300 M EUR sin intereses en el 1T29) sigue pendiente de autorizaciones; la empresa espera mantener la deuda neta por debajo de 2 veces el EBITDA ajustado [11, 70].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21-oct-2026, antes de las revisiones tras las ventas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21-oct-2026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21-oct-2026 [59]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 – 22,00</w:t>
            </w:r>
          </w:p>
        </w:tc>
      </w:tr>
    </w:tbl>
    <w:p>
      <w:pPr>
        <w:spacing w:after="160" w:before="0"/>
      </w:pPr>
    </w:p>
    <w:p>
      <w:pPr>
        <w:pStyle w:val="Heading2"/>
      </w:pPr>
      <w:r>
        <w:t xml:space="preserve">Revisiones de estimaciones</w:t>
      </w:r>
    </w:p>
    <w:p>
      <w:pPr>
        <w:spacing w:after="100"/>
      </w:pPr>
      <w:r>
        <w:t xml:space="preserve">Entre el 9 y el 21-oct-2026, antes de las ventas, el consenso subió poco: BPA de 2027e de 1,176 a 1,191 EUR (+1,3 %) y de 2028e de 1,256 a 1,27 EUR (+1,1 %), ventas de 2027e de 5.546 a 5.563 M; 2026e casi igual (BPA 1,107 a 1,108) [59]. El objetivo medio pasó de 19,58 a 19,94 EUR (mediana 20,00) con las mismas 11 compras y 5 mantener [59, 60]: Renta 4 lo subió de 20,8 a 22,6 EUR (Sobreponderar), Bestinver a 20 EUR (Comprar) y JP Morgan mantuvo Neutral con 16 EUR, aunque elevó sus estimaciones (ventas de 2026 de 5.254 M y crecimiento comparable del 4,2 %) [75]. Antes, Jefferies (Comprar, 21 EUR) y Berenberg (Mantener, 17,70 a 18,10 EUR) el 22-sep [60]. MarketScreener y Stock Analysis no publican en texto la serie de estimaciones a 3 y 12 meses [59, 60]. Las revisiones tras las ventas del 21-oct aún no están publicadas.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Puig cotiza desde la OPV del 3-may-2024 a 24,50 EUR, así que solo hay 29 meses de historia. La acción cayó un 51,2 % entre el 12-jun-2024 y el 14-oct-2025 y en 2025 perdió un 16,6 % mientras el IBEX ganaba un 49,3 % [57]. Desde entonces ha recuperado: +37,2 % en un año y +31,7 % en 2026 hasta el 21-oct, frente al +11,6 % del IBEX y el −9,4 % del sector europeo de cuidado personal y hogar (EXH7) [57]. El 22-may-2026, tras romperse las conversaciones de fusión con Estée Lauder, cayó un 13,4 % [57, 77]. Tras anunciar la compra de ISDIN bajó hasta 16,86 EUR (17-sep) y desde ahí subió un 16 % hasta el máximo del 16-oct, con subidas de precio objetivo y a la espera de las ventas y del Capital Markets Day [57, 75]. El cierre del informe (19,59 EUR, 21-oct) es anterior a la publicación de las ventas [11].</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 / +18,8 % / +6,6 % / +39,8 %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 +44,3 %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Ruptura de las conversaciones de fusión con Estée Lauder anunciada el 21-may-2026; la acción cayó un 13,4 % el 22-may y un 17 % en el mes hasta el 25-may [57, 77]. Tras la ruptura, la dirección dijo que su hoja de ruta no había cambiado [75].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Rebote desde 16,86 EUR (17-sep), tras la caída por la compra de ISDIN, hasta 19,57 EUR (16-oct): subidas de objetivo (Renta 4 a 22,6 EUR, Bestinver a 20 EUR), mejoras de estimaciones de JP Morgan y posicionamiento antes de las ventas del 21-oct y del Capital Markets Day; el sector también subió (L'Oréal +6,4 % y Estée Lauder +8,2 % desde el 9-oct) [57, 74, 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nueve meses tras el cierre: 3T26 de 1.390,8 M EUR, +5,6 % comparable (Jefferies esperaba +5,0 %), Maquillaje +16,1 %, Fragancias y Moda +3,9 %, Cuidado de la piel −0,8 %; reitera la guía de 2026 [11, 76]. El precio del informe es anterior: la reacción se verá el 22-oct.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Markets Day en Madrid: primera actualización de la estrategia y de los objetivos a medio plazo desde la OPV [11]. Puede mover el precio más de un 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conocer los objetivos a medio plazo del Capital Markets Day del 28-oct-2026 y la reacción del precio a las ventas del 3T26.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 4 sube el objetivo de 20,8 a 22,6 EUR (Sobreponderar), Bestinver a 20 EUR (Comprar); JP Morgan sigue en Neutral con 16 EUR [75]. Objetivo medio de 19,94 EUR, 11 compras y 5 mantener [59].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50 % de ISDIN a Esteve por 900 M EUR al cierre (finales del 1T27, pendiente de autorizaciones) y 300 M sin intereses en el 1T29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y Puig dan por terminadas las conversaciones de fusión, sin acuerdo [77]. No hay ninguna operación en curso; las opciones y la cláusula de cambio de control de Charlotte Tilbury complicaron la negociación [75].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acción está en máximos de 52 semanas (19,59 EUR), con tendencia alcista (+15,7 % sobre la media de 200 sesiones) y un +16 % en el último mes, en parte por el sector [57, 74]. Las ventas del 3T26 superaron lo esperado por Jefferies, pero el precio del informe es anterior a su publicación, y en una semana hay un Capital Markets Day con nuevos objetivos que puede mover la acción más de un 5 % en cualquier sentido. No hay colocaciones anunciadas y el flotante es solo del 24,9 % [58]. Veredicto: retrasa, hasta conocer esos objetivos.</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Solo hay dos cierres de ejercicio desde la OPV de mayo de 2024 (24,50 EUR): 17,83 EUR a fin de 2024 y 14,87 EUR a fin de 2025 [57]. Ningún proveedor gratuito publica los múltiplos de los próximos 12 meses de esos años.</w:t>
      </w:r>
    </w:p>
    <w:p>
      <w:pPr>
        <w:pStyle w:val="Heading1"/>
      </w:pPr>
      <w:r>
        <w:t xml:space="preserve">18. Comparables cotizados</w:t>
      </w:r>
    </w:p>
    <w:p>
      <w:pPr>
        <w:pStyle w:val="Confianza"/>
        <w:spacing w:after="100"/>
      </w:pPr>
      <w:r>
        <w:t xml:space="preserve">Confianza: Media</w:t>
      </w:r>
    </w:p>
    <w:p>
      <w:pPr>
        <w:spacing w:after="100"/>
      </w:pPr>
      <w:r>
        <w:t xml:space="preserve">Empresas cotizadas de belleza de gama alta con perfumería y maquillaje de prestigio: L'Oréal y Estée Lauder (líderes mundiales), Coty (perfumes con licencias, el modelo más parecido al de Puig en fragancias), Interparfums SA e Inter Parfums Inc (perfumes con licencias de moda; la estadounidense controla la francesa), Shiseido (prestigio en Asia), Beiersdorf (cuidado de la piel; incluye tesa, adhesivos) y e.l.f. (maquillaje de crecimiento). Se deja fuera LVMH: su división de perfumes y cosméticos pesa menos del 10 % del grupo y el múltiplo es el de la moda y el lujo. Kao y otras de consumo masivo quedan fuera por mezcla de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Puig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Estée Lauder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Interparfums 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 Parfums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Shiseido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Beiersdorf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e.l.f. Beauty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 / 13,9x / 16,7x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14,9x / 19,6x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 / 28,2x / 30,6x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2,7x / 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11,7 + 0,50 × crecimiento; R² = 0,52. Para el crecimiento esperado de la empresa (6,0 %), el múltiplo ajustado es 14,7x y el valor por acción, 28,55.</w:t>
      </w:r>
    </w:p>
    <w:p>
      <w:pPr>
        <w:spacing w:after="100"/>
      </w:pPr>
      <w:r>
        <w:t xml:space="preserve">Datos actualizados al 21-oct-2026: precios de cierre del 21-oct en las europeas y del 20-oct (última sesión cerrada al corte) en las de EE. UU. y Japón [74], tipos del BCE del 21-oct (1,1234 USD y 177,36 JPY por EUR) [62]. Sobre la tabla del 9-oct (capitalización, valor empresa, ROIC y rentabilidad por flujo libre de Stock Analysis [65]; ventas, EBITDA y BPA de MarketScreener [64]) se reescala la capitalización con el precio y el valor empresa con el cambio de capitalización, sin tocar la deuda neta (estimación propia). Las estimaciones de los comparables no se han vuelto a descargar. La mediana de EV/EBITDA de los próximos 12 meses pasa de 13,2 a 13,9 veces y la de PER de 25,7 a 28,2 veces: el sector subió entre un 3 % (Inter Parfums Inc) y un 14 % (Interparfums SA) en doce días.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ISDIN (50 %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 (a Esteve, CQFE)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 M EUR por el 50 %: 900 M en efectivo al cierre (previsto a finales del 1T27, pendiente de autorizaciones) y 300 M sin intereses en el 1T29 [11]. AlphaValue estima que valora el 100 % en unos 2.400 M EUR, 3,7 veces las ventas de 2025; no se publicó EBITDA [70].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Beauté (Creed y licencias a 50 años de Gucci, Bottega Veneta y Balenciaga)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 M EUR en efectivo al cierre (1S26), que incluye la venta de Creed y las licencias; con regalías aparte. No se publicaron ventas ni EBITDA [69].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Rhode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e.l.f. Beauty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800 M USD al cierre (600 M en efectivo y 200 M en acciones) más hasta 200 M USD de pago variable a tres años; 3,8 veces las ventas de 212 M USD de los 12 meses a mar-2025 (4,7 veces con el variable)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Creed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3.500 M EUR según el Financial Times, con ventas de más de 250 M EUR en el ejercicio a mar-2023: unas 14 veces las ventas como máximo. Marca de nicho con márgenes muy altos; múltiplo atípico [71].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Aesop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 (a Natura &amp;Co)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2.525 M USD con ventas de 537 M USD en 2022: 4,7 veces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 Ford (marca, con Tom Ford Beauty)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Estée Lauder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total de 2.800 M USD; Estée Lauder paga unos 2.300 M USD netos de 250 M de Marcolin. No se publicaron ventas ni EBITDA del conjunto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Byredo (77 %)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por el 100 %: 826,2 M EUR en efectivo, 393,8 M de opciones de compra y venta por el 23 % y 43,3 M de pago variable; con 19,2 M de caja adquirida, valor empresa de unos 1.244 M (estimación propia) sobre 163,2 M EUR de ventas pro forma de 2022: 7,6 veces [5].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Wella, Clairol, OPI y ghd (60 %)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KKR (a Coty)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4.300 M USD, 12,3 veces el EBITDA de 2019, con 2.350 M USD de ventas del ejercicio 2019 (1,8 veces) [72].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32,27 – 41,32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Los valores empresa en USD se convierten a EUR con el tipo del BCE del 9-oct-2026 (1,1206) [62]; los múltiplos no dependen del tipo. Casi ninguna operación del sector publica EBITDA: la referencia es EV/ventas. Las marcas de prestigio de crecimiento se pagaron a 3,7-4,7 veces ventas (ISDIN, Rhode, Aesop) y la de nicho Byredo a 7,6 veces; el negocio maduro de peluquería de Wella, a 12,3 veces EBITDA. Las conversaciones de fusión con Estée Lauder terminaron sin acuerdo el 21-may-2026 y no llegaron a publicar términos [77]; no hay ninguna oferta en curso sobre Puig, controlada por la familia (flotante del 24,9 % [58]).</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+4,0 %: los nueve meses crecen un 4,1 % reportado (+4,8 % comparable), con un 3T26 del +7,2 % reportado (+5,6 % comparable) y la divisa a favor por primera vez en el año; la guía, reiterada el 21-oct, pide crecer más que el mercado de belleza premium [11]. El consenso da +3,7 % [59]. 2027e-2028e +5,5 %: el consenso da +6,1 % y +5,2 % [59]; Puig creció un 10,9 % y un 7,8 % comparable en 2024-2025 y ganó 0,3 puntos de cuota en el 1S26 [3]. Luego baja medio punto al año hasta el 3 % de 2033e. La media (4,4 %) está por debajo del 5 % que estimamos para el mercado de perfumería selectiva y muy por debajo del 18,2 % anual de 2021-2025, que incluye compras [13]. ISDIN no entra: no ha cerrado.</w:t>
      </w:r>
    </w:p>
    <w:p>
      <w:pPr>
        <w:keepNext/>
        <w:spacing w:after="100"/>
      </w:pPr>
      <w:r>
        <w:rPr>
          <w:b/>
          <w:bCs/>
        </w:rPr>
        <w:t xml:space="preserve">Márgenes.</w:t>
      </w:r>
    </w:p>
    <w:p>
      <w:pPr>
        <w:spacing w:after="100"/>
      </w:pPr>
      <w:r>
        <w:t xml:space="preserve">Margen EBITDA ajustado del 20,7 % en 2026e (la guía: estable) que sube al 21,5 % en 2030e, 0,2 puntos por año, como en 2024-2025 (20,2 % y 20,7 %) [1, 14]. El consenso da un 20,7-20,9 % en 2026e-2028e [59]. El techo del 21,5 % queda por debajo del 24,3 % de L'Oréal y por encima del 16,5 % de Estée Lauder [64]. El margen bruto (75,1 %) ya está en máximos; la mejora tiene que venir de diluir costes fijos, porque la publicidad (32,7 % de las ventas) no baja [13].</w:t>
      </w:r>
    </w:p>
    <w:p>
      <w:pPr>
        <w:keepNext/>
        <w:spacing w:after="100"/>
      </w:pPr>
      <w:r>
        <w:rPr>
          <w:b/>
          <w:bCs/>
        </w:rPr>
        <w:t xml:space="preserve">Inversión y circulante.</w:t>
      </w:r>
    </w:p>
    <w:p>
      <w:pPr>
        <w:spacing w:after="100"/>
      </w:pPr>
      <w:r>
        <w:t xml:space="preserve">Capex del 5,6 % de las ventas: el de caja de 2025 (3,9 %) más los pagos de arrendamientos (1,8 %), para que el DCF pague el alquiler de sus 330 tiendas y oficinas (NIIF 16) [1, 13]. La amortización (4,7 % en 2025, incluida la de derechos de uso) converge al 5,2 %. Circulante del 20,5 % de las ventas, el de 2025 (20,4 %); el negocio necesita unos 20 céntimos de circulante por euro de ventas nuevas. Tipo impositivo del 25 %, frente al 24,7 % de 2025 [1].</w:t>
      </w:r>
    </w:p>
    <w:p>
      <w:pPr>
        <w:keepNext/>
        <w:spacing w:after="100"/>
      </w:pPr>
      <w:r>
        <w:rPr>
          <w:b/>
          <w:bCs/>
        </w:rPr>
        <w:t xml:space="preserve">Coste del capital.</w:t>
      </w:r>
    </w:p>
    <w:p>
      <w:pPr>
        <w:spacing w:after="100"/>
      </w:pPr>
      <w:r>
        <w:t xml:space="preserve">Tasa libre del 3,47 %, el Bund alemán a 10 años del 21-oct-2026 [61]. Beta de 0,86: la de Damodaran para productos del hogar y cuidado personal (0,74 desapalancada) reapalancada con un 21 % de deuda sobre capital [63]; la de la propia acción (0,47-0,71 frente al STOXX 600) solo tiene 29 meses de historia [57]. Prima de mercado del 5,5 % y una prima adicional de 1 punto por el control: la familia tiene el 93 % de los votos, el flotante es del 24,9 % y el capital libre votó en un 43,7 % contra la política de remuneración [33, 36]. Coste de la deuda del 4,0 % y un 19 % de deuda a valor de mercado. WACC del 8,02 %; con la prima implícita del mercado (4,20 %), el 7,12 % [73].</w:t>
      </w:r>
    </w:p>
    <w:p>
      <w:pPr>
        <w:keepNext/>
        <w:spacing w:after="100"/>
      </w:pPr>
      <w:r>
        <w:rPr>
          <w:b/>
          <w:bCs/>
        </w:rPr>
        <w:t xml:space="preserve">Valor terminal.</w:t>
      </w:r>
    </w:p>
    <w:p>
      <w:pPr>
        <w:spacing w:after="100"/>
      </w:pPr>
      <w:r>
        <w:t xml:space="preserve">Crecimiento a perpetuidad del 2,5 %: inflación del euro de unos 2 % y algo de crecimiento real, por debajo de la tasa libre menos medio punto (3,03 %). El múltiplo de salida implícito es de 9,6 veces el EBITDA, por debajo de los 10,2 de hoy y de la mediana de 12,3 veces de los comparables.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M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(reinvierte el 53 %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(histórico: 12,8 %)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 frente al 4,4 %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715 M, el 12 % del NOPAT, con un capex bruto medio del 5,6 % de las ventas). En un negocio de activos ligeros, el crecimiento medio del 4,4 %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+4,4 % comparable con −2,1 puntos de divisa; subidas de precio en EE. UU. desde agosto de 2025 por los aranceles; reparto entre volumen y precio, estimación propia [3,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+6,1 % [59]; Puig ganó 0,3 puntos de cuota en perfumería selectiva en el 1S26 y tiene tres de las diez primeras marcas [3, 13]. Sin ISDIN.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+5,2 % [59]; precio y mezcla hacia el nicho (Byredo, Penhaligon's) y el maquillaje de Charlotte Tilbury.</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perfumería selectiva previsto al +5 % anual (estimación propia sobre L'Oréal y el folleto de la OPV) [16, 24].</w:t>
            </w:r>
          </w:p>
        </w:tc>
      </w:tr>
    </w:tbl>
    <w:p>
      <w:pPr>
        <w:spacing w:after="160" w:before="0"/>
      </w:pPr>
    </w:p>
    <w:p>
      <w:pPr>
        <w:spacing w:after="100"/>
      </w:pPr>
      <w:r>
        <w:t xml:space="preserve">Sí. El 4,4 % anual del caso base apenas necesita capital (la reinversión neta es el 12 % del beneficio operativo después de impuestos) y queda por debajo de lo que Puig ya ha demostrado: un 10,9 % y un 7,8 % comparable en 2024-2025, un 4,4 % en el 1S26 con el mercado casi plano, y 0,3 puntos más de cuota en perfumería selectiva [3]. El poder de precios está probado: el margen bruto subió del 72,9 % al 75,1 % en cuatro años y Puig subió precios en EE. UU. en 2025 sin perder cuota [1, 13]. El riesgo no es la calidad sino el mercado: si la perfumería se queda en el +1 % de 2025, el crecimiento caerá, y eso es el escenario bajista. No se da cuota implícita porque el mercado de perfumería no incluye el maquillaje ni el cuidado de la piel de Puig.</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20,9 % (base: 21,5 %)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(WACC: 8,0 %)</w:t>
            </w:r>
          </w:p>
        </w:tc>
      </w:tr>
    </w:tbl>
    <w:p>
      <w:pPr>
        <w:spacing w:after="160" w:before="0"/>
      </w:pPr>
    </w:p>
    <w:p>
      <w:pPr>
        <w:spacing w:after="100"/>
      </w:pPr>
      <w:r>
        <w:t xml:space="preserve">El DCF da 20,45 EUR por acción, un 4,4 % por encima del precio de 19,59 EUR, con un 70 % del valor en el terminal. </w:t>
      </w:r>
      <w:r>
        <w:rPr>
          <w:b/>
        </w:rPr>
        <w:t xml:space="preserve">Tras la subida de octubre, el precio ya pide casi lo que esperamos.</w:t>
      </w:r>
      <w:r>
        <w:t xml:space="preserve"> El DCF inverso dice que los 19,59 EUR suponen un crecimiento de las ventas del 3,4 % anual en 2027e-2033e, frente al 4,4 % de nuestro caso base, o un margen EBITDA del 20,9 % en vez del 21,5 %. Comprar a este precio rinde un 8,2 % anual si se cumple el caso base, apenas lo que cuesta el capital (WACC del 8,02 %). El 11-oct, a 18,08 EUR, el precio pedía un 1,9 % y rendía un 8,7 %: la acción ha subido un 8,4 % en doce días y se ha comido el margen [57]. El valor es sensible a la tasa: con el WACC y el crecimiento a perpetuidad medio punto arriba o abajo va de 17,55 a 24,61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 perfumería selectiva se queda en el +1 % de 2025, las imitaciones baratas y las marcas nacidas en redes quitan precio, y Puig crece como Coty o Estée Lauder en 2024-2026: menos del 1 % anual y 3 puntos menos de margen por más publicidad. Es lo que les pasó a esos dos competidores, cuyo margen operativo cayó al 5 % y al −1 % [19, 20].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 crece algo por debajo de su mercado (4,4 % anual), con un margen que sube 0,2 puntos al año hasta el 21,5 %, y la compra de ISDIN se paga a su valor.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perfumería de nicho (Byredo) y Charlotte Tilbury vuelven a crecer a un dígito alto, como en 2024, y el día del inversor fija un margen del 22-23 %: ventas un 6,4 % anual y margen del 22,5 %.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19,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19,31 EUR (-1,4 %).</w:t>
      </w:r>
    </w:p>
    <w:p>
      <w:pPr>
        <w:spacing w:after="100"/>
      </w:pPr>
      <w:r>
        <w:t xml:space="preserve">La asimetría es mala: el alcista vale 23,90 EUR (+22,0 %) y el bajista 13,11 (−33,1 %), 0,66 veces. El bajista no es cosmético: deja las ventas casi planas siete años y quita tres puntos de margen, lo que ya les pasó a Coty y Estée Lauder. El alcista está limitado porque no damos a Puig un margen como el de L'Oréal. El valor ponderado por probabilidad es de 19,31 EUR, un 1,4 % por debajo del precio. Con la prima de riesgo que hoy pide el mercado (4,20 %), el bajista sube a 15,59 EUR y el alcista a 28,94, una asimetría de 2,3 veces.</w:t>
      </w:r>
    </w:p>
    <w:p>
      <w:pPr>
        <w:pStyle w:val="Heading1"/>
      </w:pPr>
      <w:r>
        <w:t xml:space="preserve">22. Suma de partes</w:t>
      </w:r>
    </w:p>
    <w:p>
      <w:pPr>
        <w:pStyle w:val="Confianza"/>
        <w:spacing w:after="100"/>
      </w:pPr>
      <w:r>
        <w:t xml:space="preserve">Confianza: Media</w:t>
      </w:r>
    </w:p>
    <w:p>
      <w:pPr>
        <w:spacing w:after="100"/>
      </w:pPr>
      <w:r>
        <w:t xml:space="preserve">No se usa en el valor objetivo. Los tres segmentos publican resultado operativo (Fragancias y Moda 683 M, Maquillaje 96 M y Cuidado de la piel 33 M en 2025), pero los costes centrales no asignados y la publicidad compartida hacen que una suma de partes dependa de cómo se repartan [1]. Además, el 72 % de las ventas y el 84 % del resultado de los segmentos son perfumes: el valor del grupo es el de su perfumería.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19,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22,24 EUR (+13,5 % sobre 19,59).</w:t>
      </w:r>
    </w:p>
    <w:p>
      <w:pPr>
        <w:spacing w:after="100"/>
      </w:pPr>
      <w:r>
        <w:t xml:space="preserve">Pesos: DCF 55 %, escenarios 25 %, comparables 15 %, transacciones 5 % y suma de partes 0 %. El DCF manda porque la caja de Puig es predecible (conversión del 79 % del beneficio en 2021-2025) y recoge el descuento por gobierno en el WACC. Los escenarios pesan un 25 % porque el riesgo de que la perfumería se estanque es real. Los comparables (unos 30 EUR) pesan solo un 15 % por dos razones: su PER está inflado por beneficios hundidos, y la muestra es frágil, porque la mediana del EV/EBITDA de los próximos 12 meses va de 12,7 a 15,1 veces según qué comparable se quite (24,50 a 29,36 EUR por acción). Las transacciones (33,17 EUR) pesan un 5 % porque llevan prima de control y Puig no es opable. La dispersión (19,31-33,17 EUR) es grande y el valor intrínseco, 22,24 EUR, queda un 13,5 % por encima del precio, sobre todo por los múltiplos. La participación en ISDIN (50 %) va al precio de la compra del otro 50 % (1.200 M en vez de 168 M contables): a valor contable, el valor por acción bajaría 1,83 EUR [2, 42].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(17.3x) a mitad de camino hacia abajo, hacia la mediana de 5 años (15.2x)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+52,0 %</w:t>
            </w:r>
          </w:p>
        </w:tc>
      </w:tr>
    </w:tbl>
    <w:p>
      <w:pPr>
        <w:spacing w:after="160" w:before="0"/>
      </w:pPr>
    </w:p>
    <w:p>
      <w:pPr>
        <w:spacing w:after="100"/>
      </w:pPr>
      <w:r>
        <w:rPr>
          <w:b/>
          <w:bCs/>
        </w:rPr>
        <w:t xml:space="preserve">Objetivo a 12 meses (ponderado):</w:t>
      </w:r>
      <w:r>
        <w:t xml:space="preserve"> 19,73 EUR · rentabilidad +2,9 % (base +3,0 %) · señal Mantener.</w:t>
      </w:r>
    </w:p>
    <w:p>
      <w:pPr>
        <w:spacing w:after="100"/>
      </w:pPr>
      <w:r>
        <w:t xml:space="preserve">Para comparar, con la regla v2 (historia al cierre, mismo precio): 14,2x / 16,6x / 21,6x, 5,2 % Mantener. Decide la v3 con tope ×1,1, elegida por el selector de método (sin marcas: decide la v3; METODO-VIGENTE.md).</w:t>
      </w:r>
    </w:p>
    <w:p>
      <w:pPr>
        <w:keepNext/>
        <w:spacing w:after="100"/>
      </w:pPr>
      <w:r>
        <w:rPr>
          <w:b/>
          <w:bCs/>
        </w:rPr>
        <w:t xml:space="preserve">Del valor intrínseco al objetivo a 12 meses.</w:t>
      </w:r>
    </w:p>
    <w:p>
      <w:pPr>
        <w:spacing w:after="100"/>
      </w:pPr>
      <w:r>
        <w:t xml:space="preserve">Objetivo ponderado a 12 meses de 19,73 EUR (+2,9 % con dividendo), en línea con el consenso (19,94 EUR, 16 analistas) [59, 60]. La historia de PER es corta (dos años desde la OPV), y la regla usa el PER adelantado (v3), que da un 2,9 %; con el PER de cierre (v2) daría un 5,2 %. Las dos lecturas dan Mantener.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(Capital Markets Day) en Madrid: plan a medio plazo con objetivos de crecimiento y margen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objetivo de margen del 22-23 % o de crecimiento por encima del 6 % llevaría al alcista; uno conservador confirmaría el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Reacción del mercado a las ventas de los nueve meses (publicadas el 21-oct tras el cierre)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3T26 (+5,6 % comparable) supera el +5,0 % que esperaba Jefferies; la acción llega con un +11,6 % en un mes [11, 76]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del 50 % de ISDIN (900 M al cierre) tras la autorización de competencia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 unas ventas de unos 650 M (dato de prensa) y sube la deuda hacia 2 veces el EBITDA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ISDIN y prueba de si el margen se mantiene estable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votos sobre remuneración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capital libre vuelve a votar en un 40 % en contra, el descuento por gobierno seguirá</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2028-2031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Ventana de la opción sobre el 15 % restante de Charlotte Tilbury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a los fundadores que ya está en el puente (parte de los 558 M de opciones)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perfumería selectiva se estanca tras el auge de 2021-2024</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−33,1 %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11,1 % al alza y tres de las diez primeras marcas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 Fragancias y Moda por debajo del 3 %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la familia decide sola (93 % de los votos) y puede tomar decisiones que no favorecen al minoritario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(un punto más de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de trece consejeros independientes y comisión de auditoría independiente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operaciones con Exea o con sociedades de la familia; voto libre en contra por encima del 40 %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ISDIN pagada cara: 1.200 M por el 50 % (unas 3,7 veces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−1,83 EUR si ISDIN valiera su valor contable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 conoce ISDIN desde hace años (50 % desde 2021) y 300 M se pagan sin intereses en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ISDIN por debajo del 8 % o deterioro del fondo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Promoción y publicidad: la competencia (L'Oréal con Kering Beauté) obliga a gastar más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75,1 %, en máximos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Publicidad y promoción por encima del 33 %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el 35 % de las ventas son de América y la cuenta está en euros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un dólar un 10 % más débil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en Europa y precios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por encima de −2 puntos en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de viaje y conflictos (Oriente Medio): 10 %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Impacto de solo 14 M en el 1S26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del canal de viaje y del Golfo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Maquillaje dependiente de una sola marca (Charlotte Tilbury) y de su fundadora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Colaboración de la fundadora prorrogada en 2024 y Puig con el 85 %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Maquillaje por debajo del 9 %</w:t>
            </w:r>
          </w:p>
        </w:tc>
      </w:tr>
    </w:tbl>
    <w:p>
      <w:pPr>
        <w:spacing w:after="160" w:before="0"/>
      </w:pPr>
    </w:p>
    <w:p>
      <w:pPr>
        <w:pStyle w:val="Heading2"/>
      </w:pPr>
      <w:r>
        <w:t xml:space="preserve">Pre-mortem</w:t>
      </w:r>
    </w:p>
    <w:p>
      <w:pPr>
        <w:spacing w:after="100"/>
      </w:pPr>
      <w:r>
        <w:t xml:space="preserve">Octubre de 2029: la acción ha caído un 40 %, a unos 11 EUR. La historia más probable empieza en el día del inversor de octubre de 2026: Puig promete un crecimiento por encima del mercado, pero en 2027 el mercado de perfumería selectiva crece solo un 1-2 %, como en 2025, porque el consumidor joven compra brumas corporales y perfumes de imitación y la generación que disparó las ventas de 2021-2024 ya tiene su fragancia. Puig defiende la cuota con más publicidad y el margen cae del 20,7 % al 18 %. ISDIN, que costó 1.200 M, crece al 4 % y obliga a deteriorar parte del fondo de comercio; con la deuda en 2 veces el EBITDA, se recorta el dividendo. El mercado deja de ver a Puig como una L'Oréal pequeña y la valora como a Coty, a 7 veces el EBITDA. El indicador que lo habría anticipado: el +1 % del mercado selectivo en 2025 y el frenazo del crecimiento comparable del 7,8 % al 4,4 % en el 1S26.</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Agua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(primera vez)</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Bosques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19,8, riesgo bajo (primera vez en esa categoría)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81/100, medalla de oro (5 % mejor)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 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(puntuación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r>
    </w:tbl>
    <w:p>
      <w:pPr>
        <w:spacing w:after="160" w:before="0"/>
      </w:pPr>
    </w:p>
    <w:p>
      <w:pPr>
        <w:pStyle w:val="Heading2"/>
      </w:pPr>
      <w:r>
        <w:t xml:space="preserve">Asuntos materiales</w:t>
      </w:r>
    </w:p>
    <w:p>
      <w:pPr>
        <w:spacing w:after="100"/>
      </w:pPr>
      <w:r>
        <w:t xml:space="preserve">El asunto que más pesa es el clima en la cadena de suministro: de las 567.856 t de CO2e de 2025 (base de ubicación), 559.282 t son de alcance 3, sobre todo compras de bienes (materias primas, envases) y transporte; los alcances 1 y 2 son marginales [13]. Puig tiene objetivos aprobados por SBTi para 2030 y cero neto en 2050 [13]. El segundo es el abastecimiento de ingredientes naturales y esenciales en zonas con estrés hídrico, que el propio informe identifica como riesgo [13]. El tercero, ligado a la retribución: los indicadores CDP, Sustainalytics y EcoVadis forman el índice de sostenibilidad que entra en la retribución variable de la dirección [13].</w:t>
      </w:r>
    </w:p>
    <w:p>
      <w:pPr>
        <w:pStyle w:val="Heading2"/>
      </w:pPr>
      <w:r>
        <w:t xml:space="preserve">Controversias</w:t>
      </w:r>
    </w:p>
    <w:p>
      <w:pPr>
        <w:spacing w:after="100"/>
      </w:pPr>
      <w:r>
        <w:t xml:space="preserve">El informe de 2025 no recoge sanciones ni litigios materiales: menciona un caso de acoso confirmado (otros cuatro en investigación) sin multas ni sanciones, y ningún incidente de derechos humanos con sanción [13]. No se han encontrado controversias ESG relevantes en prensa en los últimos tres años (búsqueda repetida el 21-oct-2026).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comparable espera la dirección para la perfumería en 2027 si el mercado selectivo sigue cerca del +1 %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3,4 % que descuenta el precio y el 4,4 % de nuestro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ISDIN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tiene ISDIN y qué múltiplo se pagó? ¿Qué sinergias se esperan y cuándo?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(1.200 M por el 50 %) vale 2,13 EUR por acción y el EBITDA no se ha publicado.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margen EBITDA ajustado no sube más deprisa con un margen bruto del 75 %? ¿Qué parte de la publicidad es fija?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mueve el valor un 8 %.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43,7 % del capital libre votó contra la política de remuneración en 2026, y piensa el consejo cambiar las métricas a ROIC o rentabilidad para el accionista?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a largo plazo mide margen y ventas, no la rentabilidad del capital invertido.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Estée Lauder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ruptura de mayo con Estée Lauder, ¿contempla la familia otras operaciones de integración o solo compras como ISDIN?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operación de control es lo único que acercaría el precio al de las transacciones (33,17 EUR).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Minoritarios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costará el 15 % restante de Charlotte Tilbury y las opciones de Sturm, Kama y Loto del Sur, y cuándo?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558 M de pasivos en el puente, a valor razonable de nivel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Cuidado de la piel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plan hay para Dr. Barbara Sturm, cuyas previsiones se han revisado a la baja?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margen del segmento bajó al 6,0 % y es la compra que no ha funcionado.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España (comentarios de Puig, página más reciente, 20-21 de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conversación gira en torno a las ventas del 3T26, publicadas el 21-oct tras el cierre: antes se apuesta por superar los 20 euros, y después se califican de «magníficas», sobre todo por el maquillaje en Asia-Pacífico. El día del inversor del 28-oct se ve como el siguiente impulso. Una minoría cauta recuerda el poco volumen y teme ventas tras la subida. Estée Lauder e ISDIN casi no aparecen [78].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España (comentarios de Puig, página 2, octubre antes de las ventas)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alcista y paciente: se insiste en la poca deuda, el castigo previo y el crecimiento, y en que el día del inversor puede reactivar la acción. Se valora la compra de ISDIN y de más capital de Charlotte Tilbury como crecimiento inorgánico, y la fusión con Estée Lauder se menciona ya como fallida. Hubo confusión sobre la fecha de las ventas (21, 23 o 26 de octubre) [85].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España (comentarios de Puig, 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compra de ISDIN, la caída se lee como oportunidad y se habla de precios objetivo de analistas en la zona de 20-22 euros. Los escépticos recuerdan que la acción sigue muy por debajo del precio de la OPV con el IBEX en máximos, desconfían de las presentaciones de la compañía y temen operaciones corporativas en contra del minoritario [79, 80].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España (comentarios de Puig, junio, tras la ruptura con Estée Lauder)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Tono airado y desconfiado: se acusa a la familia de controlar el precio y se califica la fusión fallida de maniobra, se critica la rentabilidad por dividendo y el comportamiento desde la OPV y se pide que intervenga la CNMV; una minoría pide paciencia y ve la acción barata. Sirve de referencia para medir la tendencia [82].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(hilo de Puig, págs. 29-30, junio-octubre)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mensajes y espaciados. Quien está dentro ve la acción infravalorada frente a su crecimiento, pero se cuestionan la compra de más capital de Charlotte Tilbury y el precio pagado por ISDIN, el control familiar y la erosión de las marcas por imitaciones y marcas digitales. En octubre, un partícipe en ganancias piensa poner un stop y otro da el 21-oct una cifra de ventas del trimestre que no cuadra con la publicada [83, 84].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(artículos de opinión sobre Puig, julio-septiembre; solo titulares, el texto da 403)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artículos de autores independientes en tres meses, todos favorables por el titular: marca de lujo a un múltiplo de EBITDA de un dígito (julio), infravalorada con crecimiento por delante y «hasta ahora, bien» de cara a 2H26-2028 (septiembre). No se pudo leer el debate de lectores [86].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3T26 por encima de lo esperado y aceleración del maquillaje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prensa confirma un 3T de 1.391 M EUR, +5,6 % comparable y +7,2 % publicado, y el maquillaje a +12,0 % comparable en nueve meses; Puig reitera su guía de 2026 [87]. El foro acierta en la dirección, pero la cifra de 1.700 M que circuló en Rankia es errónea [83, 87]. Las fragancias, el grueso del negocio, crecen bastante menos (+3,9 % en el trimestre).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 del inversor del 28-oct como catalizador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Confirmado para el 28-oct con un nuevo plan estratégico [87, 88]. El foro descuenta una subida sin saber qué objetivos dará: el riesgo es la decepción si los objetivos a medio plazo quedan por debajo del crecimiento de 2025.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del 50 % de ISDIN a Esteve: ¿cara o estratégica?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 anunciada el 14-sep-2026; el precio, el calendario de pagos y el efecto en la deuda deben tomarse del hecho relevante de Puig y del comunicado de ventas del 21-oct, que detalla el pago en dos plazos, no del foro. Tras las ventas el tema pierde peso en la conversación [79, 83, 85].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familiar, fusión fallida con Estée Lauder y trato al minoritario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conversaciones terminaron sin acuerdo el 21-may-2026 [86] y no hay noticia de que se hayan reabierto: en octubre el foro la cita ya como fallida [85]. Algunos comentarios dicen que la acción cotizada no tiene voto: las acciones B tienen voto, aunque menor que las A de la familia (comprobar en estatutos e IAGC) [82, 84].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Acción barata y recuperación desde mínimos, con analistas favorables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Contrastar con el consenso y los múltiplos del informe; el foro cita recomendaciones y precios objetivo de prensa sin fuente primaria [78, 80, 83, 85].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Castigo desde la OPV, bajo volumen y recogida de beneficios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OPV a 24,50 euros frente a 19,59 euros de cierre el 21-oct-2026 (notas/bolsa.json): sigue un 20 % por debajo. El cansancio de junio-agosto ha dado paso a la prudencia de quien está en ganancias [78, 81, 83].</w:t>
            </w:r>
          </w:p>
        </w:tc>
      </w:tr>
    </w:tbl>
    <w:p>
      <w:pPr>
        <w:spacing w:after="160" w:before="0"/>
      </w:pPr>
    </w:p>
    <w:p>
      <w:pPr>
        <w:spacing w:after="100"/>
      </w:pPr>
      <w:r>
        <w:t xml:space="preserve">El sentimiento particular ha pasado del enfado de junio, tras la ruptura con Estée Lauder, a un optimismo claro en octubre, reforzado por unas ventas del 3T26 mejores de lo esperado. No es euforia: se pide paciencia, se habla de poco volumen y de recoger beneficios, y la acción sigue lejos del precio de la OPV. Coincide con el tono favorable de los analistas, así que no aporta una visión contraria. El riesgo que anticipa es de expectativas: el foro da por hecho que el día del inversor del 28-oct impulsará la cotización, y unos objetivos prudentes decepcionarían. La desconfianza hacia la familia sigue latente, pero pesa menos. La fusión con Estée Lauder ya no está en la conversación.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Fuentes: 88 (54 primarias); citas distintas en el texto: 87.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20,5 % frente a 20,4 % real: genera una variación de circulante de 48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12,7x a 15,1x según qué comparable se quite (24,50 a 29,36 por acción): la muestra es frágil; explícalo y no le des mucho peso.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88 fuentes (54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2019-2020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uploads.puig.com: cuentas consolidadas 2020-2021 no localizadas; 2) búsqueda de informe anual 2021 (es no financiero) y nota de resultados 2020 (solo ventas, BAI y beneficio); 3) folleto/estados con fines especiales: empiezan en 2021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24 de las cuentas 2025 (solo calendario); 2) estados del 1S26 (sin vida media); 3) cálculo a partir del calendario no publicado por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de la compra de Charlotte Tilbury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2023 y estados con fines especiales (empiezan en 2021); 2) nota de resultados 2020 (sin importe); 3) no se buscó en prensa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tcac_previsto_pct y extra.mercado_2030 (tamaño de la perfumería selectiva mundial)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de Puig: solo publica su cuota (11,1 %), no el tamaño; 2) folleto de la OPV: Euromonitor y McKinsey con datos de 2022 y previsiones a 2027 en USD a precio de venta al público; 3) McKinsey State of Beauty 2025 (HTTP 403 y tiempo agotado) y documentos de registro de L'Oréal 2023-2025 (solo belleza total y peso de los perfumes)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L'Oréal URD 2025: solo el ranking de WWD por ventas totales de belleza; 2) informes de Puig: solo su propia cuota; 3) informes de L'Oréal, LVMH, Coty y Estée Lauder: no publican cuota en perfumería selectiva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L'Oréal y LVMH: hablan de superar al mercado sin dar cuota; 2) datos XBRL de Estée Lauder, Coty e Interparfums: sin cuota; 3) búsqueda de cuotas de Circana o Euromonitor por empresa: no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equipo[].participacion_pct (Albesa, Marc Puig, Serra, Pinsent, Toulemonde)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IAGC 2025, apartado A.3: solo da derechos de voto de los consejeros (Marc Puig, 0,159 % directo) sin la clase de las acciones, y no incluye a Albesa, que no era consejero en 2025; 2) IARC 2025 y propuestas de la junta de 2026: no dan número de acciones; 3) registro de operaciones de directivos de la CNMV: solo recoge operaciones, no posiciones totales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consejo[].comisiones de los consejeros nombrados en mayo de 2026 (Albesa, Van Ongevalle)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acta de la junta de 2026; 2) relación de hechos relevantes de la CNMV desde may-2026, sin comunicación de cambios en las comisiones; 3) web de Puig, que devuelve 403 a las descargas automáticas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CNMV, consulta de posiciones cortas (sin datos con el ISIN ES0105777017); 2) CNMV, página general de notificaciones de posiciones cortas (sin datos disponibles sin navegador); 3) Stock Analysis (short interest 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de 2024 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múltiplos estimados de 2026-2027); 2) Stock Analysis (solo actuales); 3) solo dos ejercicios desde la OPV: no hay serie que reconstruir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 de ISDIN, Aesop, Rhode, Tom Ford, Kering Beauté y Byredo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los compradores (e.l.f. 8-K, L'Oréal AMF, Estée Lauder 8-K, L'Oréal 19-oct-2025, cuentas de Puig); 2) prensa (Tradingsat/AlphaValue, FashionUnited); 3) búsqueda web de múltiplos publicados (solo FT para Creed, sin documento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compilado de ventas del 3T26 (empresa o Visible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ventas de Puig a la CNMV (no lo incluye) y MarketScreener (solo anual); 2) prensa en inglés: Reuters vía Global Banking &amp; Finance y Finimize (solo la previsión de Jefferies, +5,0 %), Investing.com (sin cifra); 3) prensa española: elEconomista y Estrategias de Inversión (bloqueadas, 403) y Bolsamanía (solo JP Morgan para Fragancias y Moda)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Annual Accounts and Consolidated Management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https://uploads.puig.com/uploads/PUIG_BRANDS_Consolidated_Annual_Accounts_2025_eng_33d2988396.pdf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Condensed Consolidated Interim Financial Statements, six months ended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https://uploads.puig.com/uploads/PUIG_BRANDS_2026_Half_Year_FFSS_ENG_70c01313c6.pdf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https://uploads.puig.com/uploads/H1_2026_Results_Press_Release_ENG_e0929148e2.pdf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Management Report 2023 (con informe de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https://uploads.puig.com/uploads/PUIG_2023_Consolidated_Annual_Accounts_1e83f73312.pdf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Special Purpose Consolidated Financial Statements 2023, 2022 and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https://uploads.puig.com/uploads/PUIG_Special_Purpose_Financial_Statements_2023_2022_2021_1_3cef8099a7.pdf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June 30,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https://uploads.puig.com/uploads/PUIG_BRANDS_ACCOUNTS_30_06_2024_ENG_d540e6f0c2.pdf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registra unas ventas de 1.537 M€ en 2020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https://uploads.puig.com/uploads/Puig_Resultados_Financieros_2020_Spanish_c178e93207.pdf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e Informe de Gestión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https://uploads.puig.com/uploads/PUIG_Cuentas_Consolidadas_ESP_c678d5914b.pdf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acquires full ownership of Isdin for 1.2 billion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https://fashionunited.uk/news/business/puig-acquires-full-ownership-of-isdin-for-1-2-billion-euros/2026091590332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takes full control of Isdin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Premium Beauty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https://www.premiumbeautynews.com/puig-takes-full-control-of-isdin,28196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Actualización de ventas Q3 2026 (nota de prensa, comunicada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https://www.cnmv.es/webservices/verdocumento/ver?t=%7b06bc9655-7d60-4153-a993-2025dac7fb9d%7d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 2026 Results (presentación a analistas, comunicada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https://www.cnmv.es/webservices/verdocumento/ver?t=%7b0eb96e89-3742-454a-969d-c5f59be4155b%7d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https://uploads.puig.com/uploads/PUIG_BRANDS_Puig_Integrated_Annual_Report_2025_eng_65be06fd1b.pdf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https://uploads.puig.com/uploads/Puig_FY_2025_Results_Press_Release_English_b01de89237.pdf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Annual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https://www.loreal-finance.com/system/files/2026-02/CPFY25ENv12.02%2017.00.pdf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Universal Registration Document, 1.2 Beauty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https://www.loreal-finance.com/eng/2025-universal-registration-document/en/article/23/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Estee Lauder and perfume maker Puig end merger talks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BNN Bloomberg (AP)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https://www.bnnbloomberg.ca/business/2026/05/22/estee-lauder-and-perfume-maker-puig-end-merger-talks/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Solid performance in a disrupted global economic and geopolitical environment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https://www.lvmh.com/en/publications/solid-performance-in-a-disrupted-global-economic-and-geopolitical-environment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 datos XBRL del formulario 10-K (ejercicio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https://data.sec.gov/api/xbrl/companyfacts/CIK0001001250.json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Coty Inc., datos XBRL del formulario 10-K (ejercicio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https://data.sec.gov/api/xbrl/companyfacts/CIK0001024305.json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Results and FY2026 Outlook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Shiseido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https://corp.shiseido.com/en/ir/pdf/ir20260210_244.pdf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 Parfums, Inc., datos XBRL del formulario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https://data.sec.gov/api/xbrl/companyfacts/CIK0000822663.json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FAQ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https://reports.beiersdorf.com/annual-report/2025/services/faq.html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Prospectus (folleto de la oferta pública y admisión a cotización), sección Industry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https://uploads.puig.com/uploads/Prospectus_Puig_a1dd7fa8d0.pdf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Universal Registration Document, mercado de belleza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https://www.loreal-finance.com/eng/2024-universal-registration-document/en/article/23/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Universal Registration Document, mercado de belleza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https://www.loreal-finance.com/eng/2023-universal-registration-document/en/article/17/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Reglamento (UE) 2023/1545 de la Comisión, etiquetado de alérgenos de fragancias en cosméticos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Diario Oficial de la UE (EUR-Lex)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https://eur-lex.europa.eu/legal-content/EN/TXT/?uri=CELEX:32023R1545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diario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Half-Year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https://www.loreal-finance.com/eng/press-release/2026-half-year-results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https://uploads.puig.com/uploads/PUIG_BRANDS_Informe_Anual_Remuneraciones_2025_es_50cdddaf19.pdf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funcionamiento del Consejo de Administración y sus Comisiones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https://uploads.puig.com/uploads/2025_PUIG_BRANDS_Memoria_Anual_Actividades_Consejo_y_Comisiones_1fabe9bca7.pdf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individuales 2025 de Puig Brands,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https://uploads.puig.com/uploads/PUIG_BRANDS_Cuentas_Anuales_Individuales_2025_es_d65d666ebc.pdf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Ordinaria 2026: quórum, acuerdos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(OIR a la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https://uploads.puig.com/uploads/ESP_PUIG_BRANDS_S_A_Acuerdos_OIR_63a9d46a15.pdf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https://www.cnmv.es/webservices/verdocumento/ver?e=AybZMCsXlwJ9SBETtCWjvbvHDuLZ5bjTajiXEFOAHTFRkTbOJDSVgXYoK%2bQzluTA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Ordinaria 2025: acuerdos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(OIR a la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https://www.cnmv.es/webservices/verdocumento/ver?t=%7b2cea8ea6-ae2b-46b6-a143-21d8789cd27f%7d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significativas y autocartera: Puig Brands, S.A. (notificaciones de derechos de voto)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https://www.cnmv.es/portal/Consultas/derechosvoto/ps_ac_ini.aspx?nif=A66674904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2026: definitive quorum and voting results (versión inglesa)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https://strapi-prd.puig.com/uploads/ENG_PUIG_BRANDS_S_A_Acuerdos_OIR_4be60488a1.pdf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privilegiada: conversaciones con The Estée Lauder Companies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https://www.cnmv.es/webservices/verdocumento/ver?t=%7bc2e0156e-ac00-4124-aa23-dfc6cd1dacef%7d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privilegiada: Puig y The Estée Lauder Companies ponen fin a las conversaciones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https://www.cnmv.es/webservices/verdocumento/ver?t=%7bf1497f16-0d8d-43c4-aa31-9c6266125ff5%7d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Exea Inversión Empresarial realiza oferta de compra de acciones a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https://www.cnmv.es/webservices/verdocumento/ver?t=%7be8a68dc5-423e-47b0-8679-76e287a65d07%7d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privilegiada: nombramiento de nuevo CEO y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https://www.cnmv.es/webservices/verdocumento/ver?t=%7b5e758f39-3037-418b-a8c8-7660dff68305%7d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privilegiada: contrato de compraventa del 50 % de Isdin,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https://www.cnmv.es/webservices/verdocumento/ver?t=%7be8f33636-1caa-4f71-837a-a4a9b12be215%7d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privilegiada: extensión de la colaboración con Charlotte Tilbury MBE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https://www.cnmv.es/webservices/verdocumento/ver?t=%7b95f7f38b-88fb-4041-b18a-ce734f5d39c3%7d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resultados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https://www.cnmv.es/webservices/verdocumento/ver?t=%7bba61c903-c1eb-4dc4-91d5-707783f1f73d%7d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2025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https://uploads.puig.com/uploads/Puig_H1_2025_Results_Press_Release_ENG_a3be5c42e7.pdf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Thomas James (registro 2026125133)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https://www.cnmv.es/webservices/verdocumento/ver?e=1kOMTkUPw07axyrnHhGHfBx3DAFGllJiH8SewYXRKCr00jEuhbk%2bTc0vHNC%2bVxBv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Torrellimona, S.L. (registro 2026073796)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https://www.cnmv.es/webservices/verdocumento/ver?e=vsbHibVD%2f3c00LUpSBCSDGNH%2b5N8F%2fw4dTBMHFjO2qP00jEuhbk%2bTc0vHNC%2bVxBv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Marc Toulemonde (registro 2026090640)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https://www.cnmv.es/webservices/verdocumento/ver?e=9NHMoBtrVKEIkFvIvlxg6TIwDCd3qfmxa3d0pVXc9U300jEuhbk%2bTc0vHNC%2bVxBv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Javier Bach Kutschruetter (registro 2025139350)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https://www.cnmv.es/webservices/verdocumento/ver?e=HJwxgt4LG6zVVJGFCotSDE1gE2lFvUOSMN6ipT1UCRH00jEuhbk%2bTc0vHNC%2bVxBv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Thomas James (registro 2026123959)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https://www.cnmv.es/webservices/verdocumento/ver?e=79DXz8O9FO0LFcK5B2YRcnag%2fhsZu9a0AehHKu32A6f00jEuhbk%2bTc0vHNC%2bVxBv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Pedro Escudero Chinchilla (registro 2026111205)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https://www.cnmv.es/webservices/verdocumento/ver?e=n8VoMeIAFqz4Luex6aIuGl5Rsaf91hgzM3iX0jAAzAP00jEuhbk%2bTc0vHNC%2bVxBv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Pedro Escudero Chinchilla (registro 2026085417)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https://www.cnmv.es/webservices/verdocumento/ver?e=WPh8eEPSTbwJZ8q3tLz5PyGUwfNK4Vy1nTt%2bKAkY0iT00jEuhbk%2bTc0vHNC%2bVxBv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Ordinaria 2026: propuestas de acuerdo (incluye la autorización de venta de la marca Aromas de Castilla, art. 17 bis de los estatutos)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https://uploads.puig.com/uploads/2_PUIG_BRANDS_JGO_2026_Propuesta_de_acuerdos_ESP_69e6bafd8a.pdf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reivindica después de romper con Estée Lauder que no está en venta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https://es.ara.cat/economia/moda/puig-reivindica-despues-romper-estee-lauder-no-venta_1_5752235.html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directivos y personas vinculadas: Puig Brands, S.A. (listado)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https://www.cnmv.es/portal/Consultas/directivos-resultado?nif=A66674904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privilegiada: Puig Brands, S.A. (listado)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https://www.cnmv.es/portal/informacion-privilegiada/resultado-ip?nif=A66674904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PUIG.MC, ^IBEX, ^STOXX y EXH7.DE (herramientas 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https://finance.yahoo.com/quote/PUIG.MC/history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(BME:PUIG)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https://stockanalysis.com/quote/bme/PUIG/statistics/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 finances y consensus (consulta del 21-oct-2026, antes de que los analistas revisen tras las ventas)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https://www.marketscreener.com/quote/stock/PUIG-BRANDS-SA-169390759/consensus/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(BME:PUIG)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https://stockanalysis.com/quote/bme/PUIG/forecast/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 structure of interest rates on listed Federal securities, residual maturity 10 years, daily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9 y 21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Páginas de finanzas de L'Oréal, Estée Lauder, Coty, Interparfums SA, Inter Parfums Inc, Shiseido, Beiersdorf y e.l.f. Beauty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https://www.marketscreener.com/quote/stock/L-OREAL-4666/finances/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L'Oréal, Estée Lauder, Coty, Interparfums SA, Inter Parfums Inc, Shiseido, Beiersdorf y e.l.f. Beauty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https://stockanalysis.com/quote/epa/OR/statistics/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e.l.f. Beauty to acquire rhode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e.l.f. Beauty,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https://www.sec.gov/Archives/edgar/data/1600033/000160003325000013/er991glazemasterpressrelea.htm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signs agreement with Natura &amp;Co to acquire Aēsop (communiqué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https://echanges.dila.gouv.fr/OPENDATA/AMF/MKW/2023/04/FCMKW112074_20230403.pdf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to acquire the TOM FORD brand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https://www.sec.gov/Archives/edgar/data/1001250/000100125022000199/tfbexhibit991.htm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an alliance in beauty and wellness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monte à 100 % dans ISDIN, AlphaValue voit des risques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https://www.tradingsat.com/actualites/informations-societes/puig-monte-a-100-dans-isdin-alphavalue-voit-des-risques-1170133.html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Kering's acquisition of Creed is reportedly valued at 3.5 billion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https://fashionunited.uk/news/business/kering-s-acquisition-of-creed-is-reportedly-valued-at-3-5-billion-euros/2023071070464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Coty announces strategic partnership with KKR, reports 3Q FY20 results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Coty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https://www.sec.gov/Archives/edgar/data/1024305/000102430520000048/exhibit991-earningsrel.htm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diarios de L'Oréal, Estée Lauder, Coty, Interparfums SA, Inter Parfums Inc, Shiseido, Beiersdorf y e.l.f. Beauty (9 a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https://finance.yahoo.com/quote/OR.PA/history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busca apuntalar su rally en el Día del Inversor: cinco claves para seguir subiendo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https://www.bolsamania.com/noticias/empresas/puig-rally-dia-inversor-cinco-claves-convencer-mercado--23844428.html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beats sales forecasts as makeup growth offsets skin care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Banking &amp; Finance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https://www.globalbankingandfinance.com/puig-beats-sales-forecasts-makeup-growth-offsets-skin-care/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on the termination of discussions with Puig (Form 8-K/A, exhibit)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https://www.sec.gov/Archives/edgar/data/0001001250/000100125026000022/exhibitmay2026.htm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comentarios de inversores, página más reciente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https://es.investing.com/equities/puig-brands-sa-commentary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comentarios de inversores, página 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https://es.investing.com/equities/puig-brands-sa-commentary/5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comentarios de inversores, página 15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https://es.investing.com/equities/puig-brands-sa-commentary/15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comentarios de inversores, página 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https://es.investing.com/equities/puig-brands-sa-commentary/30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comentarios de inversores, página 60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https://es.investing.com/equities/puig-brands-sa-commentary/60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«Próxima salida a bolsa de Puig», página 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https://www.rankia.com/foros/bolsa/temas/6334370-proxima-salida-bolsa-puig?page=30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«Próxima salida a bolsa de Puig», página 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https://www.rankia.com/foros/bolsa/temas/6334370-proxima-salida-bolsa-puig?page=29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comentarios de inversores, página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https://es.investing.com/equities/puig-brands-sa-commentary/2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(PUIGF): canal de noticias y análisis (artículos de opinión de jul-sep 2026; «Estée Lauder, Puig end merger talks»,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https://seekingalpha.com/api/sa/combined/PUIGF.xml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eleva sus ventas un 4,8 % a septiembre y reitera sus perspectivas para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https://www.bolsamania.com/noticias/empresas/puig-eleva-ventas-48-a-septiembre-reitera-perspectivas-2026--23900123.html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presentará su nuevo plan estratégico el 28 de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https://fashionunited.es/noticias/empresas/puig-presentara-su-nuevo-plan-estrategico-el-28-de-octubre/2026060149508</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87,8 %</w:t>
      </w:r>
      <w:r>
        <w:t xml:space="preserve"> · Secciones con menos del 60 % de campos cubiertos: </w:t>
      </w:r>
      <w:r>
        <w:rPr>
          <w:b/>
          <w:bCs/>
        </w:rPr>
        <w:t xml:space="preserve">riesgos</w:t>
      </w:r>
      <w:r>
        <w:t xml:space="preserve"> · Generado el 21 oct 2026.</w:t>
      </w:r>
    </w:p>
    <w:p>
      <w:pPr>
        <w:pStyle w:val="Nota"/>
        <w:spacing w:after="100"/>
      </w:pPr>
      <w:r>
        <w:t xml:space="preserve">Se valora la acción de clase B de Puig Brands, la única que cotiza (Bolsas españolas, ticker PUIG), en euros; precio de cierre del 21-oct-2026 (19,59 EUR), antes de las ventas de los nueve meses, que se publicaron tras el cierre: la reacción del mercado no está en el precio [11, 57]. Las acciones de clase A (393,4 M, 5 votos cada una) no cotizan y son de la familia Puig; se valoran igual que las B porque tienen los mismos derechos económicos [2, 34]. Acciones: 563,3 M (568,2 M menos 4,9 M de autocartera), sin dilución [2]. Cuentas auditadas solo desde 2021 (estados con fines especiales de la OPV): no hay cinco ejercicios anteriores a 2021 con balance y flujos [5]. EBITDA del informe = el «ajustado» de la empresa, sin «otros ingresos y gastos operativos» (costes de la OPV en 2024, plusvalía de una fábrica en 2025) [1]. El resultado de las participadas (ISDIN, Lonia, Granado) va fuera del EBITDA y se valora en el puente. El puente es el del 30-jun-2026, con la deuda estacionalmente alta: el circulante consumió 484 M en el semestre y se pagaron 237,5 M de dividendo y 372 M por minoritarios y earn-outs de Charlotte Tilbury [2]. Las ventas de los nueve meses no traen balance nuevo, así que el puente sigue siendo el de junio. La compra del 50 % restante de ISDIN (900 M al cierre, previsto a finales del 1T27, y 300 M sin intereses en el 1T29) no está ni en el puente ni en la proyección [11, 42].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Puig Brands, S.A. (PUIG)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19,59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(13,46 – 19,63)</c:v>
                </c:pt>
                <c:pt idx="1">
                  <c:v>Precio objetivo de los analistas (16,00 – 22,00)</c:v>
                </c:pt>
                <c:pt idx="2">
                  <c:v>Comparables: EV/EBITDA NTM (21,51 – 32,59)</c:v>
                </c:pt>
                <c:pt idx="3">
                  <c:v>Comparables: PER NTM (28,43 – 35,92)</c:v>
                </c:pt>
                <c:pt idx="4">
                  <c:v>Transacciones precedentes (EV/ventas) (32,27 – 41,32)</c:v>
                </c:pt>
                <c:pt idx="5">
                  <c:v>DCF (WACC y g ± 0,5) (17,55 – 24,61)</c:v>
                </c:pt>
                <c:pt idx="6">
                  <c:v>Escenarios (bajista – alcista) (13,11 – 23,90)</c:v>
                </c:pt>
                <c:pt idx="7">
                  <c:v>DCF con la prima implícita del mercado (4,2 %)</c:v>
                </c:pt>
                <c:pt idx="8">
                  <c:v>Precio actual (19,59)</c:v>
                </c:pt>
              </c:strCache>
            </c:strRef>
          </c:cat>
          <c:val>
            <c:numRef>
              <c:f>Hoja1!$B$2:$B$10</c:f>
              <c:numCache>
                <c:formatCode>#,##0.0</c:formatCode>
                <c:ptCount val="9"/>
                <c:pt idx="0">
                  <c:v>13.46</c:v>
                </c:pt>
                <c:pt idx="1">
                  <c:v>16</c:v>
                </c:pt>
                <c:pt idx="2">
                  <c:v>21.51</c:v>
                </c:pt>
                <c:pt idx="3">
                  <c:v>28.43</c:v>
                </c:pt>
                <c:pt idx="4">
                  <c:v>32.27</c:v>
                </c:pt>
                <c:pt idx="5">
                  <c:v>17.55</c:v>
                </c:pt>
                <c:pt idx="6">
                  <c:v>13.11</c:v>
                </c:pt>
                <c:pt idx="7">
                  <c:v>22.18</c:v>
                </c:pt>
                <c:pt idx="8">
                  <c:v>19.49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(13,46 – 19,63)</c:v>
                </c:pt>
                <c:pt idx="1">
                  <c:v>Precio objetivo de los analistas (16,00 – 22,00)</c:v>
                </c:pt>
                <c:pt idx="2">
                  <c:v>Comparables: EV/EBITDA NTM (21,51 – 32,59)</c:v>
                </c:pt>
                <c:pt idx="3">
                  <c:v>Comparables: PER NTM (28,43 – 35,92)</c:v>
                </c:pt>
                <c:pt idx="4">
                  <c:v>Transacciones precedentes (EV/ventas) (32,27 – 41,32)</c:v>
                </c:pt>
                <c:pt idx="5">
                  <c:v>DCF (WACC y g ± 0,5) (17,55 – 24,61)</c:v>
                </c:pt>
                <c:pt idx="6">
                  <c:v>Escenarios (bajista – alcista) (13,11 – 23,90)</c:v>
                </c:pt>
                <c:pt idx="7">
                  <c:v>DCF con la prima implícita del mercado (4,2 %)</c:v>
                </c:pt>
                <c:pt idx="8">
                  <c:v>Precio actual (19,59)</c:v>
                </c:pt>
              </c:strCache>
            </c:strRef>
          </c:cat>
          <c:val>
            <c:numRef>
              <c:f>Hoja1!$C$2:$C$10</c:f>
              <c:numCache>
                <c:formatCode>#,##0.0</c:formatCode>
                <c:ptCount val="9"/>
                <c:pt idx="0">
                  <c:v>6.169999999999998</c:v>
                </c:pt>
                <c:pt idx="1">
                  <c:v>6</c:v>
                </c:pt>
                <c:pt idx="2">
                  <c:v>11.080000000000002</c:v>
                </c:pt>
                <c:pt idx="3">
                  <c:v>7.490000000000002</c:v>
                </c:pt>
                <c:pt idx="4">
                  <c:v>9.049999999999997</c:v>
                </c:pt>
                <c:pt idx="5">
                  <c:v>7.059999999999999</c:v>
                </c:pt>
                <c:pt idx="6">
                  <c:v>10.79</c:v>
                </c:pt>
                <c:pt idx="7">
                  <c:v>5.73</c:v>
                </c:pt>
                <c:pt idx="8">
                  <c:v>0.20000000000000284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Fragancias y Moda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1902</c:v>
                </c:pt>
                <c:pt idx="1">
                  <c:v>2671.5</c:v>
                </c:pt>
                <c:pt idx="2">
                  <c:v>3115</c:v>
                </c:pt>
                <c:pt idx="3">
                  <c:v>3513.3</c:v>
                </c:pt>
                <c:pt idx="4">
                  <c:v>3646.1</c:v>
                </c:pt>
              </c:numCache>
            </c:numRef>
          </c:val>
        </c:ser>
        <c:ser>
          <c:idx val="1"/>
          <c:order val="1"/>
          <c:tx>
            <c:strRef>
              <c:f>Hoja1!$C$1</c:f>
              <c:strCache>
                <c:ptCount val="1"/>
                <c:pt idx="0">
                  <c:v>Maquillaje</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413.3</c:v>
                </c:pt>
                <c:pt idx="1">
                  <c:v>626</c:v>
                </c:pt>
                <c:pt idx="2">
                  <c:v>773.1</c:v>
                </c:pt>
                <c:pt idx="3">
                  <c:v>763</c:v>
                </c:pt>
                <c:pt idx="4">
                  <c:v>844.8</c:v>
                </c:pt>
              </c:numCache>
            </c:numRef>
          </c:val>
        </c:ser>
        <c:ser>
          <c:idx val="2"/>
          <c:order val="2"/>
          <c:tx>
            <c:strRef>
              <c:f>Hoja1!$D$1</c:f>
              <c:strCache>
                <c:ptCount val="1"/>
                <c:pt idx="0">
                  <c:v>Cuidado de la piel</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274.9</c:v>
                </c:pt>
                <c:pt idx="1">
                  <c:v>329.1</c:v>
                </c:pt>
                <c:pt idx="2">
                  <c:v>430.9</c:v>
                </c:pt>
                <c:pt idx="3">
                  <c:v>513.5</c:v>
                </c:pt>
                <c:pt idx="4">
                  <c:v>551.2</c:v>
                </c:pt>
              </c:numCache>
            </c:numRef>
          </c:val>
        </c:ser>
        <c:ser>
          <c:idx val="3"/>
          <c:order val="3"/>
          <c:tx>
            <c:strRef>
              <c:f>Hoja1!$E$1</c:f>
              <c:strCache>
                <c:ptCount val="1"/>
                <c:pt idx="0">
                  <c:v>Eliminaciones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-5.2</c:v>
                </c:pt>
                <c:pt idx="1">
                  <c:v>-7.1</c:v>
                </c:pt>
                <c:pt idx="2">
                  <c:v>-14.9</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Fragancias y Moda</c:v>
                </c:pt>
                <c:pt idx="1">
                  <c:v>Maquillaje</c:v>
                </c:pt>
                <c:pt idx="2">
                  <c:v>Cuidado de la piel</c:v>
                </c:pt>
                <c:pt idx="3">
                  <c:v>Eliminaciones</c:v>
                </c:pt>
              </c:strCache>
            </c:strRef>
          </c:cat>
          <c:val>
            <c:numRef>
              <c:f>Hoja1!$B$2:$B$5</c:f>
              <c:numCache>
                <c:formatCode>General</c:formatCode>
                <c:ptCount val="4"/>
                <c:pt idx="0">
                  <c:v>72.3</c:v>
                </c:pt>
                <c:pt idx="1">
                  <c:v>16.8</c:v>
                </c:pt>
                <c:pt idx="2">
                  <c:v>10.9</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EMEA</c:v>
                </c:pt>
                <c:pt idx="1">
                  <c:v>América</c:v>
                </c:pt>
                <c:pt idx="2">
                  <c:v>Asia-Pacífico</c:v>
                </c:pt>
              </c:strCache>
            </c:strRef>
          </c:cat>
          <c:val>
            <c:numRef>
              <c:f>Hoja1!$B$2:$B$4</c:f>
              <c:numCache>
                <c:formatCode>0"%"</c:formatCode>
                <c:ptCount val="3"/>
                <c:pt idx="0">
                  <c:v>54.6</c:v>
                </c:pt>
                <c:pt idx="1">
                  <c:v>34.9</c:v>
                </c:pt>
                <c:pt idx="2">
                  <c:v>10.5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(perfumería selectiva mundial a precios netos de fabricante; estimación propia; 2026e-2030e al 5 % anual))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2023</c:v>
                </c:pt>
                <c:pt idx="1">
                  <c:v>2024</c:v>
                </c:pt>
                <c:pt idx="2">
                  <c:v>2025</c:v>
                </c:pt>
                <c:pt idx="3">
                  <c:v>2026e</c:v>
                </c:pt>
                <c:pt idx="4">
                  <c:v>2027e</c:v>
                </c:pt>
                <c:pt idx="5">
                  <c:v>2028e</c:v>
                </c:pt>
                <c:pt idx="6">
                  <c:v>2029e</c:v>
                </c:pt>
                <c:pt idx="7">
                  <c:v>2030e</c:v>
                </c:pt>
              </c:strCache>
            </c:strRef>
          </c:cat>
          <c:val>
            <c:numRef>
              <c:f>Hoja1!$B$2:$B$9</c:f>
              <c:numCache>
                <c:formatCode>#,##0</c:formatCode>
                <c:ptCount val="8"/>
                <c:pt idx="0">
                  <c:v>22400</c:v>
                </c:pt>
                <c:pt idx="1">
                  <c:v>25133</c:v>
                </c:pt>
                <c:pt idx="2">
                  <c:v>28000</c:v>
                </c:pt>
                <c:pt idx="3">
                  <c:v>29400</c:v>
                </c:pt>
                <c:pt idx="4">
                  <c:v>30870</c:v>
                </c:pt>
                <c:pt idx="5">
                  <c:v>32414</c:v>
                </c:pt>
                <c:pt idx="6">
                  <c:v>34034</c:v>
                </c:pt>
                <c:pt idx="7">
                  <c:v>35736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Puig</c:v>
                </c:pt>
                <c:pt idx="1">
                  <c:v>L'Oréal Luxe (división de L'Oréal)</c:v>
                </c:pt>
                <c:pt idx="2">
                  <c:v>LVMH Perfumes y Cosméticos</c:v>
                </c:pt>
                <c:pt idx="3">
                  <c:v>Estée Lauder Companies</c:v>
                </c:pt>
                <c:pt idx="4">
                  <c:v>Coty</c:v>
                </c:pt>
                <c:pt idx="5">
                  <c:v>Interparfums Inc.</c:v>
                </c:pt>
                <c:pt idx="6">
                  <c:v>Shiseido</c:v>
                </c:pt>
                <c:pt idx="7">
                  <c:v>Beiersdorf</c:v>
                </c:pt>
              </c:strCache>
            </c:strRef>
          </c:cat>
          <c:val>
            <c:numRef>
              <c:f>Hoja1!$B$2:$B$9</c:f>
              <c:numCache>
                <c:formatCode>0.0"%"</c:formatCode>
                <c:ptCount val="8"/>
                <c:pt idx="0">
                  <c:v>16.1</c:v>
                </c:pt>
                <c:pt idx="1">
                  <c:v>22.4</c:v>
                </c:pt>
                <c:pt idx="2">
                  <c:v>8.9</c:v>
                </c:pt>
                <c:pt idx="3">
                  <c:v>5.2</c:v>
                </c:pt>
                <c:pt idx="4">
                  <c:v>-1.4</c:v>
                </c:pt>
                <c:pt idx="5">
                  <c:v>18.2</c:v>
                </c:pt>
                <c:pt idx="6">
                  <c:v>-2.9</c:v>
                </c:pt>
                <c:pt idx="7">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2585</c:v>
                </c:pt>
                <c:pt idx="1">
                  <c:v>3619.6</c:v>
                </c:pt>
                <c:pt idx="2">
                  <c:v>4304.1</c:v>
                </c:pt>
                <c:pt idx="3">
                  <c:v>4789.8</c:v>
                </c:pt>
                <c:pt idx="4">
                  <c:v>5042</c:v>
                </c:pt>
                <c:pt idx="5">
                  <c:v>5244</c:v>
                </c:pt>
                <c:pt idx="6">
                  <c:v>5532</c:v>
                </c:pt>
                <c:pt idx="7">
                  <c:v>5836</c:v>
                </c:pt>
                <c:pt idx="8">
                  <c:v>6128</c:v>
                </c:pt>
                <c:pt idx="9">
                  <c:v>6404</c:v>
                </c:pt>
                <c:pt idx="10">
                  <c:v>6660</c:v>
                </c:pt>
                <c:pt idx="11">
                  <c:v>6893</c:v>
                </c:pt>
                <c:pt idx="12">
                  <c:v>7100</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458.1</c:v>
                </c:pt>
                <c:pt idx="1">
                  <c:v>681.4</c:v>
                </c:pt>
                <c:pt idx="2">
                  <c:v>862.6999999999999</c:v>
                </c:pt>
                <c:pt idx="3">
                  <c:v>969.2</c:v>
                </c:pt>
                <c:pt idx="4">
                  <c:v>1048.2</c:v>
                </c:pt>
                <c:pt idx="5">
                  <c:v>1085</c:v>
                </c:pt>
                <c:pt idx="6">
                  <c:v>1156</c:v>
                </c:pt>
                <c:pt idx="7">
                  <c:v>1231</c:v>
                </c:pt>
                <c:pt idx="8">
                  <c:v>1305</c:v>
                </c:pt>
                <c:pt idx="9">
                  <c:v>1377</c:v>
                </c:pt>
                <c:pt idx="10">
                  <c:v>1432</c:v>
                </c:pt>
                <c:pt idx="11">
                  <c:v>1482</c:v>
                </c:pt>
                <c:pt idx="12">
                  <c:v>1526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72.9</c:v>
                </c:pt>
                <c:pt idx="1">
                  <c:v>74.4</c:v>
                </c:pt>
                <c:pt idx="2">
                  <c:v>74.7</c:v>
                </c:pt>
                <c:pt idx="3">
                  <c:v>74.9</c:v>
                </c:pt>
                <c:pt idx="4">
                  <c:v>75.1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17.7</c:v>
                </c:pt>
                <c:pt idx="1">
                  <c:v>18.8</c:v>
                </c:pt>
                <c:pt idx="2">
                  <c:v>20</c:v>
                </c:pt>
                <c:pt idx="3">
                  <c:v>20.2</c:v>
                </c:pt>
                <c:pt idx="4">
                  <c:v>20.8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13.6</c:v>
                </c:pt>
                <c:pt idx="1">
                  <c:v>14.8</c:v>
                </c:pt>
                <c:pt idx="2">
                  <c:v>16.1</c:v>
                </c:pt>
                <c:pt idx="3">
                  <c:v>15.8</c:v>
                </c:pt>
                <c:pt idx="4">
                  <c:v>16.1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8.5</c:v>
                </c:pt>
                <c:pt idx="1">
                  <c:v>11</c:v>
                </c:pt>
                <c:pt idx="2">
                  <c:v>10.8</c:v>
                </c:pt>
                <c:pt idx="3">
                  <c:v>11.1</c:v>
                </c:pt>
                <c:pt idx="4">
                  <c:v>11.8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9.6</c:v>
                </c:pt>
                <c:pt idx="1">
                  <c:v>12.7</c:v>
                </c:pt>
                <c:pt idx="2">
                  <c:v>5.9</c:v>
                </c:pt>
                <c:pt idx="3">
                  <c:v>4.7</c:v>
                </c:pt>
                <c:pt idx="4">
                  <c:v>2.4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0">
                  <c:v>8.5</c:v>
                </c:pt>
                <c:pt idx="2">
                  <c:v>7.6</c:v>
                </c:pt>
                <c:pt idx="4">
                  <c:v>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45</c:v>
                </c:pt>
                <c:pt idx="1">
                  <c:v>39</c:v>
                </c:pt>
                <c:pt idx="2">
                  <c:v>41</c:v>
                </c:pt>
                <c:pt idx="3">
                  <c:v>43</c:v>
                </c:pt>
                <c:pt idx="4">
                  <c:v>42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189</c:v>
                </c:pt>
                <c:pt idx="1">
                  <c:v>247</c:v>
                </c:pt>
                <c:pt idx="2">
                  <c:v>264</c:v>
                </c:pt>
                <c:pt idx="3">
                  <c:v>219</c:v>
                </c:pt>
                <c:pt idx="4">
                  <c:v>202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87</c:v>
                </c:pt>
                <c:pt idx="1">
                  <c:v>94</c:v>
                </c:pt>
                <c:pt idx="2">
                  <c:v>71</c:v>
                </c:pt>
                <c:pt idx="3">
                  <c:v>70</c:v>
                </c:pt>
                <c:pt idx="4">
                  <c:v>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376.9</c:v>
                </c:pt>
                <c:pt idx="1">
                  <c:v>186.00000000000003</c:v>
                </c:pt>
                <c:pt idx="2">
                  <c:v>261.40000000000003</c:v>
                </c:pt>
                <c:pt idx="3">
                  <c:v>411.00000000000006</c:v>
                </c:pt>
                <c:pt idx="4">
                  <c:v>520.8000000000001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221</c:v>
                </c:pt>
                <c:pt idx="1">
                  <c:v>399.5</c:v>
                </c:pt>
                <c:pt idx="2">
                  <c:v>465.2</c:v>
                </c:pt>
                <c:pt idx="3">
                  <c:v>530.6</c:v>
                </c:pt>
                <c:pt idx="4">
                  <c:v>593.7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13.8</c:v>
                </c:pt>
                <c:pt idx="1">
                  <c:v>22.3</c:v>
                </c:pt>
                <c:pt idx="2">
                  <c:v>22</c:v>
                </c:pt>
                <c:pt idx="3">
                  <c:v>16.3</c:v>
                </c:pt>
                <c:pt idx="4">
                  <c:v>13.1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c:v>
                </c:pt>
                <c:pt idx="1">
                  <c:v>8</c:v>
                </c:pt>
                <c:pt idx="2">
                  <c:v>8</c:v>
                </c:pt>
                <c:pt idx="3">
                  <c:v>8</c:v>
                </c:pt>
                <c:pt idx="4">
                  <c:v>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21.2</c:v>
                </c:pt>
                <c:pt idx="1">
                  <c:v>40.2</c:v>
                </c:pt>
                <c:pt idx="2">
                  <c:v>49.1</c:v>
                </c:pt>
                <c:pt idx="3">
                  <c:v>23.7</c:v>
                </c:pt>
                <c:pt idx="4">
                  <c:v>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1.06</c:v>
                </c:pt>
                <c:pt idx="1">
                  <c:v>2.03</c:v>
                </c:pt>
                <c:pt idx="2">
                  <c:v>1.86</c:v>
                </c:pt>
                <c:pt idx="3">
                  <c:v>1.21</c:v>
                </c:pt>
                <c:pt idx="4">
                  <c:v>0.69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634.2</c:v>
                </c:pt>
                <c:pt idx="1">
                  <c:v>482.7</c:v>
                </c:pt>
                <c:pt idx="2">
                  <c:v>175.6</c:v>
                </c:pt>
                <c:pt idx="3">
                  <c:v>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25.5</c:v>
                </c:pt>
                <c:pt idx="1">
                  <c:v>882.4</c:v>
                </c:pt>
                <c:pt idx="2">
                  <c:v>51.9</c:v>
                </c:pt>
                <c:pt idx="3">
                  <c:v>1076.8</c:v>
                </c:pt>
                <c:pt idx="4">
                  <c:v>13.5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20.5</c:v>
                </c:pt>
                <c:pt idx="1">
                  <c:v>132</c:v>
                </c:pt>
                <c:pt idx="2">
                  <c:v>181.3</c:v>
                </c:pt>
                <c:pt idx="3">
                  <c:v>192.5</c:v>
                </c:pt>
                <c:pt idx="4">
                  <c:v>213.8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108.4</c:v>
                </c:pt>
                <c:pt idx="3">
                  <c:v>0.4</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Dominical</c:v>
                </c:pt>
                <c:pt idx="2">
                  <c:v>Independiente</c:v>
                </c:pt>
                <c:pt idx="3">
                  <c:v>Otro externo</c:v>
                </c:pt>
              </c:strCache>
            </c:strRef>
          </c:cat>
          <c:val>
            <c:numRef>
              <c:f>Hoja1!$B$2:$B$5</c:f>
              <c:numCache>
                <c:formatCode>0</c:formatCode>
                <c:ptCount val="4"/>
                <c:pt idx="0">
                  <c:v>2</c:v>
                </c:pt>
                <c:pt idx="1">
                  <c:v>1</c:v>
                </c:pt>
                <c:pt idx="2">
                  <c:v>7</c:v>
                </c:pt>
                <c:pt idx="3">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Exea Quorum, S.L. (familia Puig), a través de Exea Inversión Empresarial, S.L.</c:v>
                </c:pt>
                <c:pt idx="1">
                  <c:v>Autocartera</c:v>
                </c:pt>
                <c:pt idx="2">
                  <c:v>Consejo de administración (participación directa e indirecta)</c:v>
                </c:pt>
                <c:pt idx="3">
                  <c:v>Capital flotante estimado</c:v>
                </c:pt>
              </c:strCache>
            </c:strRef>
          </c:cat>
          <c:val>
            <c:numRef>
              <c:f>Hoja1!$B$2:$B$5</c:f>
              <c:numCache>
                <c:formatCode>0.0"%"</c:formatCode>
                <c:ptCount val="4"/>
                <c:pt idx="0">
                  <c:v>74.4</c:v>
                </c:pt>
                <c:pt idx="1">
                  <c:v>0.86</c:v>
                </c:pt>
                <c:pt idx="3">
                  <c:v>23.96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c:f>
              <c:strCache>
                <c:ptCount val="1"/>
                <c:pt idx="0">
                  <c:v>2025</c:v>
                </c:pt>
              </c:strCache>
            </c:strRef>
          </c:cat>
          <c:val>
            <c:numRef>
              <c:f>Hoja1!$B$2</c:f>
              <c:numCache>
                <c:formatCode>0"%"</c:formatCode>
                <c:ptCount val="1"/>
                <c:pt idx="0">
                  <c:v>-16.6</c:v>
                </c:pt>
              </c:numCache>
            </c:numRef>
          </c:val>
        </c:ser>
        <c:ser>
          <c:idx val="1"/>
          <c:order val="1"/>
          <c:tx>
            <c:strRef>
              <c:f>Hoja1!$C$1</c:f>
              <c:strCache>
                <c:ptCount val="1"/>
                <c:pt idx="0">
                  <c:v>Índice</c:v>
                </c:pt>
              </c:strCache>
            </c:strRef>
          </c:tx>
          <c:spPr>
            <a:solidFill>
              <a:srgbClr val="EB6834"/>
            </a:solidFill>
            <a:ln w="9525">
              <a:noFill/>
            </a:ln>
          </c:spPr>
          <c:invertIfNegative val="0"/>
          <c:cat>
            <c:strRef>
              <c:f>Hoja1!$A$2</c:f>
              <c:strCache>
                <c:ptCount val="1"/>
                <c:pt idx="0">
                  <c:v>2025</c:v>
                </c:pt>
              </c:strCache>
            </c:strRef>
          </c:cat>
          <c:val>
            <c:numRef>
              <c:f>Hoja1!$C$2</c:f>
              <c:numCache>
                <c:formatCode>0"%"</c:formatCode>
                <c:ptCount val="1"/>
                <c:pt idx="0">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Puig</c:v>
                </c:pt>
                <c:pt idx="1">
                  <c:v>L'Oréal</c:v>
                </c:pt>
                <c:pt idx="2">
                  <c:v>Estée Lauder</c:v>
                </c:pt>
                <c:pt idx="3">
                  <c:v>Coty</c:v>
                </c:pt>
                <c:pt idx="4">
                  <c:v>Interparfums SA</c:v>
                </c:pt>
                <c:pt idx="5">
                  <c:v>Inter Parfums Inc</c:v>
                </c:pt>
                <c:pt idx="6">
                  <c:v>Shiseido</c:v>
                </c:pt>
                <c:pt idx="7">
                  <c:v>Beiersdorf</c:v>
                </c:pt>
                <c:pt idx="8">
                  <c:v>e.l.f. Beauty</c:v>
                </c:pt>
              </c:strCache>
            </c:strRef>
          </c:cat>
          <c:val>
            <c:numRef>
              <c:f>Hoja1!$B$2:$B$10</c:f>
              <c:numCache>
                <c:formatCode>0.0"x"</c:formatCode>
                <c:ptCount val="9"/>
                <c:pt idx="0">
                  <c:v>10.3</c:v>
                </c:pt>
                <c:pt idx="1">
                  <c:v>19</c:v>
                </c:pt>
                <c:pt idx="2">
                  <c:v>15.1</c:v>
                </c:pt>
                <c:pt idx="3">
                  <c:v>7.7</c:v>
                </c:pt>
                <c:pt idx="4">
                  <c:v>16.4</c:v>
                </c:pt>
                <c:pt idx="5">
                  <c:v>12.7</c:v>
                </c:pt>
                <c:pt idx="6">
                  <c:v>11.7</c:v>
                </c:pt>
                <c:pt idx="7">
                  <c:v>9.8</c:v>
                </c:pt>
                <c:pt idx="8">
                  <c:v>17.6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Puig</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c:v>
                </c:pt>
              </c:numCache>
            </c:numRef>
          </c:xVal>
          <c:yVal>
            <c:numRef>
              <c:f>Hoja1!$C$2</c:f>
              <c:numCache>
                <c:formatCode>0.0"x"</c:formatCode>
                <c:ptCount val="1"/>
                <c:pt idx="0">
                  <c:v>10.3</c:v>
                </c:pt>
              </c:numCache>
            </c:numRef>
          </c:yVal>
          <c:smooth val="0"/>
        </c:ser>
        <c:ser>
          <c:idx val="1"/>
          <c:order val="1"/>
          <c:tx>
            <c:strRef>
              <c:f>Hoja1!$A$3</c:f>
              <c:strCache>
                <c:ptCount val="1"/>
                <c:pt idx="0">
                  <c:v>L'Oréal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6.6</c:v>
                </c:pt>
              </c:numCache>
            </c:numRef>
          </c:xVal>
          <c:yVal>
            <c:numRef>
              <c:f>Hoja1!$C$3</c:f>
              <c:numCache>
                <c:formatCode>0.0"x"</c:formatCode>
                <c:ptCount val="1"/>
                <c:pt idx="0">
                  <c:v>19</c:v>
                </c:pt>
              </c:numCache>
            </c:numRef>
          </c:yVal>
          <c:smooth val="0"/>
        </c:ser>
        <c:ser>
          <c:idx val="2"/>
          <c:order val="2"/>
          <c:tx>
            <c:strRef>
              <c:f>Hoja1!$A$4</c:f>
              <c:strCache>
                <c:ptCount val="1"/>
                <c:pt idx="0">
                  <c:v>Estée Lauder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4.5</c:v>
                </c:pt>
              </c:numCache>
            </c:numRef>
          </c:xVal>
          <c:yVal>
            <c:numRef>
              <c:f>Hoja1!$C$4</c:f>
              <c:numCache>
                <c:formatCode>0.0"x"</c:formatCode>
                <c:ptCount val="1"/>
                <c:pt idx="0">
                  <c:v>15.1</c:v>
                </c:pt>
              </c:numCache>
            </c:numRef>
          </c:yVal>
          <c:smooth val="0"/>
        </c:ser>
        <c:ser>
          <c:idx val="3"/>
          <c:order val="3"/>
          <c:tx>
            <c:strRef>
              <c:f>Hoja1!$A$5</c:f>
              <c:strCache>
                <c:ptCount val="1"/>
                <c:pt idx="0">
                  <c:v>Coty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-3.1</c:v>
                </c:pt>
              </c:numCache>
            </c:numRef>
          </c:xVal>
          <c:yVal>
            <c:numRef>
              <c:f>Hoja1!$C$5</c:f>
              <c:numCache>
                <c:formatCode>0.0"x"</c:formatCode>
                <c:ptCount val="1"/>
                <c:pt idx="0">
                  <c:v>7.7</c:v>
                </c:pt>
              </c:numCache>
            </c:numRef>
          </c:yVal>
          <c:smooth val="0"/>
        </c:ser>
        <c:ser>
          <c:idx val="4"/>
          <c:order val="4"/>
          <c:tx>
            <c:strRef>
              <c:f>Hoja1!$A$6</c:f>
              <c:strCache>
                <c:ptCount val="1"/>
                <c:pt idx="0">
                  <c:v>Interparfums SA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1.5</c:v>
                </c:pt>
              </c:numCache>
            </c:numRef>
          </c:xVal>
          <c:yVal>
            <c:numRef>
              <c:f>Hoja1!$C$6</c:f>
              <c:numCache>
                <c:formatCode>0.0"x"</c:formatCode>
                <c:ptCount val="1"/>
                <c:pt idx="0">
                  <c:v>16.4</c:v>
                </c:pt>
              </c:numCache>
            </c:numRef>
          </c:yVal>
          <c:smooth val="0"/>
        </c:ser>
        <c:ser>
          <c:idx val="5"/>
          <c:order val="5"/>
          <c:tx>
            <c:strRef>
              <c:f>Hoja1!$A$7</c:f>
              <c:strCache>
                <c:ptCount val="1"/>
                <c:pt idx="0">
                  <c:v>Inter Parfums Inc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c:v>
                </c:pt>
              </c:numCache>
            </c:numRef>
          </c:xVal>
          <c:yVal>
            <c:numRef>
              <c:f>Hoja1!$C$7</c:f>
              <c:numCache>
                <c:formatCode>0.0"x"</c:formatCode>
                <c:ptCount val="1"/>
                <c:pt idx="0">
                  <c:v>12.7</c:v>
                </c:pt>
              </c:numCache>
            </c:numRef>
          </c:yVal>
          <c:smooth val="0"/>
        </c:ser>
        <c:ser>
          <c:idx val="6"/>
          <c:order val="6"/>
          <c:tx>
            <c:strRef>
              <c:f>Hoja1!$A$8</c:f>
              <c:strCache>
                <c:ptCount val="1"/>
                <c:pt idx="0">
                  <c:v>Shiseido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3.8</c:v>
                </c:pt>
              </c:numCache>
            </c:numRef>
          </c:xVal>
          <c:yVal>
            <c:numRef>
              <c:f>Hoja1!$C$8</c:f>
              <c:numCache>
                <c:formatCode>0.0"x"</c:formatCode>
                <c:ptCount val="1"/>
                <c:pt idx="0">
                  <c:v>11.7</c:v>
                </c:pt>
              </c:numCache>
            </c:numRef>
          </c:yVal>
          <c:smooth val="0"/>
        </c:ser>
        <c:ser>
          <c:idx val="7"/>
          <c:order val="7"/>
          <c:tx>
            <c:strRef>
              <c:f>Hoja1!$A$9</c:f>
              <c:strCache>
                <c:ptCount val="1"/>
                <c:pt idx="0">
                  <c:v>Beiersdorf</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0.2</c:v>
                </c:pt>
              </c:numCache>
            </c:numRef>
          </c:xVal>
          <c:yVal>
            <c:numRef>
              <c:f>Hoja1!$C$9</c:f>
              <c:numCache>
                <c:formatCode>0.0"x"</c:formatCode>
                <c:ptCount val="1"/>
                <c:pt idx="0">
                  <c:v>9.8</c:v>
                </c:pt>
              </c:numCache>
            </c:numRef>
          </c:yVal>
          <c:smooth val="0"/>
        </c:ser>
        <c:ser>
          <c:idx val="8"/>
          <c:order val="8"/>
          <c:tx>
            <c:strRef>
              <c:f>Hoja1!$A$10</c:f>
              <c:strCache>
                <c:ptCount val="1"/>
                <c:pt idx="0">
                  <c:v>e.l.f. Beauty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16.3</c:v>
                </c:pt>
              </c:numCache>
            </c:numRef>
          </c:xVal>
          <c:yVal>
            <c:numRef>
              <c:f>Hoja1!$C$10</c:f>
              <c:numCache>
                <c:formatCode>0.0"x"</c:formatCode>
                <c:ptCount val="1"/>
                <c:pt idx="0">
                  <c:v>17.6</c:v>
                </c:pt>
              </c:numCache>
            </c:numRef>
          </c:yVal>
          <c:smooth val="0"/>
        </c:ser>
        <c:axId val="10"/>
        <c:axId val="20"/>
      </c:scatterChart>
      <c:valAx>
        <c:axId val="10"/>
        <c:scaling>
          <c:orientation val="minMax"/>
          <c:max val="2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ISDIN (50 % restante)</c:v>
                </c:pt>
                <c:pt idx="1">
                  <c:v>Kering Beauté (Creed y licencias a 50 años de Gucci, Bottega Veneta y Balenciaga)</c:v>
                </c:pt>
                <c:pt idx="2">
                  <c:v>Rhode</c:v>
                </c:pt>
                <c:pt idx="3">
                  <c:v>Creed</c:v>
                </c:pt>
                <c:pt idx="4">
                  <c:v>Aesop</c:v>
                </c:pt>
                <c:pt idx="5">
                  <c:v>Tom Ford (marca, con Tom Ford Beauty)</c:v>
                </c:pt>
                <c:pt idx="6">
                  <c:v>Byredo (77 %)</c:v>
                </c:pt>
                <c:pt idx="7">
                  <c:v>Wella, Clairol, OPI y ghd (60 %)</c:v>
                </c:pt>
              </c:strCache>
            </c:strRef>
          </c:cat>
          <c:val>
            <c:numRef>
              <c:f>Hoja1!$B$2:$B$9</c:f>
              <c:numCache>
                <c:formatCode>0.0"x"</c:formatCode>
                <c:ptCount val="8"/>
                <c:pt idx="7">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534</c:v>
                </c:pt>
                <c:pt idx="1">
                  <c:v>565</c:v>
                </c:pt>
                <c:pt idx="2">
                  <c:v>606</c:v>
                </c:pt>
                <c:pt idx="3">
                  <c:v>653</c:v>
                </c:pt>
                <c:pt idx="4">
                  <c:v>699</c:v>
                </c:pt>
                <c:pt idx="5">
                  <c:v>735</c:v>
                </c:pt>
                <c:pt idx="6">
                  <c:v>767</c:v>
                </c:pt>
                <c:pt idx="7">
                  <c:v>797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3705</c:v>
                </c:pt>
                <c:pt idx="1">
                  <c:v>8493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19,59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13.11</c:v>
                </c:pt>
                <c:pt idx="1">
                  <c:v>20.45</c:v>
                </c:pt>
                <c:pt idx="2">
                  <c:v>23.9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19,59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(13,46 – 19,63)</c:v>
                </c:pt>
                <c:pt idx="1">
                  <c:v>Precio objetivo de los analistas (16,00 – 22,00)</c:v>
                </c:pt>
                <c:pt idx="2">
                  <c:v>Comparables: EV/EBITDA NTM (21,51 – 32,59)</c:v>
                </c:pt>
                <c:pt idx="3">
                  <c:v>Comparables: PER NTM (28,43 – 35,92)</c:v>
                </c:pt>
                <c:pt idx="4">
                  <c:v>Transacciones precedentes (EV/ventas) (32,27 – 41,32)</c:v>
                </c:pt>
                <c:pt idx="5">
                  <c:v>DCF (WACC y g ± 0,5) (17,55 – 24,61)</c:v>
                </c:pt>
                <c:pt idx="6">
                  <c:v>Escenarios (bajista – alcista) (13,11 – 23,90)</c:v>
                </c:pt>
                <c:pt idx="7">
                  <c:v>DCF con la prima implícita del mercado (4,2 %)</c:v>
                </c:pt>
                <c:pt idx="8">
                  <c:v>Precio actual (19,59)</c:v>
                </c:pt>
              </c:strCache>
            </c:strRef>
          </c:cat>
          <c:val>
            <c:numRef>
              <c:f>Hoja1!$B$2:$B$10</c:f>
              <c:numCache>
                <c:formatCode>#,##0.0</c:formatCode>
                <c:ptCount val="9"/>
                <c:pt idx="0">
                  <c:v>13.46</c:v>
                </c:pt>
                <c:pt idx="1">
                  <c:v>16</c:v>
                </c:pt>
                <c:pt idx="2">
                  <c:v>21.51</c:v>
                </c:pt>
                <c:pt idx="3">
                  <c:v>28.43</c:v>
                </c:pt>
                <c:pt idx="4">
                  <c:v>32.27</c:v>
                </c:pt>
                <c:pt idx="5">
                  <c:v>17.55</c:v>
                </c:pt>
                <c:pt idx="6">
                  <c:v>13.11</c:v>
                </c:pt>
                <c:pt idx="7">
                  <c:v>22.18</c:v>
                </c:pt>
                <c:pt idx="8">
                  <c:v>19.49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(13,46 – 19,63)</c:v>
                </c:pt>
                <c:pt idx="1">
                  <c:v>Precio objetivo de los analistas (16,00 – 22,00)</c:v>
                </c:pt>
                <c:pt idx="2">
                  <c:v>Comparables: EV/EBITDA NTM (21,51 – 32,59)</c:v>
                </c:pt>
                <c:pt idx="3">
                  <c:v>Comparables: PER NTM (28,43 – 35,92)</c:v>
                </c:pt>
                <c:pt idx="4">
                  <c:v>Transacciones precedentes (EV/ventas) (32,27 – 41,32)</c:v>
                </c:pt>
                <c:pt idx="5">
                  <c:v>DCF (WACC y g ± 0,5) (17,55 – 24,61)</c:v>
                </c:pt>
                <c:pt idx="6">
                  <c:v>Escenarios (bajista – alcista) (13,11 – 23,90)</c:v>
                </c:pt>
                <c:pt idx="7">
                  <c:v>DCF con la prima implícita del mercado (4,2 %)</c:v>
                </c:pt>
                <c:pt idx="8">
                  <c:v>Precio actual (19,59)</c:v>
                </c:pt>
              </c:strCache>
            </c:strRef>
          </c:cat>
          <c:val>
            <c:numRef>
              <c:f>Hoja1!$C$2:$C$10</c:f>
              <c:numCache>
                <c:formatCode>#,##0.0</c:formatCode>
                <c:ptCount val="9"/>
                <c:pt idx="0">
                  <c:v>6.169999999999998</c:v>
                </c:pt>
                <c:pt idx="1">
                  <c:v>6</c:v>
                </c:pt>
                <c:pt idx="2">
                  <c:v>11.080000000000002</c:v>
                </c:pt>
                <c:pt idx="3">
                  <c:v>7.490000000000002</c:v>
                </c:pt>
                <c:pt idx="4">
                  <c:v>9.049999999999997</c:v>
                </c:pt>
                <c:pt idx="5">
                  <c:v>7.059999999999999</c:v>
                </c:pt>
                <c:pt idx="6">
                  <c:v>10.79</c:v>
                </c:pt>
                <c:pt idx="7">
                  <c:v>5.73</c:v>
                </c:pt>
                <c:pt idx="8">
                  <c:v>0.20000000000000284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