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On Holding AG</w:t>
      </w:r>
    </w:p>
    <w:p>
      <w:pPr>
        <w:spacing w:after="60"/>
        <w:rPr>
          <w:color w:val="52514E"/>
          <w:sz w:val="22"/>
          <w:szCs w:val="22"/>
        </w:rPr>
      </w:pPr>
      <w:r>
        <w:rPr>
          <w:color w:val="52514E"/>
          <w:sz w:val="22"/>
          <w:szCs w:val="22"/>
        </w:rPr>
        <w:t xml:space="preserve">ONON · NYSE (acciones de Clase A, en USD) · ISIN CH1134540470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26,48 CHF (31,88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27,68 CHF (33,33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+4,5 %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8.900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11,2x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On Holding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ONON / CH1134540470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 (acciones de Clase A, en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(solo como referencia: On no forma parte del índice)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ropa y bienes de lujo (calzado y ropa deportiva)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Zúrich (Suiza) · 2010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26,48 (5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21,89 – 42,42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8.900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8.265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262 M USD/día (≈ 218 M CHF; 8,5 M de acciones;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27,68 CHF (33,33 USD)</w:t>
      </w:r>
      <w:r>
        <w:t xml:space="preserve"> frente a 26,48 (31,88 USD) · con la prima implícita del mercado: 36,62 (44,09 USD) (+38,3 %) · Rentabilidad total esperada a 12 meses </w:t>
      </w:r>
      <w:r>
        <w:rPr>
          <w:b/>
          <w:bCs/>
        </w:rPr>
        <w:t xml:space="preserve">+4,5 %</w:t>
      </w:r>
      <w:r>
        <w:t xml:space="preserve"> · Alcista / bajista +50,0 % / -31,3 %</w:t>
      </w:r>
    </w:p>
    <w:p>
      <w:pPr>
        <w:spacing w:after="100"/>
      </w:pPr>
      <w:r>
        <w:rPr>
          <w:b/>
        </w:rPr>
        <w:t xml:space="preserve">La recomendación y por qué.</w:t>
      </w:r>
      <w:r>
        <w:t xml:space="preserve"> Comprar, con convicción baja y horizonte de 12 meses, porque las dos reglas discrepan y manda la relativa. Con nuestro WACC del 10,01 %, el valor objetivo es de 27,68 CHF (33,33 USD), un 4,5 % sobre el precio de 26,48 CHF (31,88 USD), sin dividendo: la regla absoluta da Mantener. Con la prima implícita del mercado (4,20 % [76]), el WACC baja al 7,91 % y el objetivo sube a 36,62 CHF (44,09 USD): rentabilidad total esperada del 38,3 % y asimetría de 10,98 veces, y la regla relativa da Comprar. Es un Comprar solo relativo: el precio implica un 11,1 % anual, más que el 7,9 % que hoy pide el mercado a una acción de beta 1,72, pero apenas más que nuestro coste de capital. Si el mercado entero se abarata, On cae con él, y más que él.</w:t>
      </w:r>
    </w:p>
    <w:p>
      <w:pPr>
        <w:spacing w:after="100"/>
      </w:pPr>
      <w:r>
        <w:rPr>
          <w:b/>
        </w:rPr>
        <w:t xml:space="preserve">El negocio.</w:t>
      </w:r>
      <w:r>
        <w:t xml:space="preserve"> On vende a precio completo: margen bruto del 64,8 % en el 1S26, frente al 42,9 % de Nike [6, 39]. El foso es solo la marca [1]. El ROIC del 38,4 % casi cuadruplica el WACC.</w:t>
      </w:r>
    </w:p>
    <w:p>
      <w:pPr>
        <w:spacing w:after="100"/>
      </w:pPr>
      <w:r>
        <w:rPr>
          <w:b/>
        </w:rPr>
        <w:t xml:space="preserve">Sector y ciclo.</w:t>
      </w:r>
      <w:r>
        <w:t xml:space="preserve"> En un mercado promocional, On recortó en el 2T26 las entregas a mayoristas (+4,8 % en CHF) y rebajó por primera vez la guía de ventas; la venta directa creció un 34,3 % a divisa constante [6, 43].</w:t>
      </w:r>
    </w:p>
    <w:p>
      <w:pPr>
        <w:spacing w:after="100"/>
      </w:pPr>
      <w:r>
        <w:rPr>
          <w:b/>
        </w:rPr>
        <w:t xml:space="preserve">Finanzas.</w:t>
      </w:r>
      <w:r>
        <w:t xml:space="preserve"> Las ventas crecieron un 47,9 % anual en 2020-2025, hasta 3.014 M CHF. El dólar débil restó 8,1 puntos al crecimiento del 2T26 [1, 6]. Sin deuda financiera, tiene 643 M CHF de caja neta tras arrendamientos [7].</w:t>
      </w:r>
    </w:p>
    <w:p>
      <w:pPr>
        <w:spacing w:after="100"/>
      </w:pPr>
      <w:r>
        <w:rPr>
          <w:b/>
        </w:rPr>
        <w:t xml:space="preserve">Equipo y gobierno.</w:t>
      </w:r>
      <w:r>
        <w:t xml:space="preserve"> Restan: en trece meses salieron los dos co-CEO no fundadores, y los fundadores, con el 54-57 % del voto y el 13 % del capital, presiden y dirigen [1, 26].</w:t>
      </w:r>
    </w:p>
    <w:p>
      <w:pPr>
        <w:spacing w:after="100"/>
      </w:pPr>
      <w:r>
        <w:rPr>
          <w:b/>
        </w:rPr>
        <w:t xml:space="preserve">Valoración.</w:t>
      </w:r>
      <w:r>
        <w:t xml:space="preserve"> El DCF (50 %) da 30,07 CHF; los escenarios (30 %), 29,51 CHF, y los comparables (20 %), 18,98 CHF. El DCF inverso descuenta un crecimiento del 8,1 % anual en 2027-2035 (10,7 % en el caso base). No discrepamos del consenso: nuestras ventas quedan un 1,6-3,7 % por debajo hasta 2028 [69] y su objetivo medio (36,11 CHF [70]) es casi el nuestro con la prima del mercado. La distancia con el precio es de tasa de descuento y no hay un catalizador con fecha confirmada: por eso la convicción es baja. Sin etapa de transición: diez años explícitos ya llevan a On de en torno al 2 % a en torno al 4 % del calzado deportivo mundial. Con un terminal del 1,0 % en vez del 2,0 %, el objetivo relativo sería de 33,43 CHF (+26,2 %): la recomendación sigue.</w:t>
      </w:r>
    </w:p>
    <w:p>
      <w:pPr>
        <w:spacing w:after="100"/>
      </w:pPr>
      <w:r>
        <w:rPr>
          <w:b/>
        </w:rPr>
        <w:t xml:space="preserve">Riesgos y catalizadores.</w:t>
      </w:r>
      <w:r>
        <w:t xml:space="preserve"> La marca: el bajista, una pérdida de atractivo como la de Lululemon, vale 18,18 CHF (−31,3 %) [39]. Y el precio del riesgo: por la beta, cada décima de prima son 0,17 puntos de coste de capital, y la regla relativa deja de dar Comprar si la prima implícita pasa del 5,0 % (WACC del 9,2 %). Catalizadores: el 3T26 a mediados de noviembre, la guía de 2027 en marzo y la recompra de hasta 1.000 M USD [21].</w:t>
      </w:r>
    </w:p>
    <w:p>
      <w:pPr>
        <w:spacing w:after="100"/>
      </w:pPr>
      <w:r>
        <w:rPr>
          <w:b/>
        </w:rPr>
        <w:t xml:space="preserve">Qué cambiaría la decisión.</w:t>
      </w:r>
      <w:r>
        <w:t xml:space="preserve"> Con la regla combinada, compramos por debajo de 30,75 CHF (37,03 USD) y venderíamos por encima de 40,69 CHF (48,99 USD); entre ambos, Mantener. Pasaríamos a Mantener con una prima implícita por encima del 5,0 %, y a Vender si la venta directa del 3T26 crece menos del 20 % a divisa constante. Subiríamos la convicción si la guía de 2027 apunta a un crecimiento «high-teens» a divisa constante con un margen bruto del 65 % o más.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27,68 CHF (33,33 USD)</w:t>
      </w:r>
      <w:r>
        <w:t xml:space="preserve"> (+4,5 % sobre 26,48; rentabilidad total esperada +4,5 %) · con la prima implícita del mercado: 36,62 (44,09 USD) (+38,3 %)</w:t>
      </w:r>
    </w:p>
    <w:p>
      <w:pPr>
        <w:spacing w:after="100"/>
      </w:pPr>
      <w:r>
        <w:t xml:space="preserve">On ha crecido como pocas marcas deportivas, y con beneficio: ventas de 425 a 3.014 M CHF entre 2020 y 2025 (TCAC del 47,9 %), margen bruto del 64,8 % en el 1S26, el más alto del sector, ROIC del 38,4 % y 643 M CHF de caja neta después de arrendamientos [1, 6, 7]. Su valor está en una marca que vende a precio completo y en una cartera de crecimiento (Asia, ropa, venta directa) que todavía es pequeña.</w:t>
      </w:r>
    </w:p>
    <w:p>
      <w:pPr>
        <w:spacing w:after="100"/>
      </w:pPr>
      <w:r>
        <w:t xml:space="preserve">Al precio de 26,48 CHF (31,88 USD), el DCF inverso descuenta un crecimiento medio del 8,1 % anual en 2027-2035, frente al 10,7 % de nuestro caso base, o un margen EBITDA final del 18,2 % en lugar del 20,0 %; dicho de otro modo, una rentabilidad del 11,1 % anual. Cotiza a 11,2x EV/EBITDA de los próximos 12 meses, con prima sobre los comparables (8,0x) pero por debajo de cualquier cierre anual desde 2022: el mercado castiga la rebaja de la guía, el dólar débil y la cúpula nueva [6, 68].</w:t>
      </w:r>
    </w:p>
    <w:p>
      <w:pPr>
        <w:spacing w:after="100"/>
      </w:pPr>
      <w:r>
        <w:t xml:space="preserve">El mercado acierta en la dirección y exagera la cuantía, pero la conclusión depende de la tasa. Con nuestro WACC del 10,01 %, el valor objetivo es de 27,68 CHF (+4,5 %) y la regla absoluta da Mantener; con la prima implícita del mercado (4,20 % [76]), de 36,62 CHF (+38,3 %), y la relativa, que manda, da Comprar. Para invertir hay que creer que el recorte de los mayoristas es temporal, y aceptar que la prima que hoy pide el mercado no vuelve al 5 %. En dólares (0,8305 CHF por USD [45]): objetivo de 33,33 USD (44,09 USD con la prima del mercado), compra por debajo de 37,03 USD y venta por encima de 48,99 USD.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 CHF (33,33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actual (USD al tipo de 0,8305 CHF por USD)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 CHF (31,88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 / -31,3 %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 frente a 10,0 %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36,62 CHF (44,09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30,75 (37,03 USD)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30,75 y 40,69 (37,03 y 48,99 USD)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40,69 (48,99 USD)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30,75 CHF (37,03 USD) sin mejora de las previsiones, pasaríamos a Mantener; por encima de 40,69 CHF (48,99 USD), a Vender.</w:t>
      </w:r>
    </w:p>
    <w:p>
      <w:pPr>
        <w:pStyle w:val="ListParagraph"/>
        <w:numPr>
          <w:ilvl w:val="0"/>
          <w:numId w:val="2"/>
        </w:numPr>
        <w:spacing w:after="60"/>
      </w:pPr>
      <w:r>
        <w:t xml:space="preserve">Si la prima implícita del mercado de Damodaran sube por encima del 5,0 % (WACC relativo del 9,2 %), la regla relativa daría Mantener sin que cambie nada de On [76].</w:t>
      </w:r>
    </w:p>
    <w:p>
      <w:pPr>
        <w:pStyle w:val="ListParagraph"/>
        <w:numPr>
          <w:ilvl w:val="0"/>
          <w:numId w:val="2"/>
        </w:numPr>
        <w:spacing w:after="60"/>
      </w:pPr>
      <w:r>
        <w:t xml:space="preserve">Si la venta directa del 3T26 crece menos del 20 % a divisa constante, llevaríamos el caso base hacia el bajista (18,18 CHF) y pasaríamos a Vender.</w:t>
      </w:r>
    </w:p>
    <w:p>
      <w:pPr>
        <w:pStyle w:val="ListParagraph"/>
        <w:numPr>
          <w:ilvl w:val="0"/>
          <w:numId w:val="2"/>
        </w:numPr>
        <w:spacing w:after="60"/>
      </w:pPr>
      <w:r>
        <w:t xml:space="preserve">Si la guía de 2027 apunta a un crecimiento «high-teens» a divisa constante con margen bruto ≥ 65 %, subiríamos el caso base y la convicción a media.</w:t>
      </w:r>
    </w:p>
    <w:p>
      <w:pPr>
        <w:pStyle w:val="ListParagraph"/>
        <w:numPr>
          <w:ilvl w:val="0"/>
          <w:numId w:val="2"/>
        </w:numPr>
        <w:spacing w:after="60"/>
      </w:pPr>
      <w:r>
        <w:t xml:space="preserve">Si el margen bruto de 2026 sin aranceles devueltos queda por debajo del 63 %, revisaríamos a la baja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On se ha convertido en una marca deportiva más: crecimiento medio del 8 % anual desde 2027, sin llegar al margen del plan, y un riesgo de gobierno por la salida de dos primeros ejecutivos en 24 meses y el control de los fundadores. Con 11,2x EBITDA de los próximos 12 meses, el precio queda a medio camino entre Asics (11,8x) y las marcas en reestructuración.</w:t>
      </w:r>
    </w:p>
    <w:p>
      <w:pPr>
        <w:keepNext/>
        <w:spacing w:after="100"/>
      </w:pPr>
      <w:r>
        <w:rPr>
          <w:b/>
          <w:bCs/>
        </w:rPr>
        <w:t xml:space="preserve">Lo que creemos nosotros.</w:t>
      </w:r>
    </w:p>
    <w:p>
      <w:pPr>
        <w:spacing w:after="100"/>
      </w:pPr>
      <w:r>
        <w:t xml:space="preserve">El negocio está mejor de lo que dice la cotización: el margen bruto sube (64,8 %), la venta directa crece al 34 % a divisa constante y Asia ya es el 20 % de las ventas [6]. Lo que frena el crecimiento en CHF es sobre todo la divisa y una decisión voluntaria sobre los mayoristas. Con nuestro WACC del 10,01 %, el caso base solo está un 13,6 % por encima del precio; con el 7,91 % que resulta de la prima del mercado, el DCF da 41,36 CHF. La diferencia con el precio es más de tasa que de cifras.</w:t>
      </w:r>
    </w:p>
    <w:p>
      <w:pPr>
        <w:keepNext/>
        <w:spacing w:after="100"/>
      </w:pPr>
      <w:r>
        <w:rPr>
          <w:b/>
          <w:bCs/>
        </w:rPr>
        <w:t xml:space="preserve">Por qué podemos tener razón.</w:t>
      </w:r>
    </w:p>
    <w:p>
      <w:pPr>
        <w:spacing w:after="100"/>
      </w:pPr>
      <w:r>
        <w:t xml:space="preserve">La diferencia entre el crecimiento a divisa constante (+21,6 %) y en CHF (+13,5 %) del 2T26 es de 8 puntos, y el mercado la está tratando como pérdida de demanda [6]. Si la guía de 2027 confirma un «high-teens» a divisa constante, el DCF inverso del 8 % se queda corto. No tengo una visión muy distinta del mercado en el plazo de doce meses: la diferencia está a tres o cinco años.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2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Margen bruto líder y creciente</w:t>
      </w:r>
      <w:r>
        <w:t xml:space="preserve">: 64,8 % en el 1S26, 680 pb más que en 2022, frente al 42,9 % de Nike [6, 39].</w:t>
      </w:r>
    </w:p>
    <w:p>
      <w:pPr>
        <w:pStyle w:val="ListParagraph"/>
        <w:numPr>
          <w:ilvl w:val="0"/>
          <w:numId w:val="2"/>
        </w:numPr>
        <w:spacing w:after="60"/>
      </w:pPr>
      <w:r>
        <w:rPr>
          <w:b/>
        </w:rPr>
        <w:t xml:space="preserve">Crecimiento todavía alto en divisa constante</w:t>
      </w:r>
      <w:r>
        <w:t xml:space="preserve">: +24,0 % en el 1S26, con la venta directa al +31,6 % [6].</w:t>
      </w:r>
    </w:p>
    <w:p>
      <w:pPr>
        <w:pStyle w:val="ListParagraph"/>
        <w:numPr>
          <w:ilvl w:val="0"/>
          <w:numId w:val="2"/>
        </w:numPr>
        <w:spacing w:after="60"/>
      </w:pPr>
      <w:r>
        <w:rPr>
          <w:b/>
        </w:rPr>
        <w:t xml:space="preserve">Balance sin deuda</w:t>
      </w:r>
      <w:r>
        <w:t xml:space="preserve">: 1.205,6 M CHF de caja y recompra de hasta 1.000 M USD aprobada [7, 21].</w:t>
      </w:r>
    </w:p>
    <w:p>
      <w:pPr>
        <w:pStyle w:val="ListParagraph"/>
        <w:numPr>
          <w:ilvl w:val="0"/>
          <w:numId w:val="2"/>
        </w:numPr>
        <w:spacing w:after="60"/>
      </w:pPr>
      <w:r>
        <w:rPr>
          <w:b/>
        </w:rPr>
        <w:t xml:space="preserve">Rentabilidad del capital</w:t>
      </w:r>
      <w:r>
        <w:t xml:space="preserve">: ROIC del 38,4 % en 2025 e incremental del 48,6 % en cinco años.</w:t>
      </w:r>
    </w:p>
    <w:p>
      <w:pPr>
        <w:pStyle w:val="ListParagraph"/>
        <w:numPr>
          <w:ilvl w:val="0"/>
          <w:numId w:val="2"/>
        </w:numPr>
        <w:spacing w:after="60"/>
      </w:pPr>
      <w:r>
        <w:rPr>
          <w:b/>
        </w:rPr>
        <w:t xml:space="preserve">Valoración por debajo de su historia</w:t>
      </w:r>
      <w:r>
        <w:t xml:space="preserve">: 14,2x EBITDA de los últimos 12 meses frente a 23,4-49,7x en los cierres de 2022-2025, y un DCF inverso que solo exige un 8,1 % de crecimiento anual.</w:t>
      </w:r>
    </w:p>
    <w:p>
      <w:pPr>
        <w:pStyle w:val="Heading2"/>
      </w:pPr>
      <w:r>
        <w:t xml:space="preserve">En contra</w:t>
      </w:r>
    </w:p>
    <w:p>
      <w:pPr>
        <w:pStyle w:val="ListParagraph"/>
        <w:numPr>
          <w:ilvl w:val="0"/>
          <w:numId w:val="2"/>
        </w:numPr>
        <w:spacing w:after="60"/>
      </w:pPr>
      <w:r>
        <w:rPr>
          <w:b/>
        </w:rPr>
        <w:t xml:space="preserve">Primera rebaja de la guía de ventas</w:t>
      </w:r>
      <w:r>
        <w:t xml:space="preserve"> desde la OPV: los mayoristas crecen solo un 4,8 % en CHF en el 2T26 [6].</w:t>
      </w:r>
    </w:p>
    <w:p>
      <w:pPr>
        <w:pStyle w:val="ListParagraph"/>
        <w:numPr>
          <w:ilvl w:val="0"/>
          <w:numId w:val="2"/>
        </w:numPr>
        <w:spacing w:after="60"/>
      </w:pPr>
      <w:r>
        <w:rPr>
          <w:b/>
        </w:rPr>
        <w:t xml:space="preserve">Prima sobre los comparables</w:t>
      </w:r>
      <w:r>
        <w:t xml:space="preserve">: 11,2x EV/EBITDA NTM frente a 8,0x de mediana; con los múltiplos del sector valdría 18,98 CHF.</w:t>
      </w:r>
    </w:p>
    <w:p>
      <w:pPr>
        <w:pStyle w:val="ListParagraph"/>
        <w:numPr>
          <w:ilvl w:val="0"/>
          <w:numId w:val="2"/>
        </w:numPr>
        <w:spacing w:after="60"/>
      </w:pPr>
      <w:r>
        <w:rPr>
          <w:b/>
        </w:rPr>
        <w:t xml:space="preserve">Gobierno</w:t>
      </w:r>
      <w:r>
        <w:t xml:space="preserve">: dos cambios de primer ejecutivo en 24 meses, fundadores con el ~54 % del voto y el 13 % del capital, y un variable ligado a ventas y EBITDA ajustado, sin ROIC ni caja, que en 2025 superó en 1,33 M CHF el máximo aprobado [1, 26, 47].</w:t>
      </w:r>
    </w:p>
    <w:p>
      <w:pPr>
        <w:pStyle w:val="ListParagraph"/>
        <w:numPr>
          <w:ilvl w:val="0"/>
          <w:numId w:val="2"/>
        </w:numPr>
        <w:spacing w:after="60"/>
      </w:pPr>
      <w:r>
        <w:rPr>
          <w:b/>
        </w:rPr>
        <w:t xml:space="preserve">Divisa</w:t>
      </w:r>
      <w:r>
        <w:t xml:space="preserve">: el dólar débil restó 8,1 puntos al crecimiento del 2T26 y el 51 % de las ventas es en EE. UU. [1, 6].</w:t>
      </w:r>
    </w:p>
    <w:p>
      <w:pPr>
        <w:pStyle w:val="ListParagraph"/>
        <w:numPr>
          <w:ilvl w:val="0"/>
          <w:numId w:val="2"/>
        </w:numPr>
        <w:spacing w:after="60"/>
      </w:pPr>
      <w:r>
        <w:rPr>
          <w:b/>
        </w:rPr>
        <w:t xml:space="preserve">Riesgo de moda y de concentración</w:t>
      </w:r>
      <w:r>
        <w:t xml:space="preserve">: 90 % del calzado fabricado en Vietnam y el mayor cliente pesa el 11,6 % [1, 7].</w:t>
      </w:r>
    </w:p>
    <w:p>
      <w:pPr>
        <w:pStyle w:val="Heading2"/>
      </w:pPr>
      <w:r>
        <w:t xml:space="preserve">Qué tiene que pasar para que la tesis funcione</w:t>
      </w:r>
    </w:p>
    <w:p>
      <w:pPr>
        <w:spacing w:after="100"/>
      </w:pPr>
      <w:r>
        <w:t xml:space="preserve">La tesis depende de que la desaceleración sea de canal y de divisa, no de marca. La señal está en dos cifras de los resultados del 3T26 (noviembre) y de la guía de 2027 (marzo): el crecimiento de la venta directa a divisa constante, que debe seguir por encima del 25 %, y el de los mayoristas, que debe volver a dos dígitos en 2027. Si la venta directa baja del 20 % con mayoristas planos, el problema es la marca y el escenario bajista (18,18 CHF) pasa a ser el central.</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venta directa a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medida más limpia de la demanda de la marca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los mayoristas a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el recorte es temporal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(sin aranceles devueltos)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completo y mezcla de canal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sobre ventas LTM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 (472,9 M CHF a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2022 el exceso de existencias hundió el flujo libre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mayor cliente en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Concentración creciente en el canal más débil [7].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14,2x / 11,2x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22,4x / 18,5x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On nació en Zúrich en 2010 de la mano de Olivier Bernhard, ex triatleta profesional, y de David Allemann y Caspar Coppetti, que venían de la consultoría y la publicidad, con la suela CloudTec como invento de partida [1]. En 2012 se creó On Holding AG como sociedad cabecera [1]. Creció a través de tiendas especializadas de running y después de grandes minoristas. Roger Federer se sumó como socio de la marca, y en septiembre de 2021 salió a bolsa en la NYSE con una estructura de doble clase que deja el voto en manos de los fundadores [1, 5]. Desde entonces ha multiplicado las ventas por cuatro (de 725 M CHF en 2021 a 3.014 M CHF en 2025) y ha pasado de la zapatilla de running a la ropa, el tenis, el outdoor, la fábrica propia de LightSpray en Zúrich y, en 2026, el fútbol y el golf [1, 6, 11]. En 2025-2026 la dirección volvió a los fundadores: el CEO y CFO Martin Hoffmann salió en mayo de 2026 y Allemann y Coppetti son ahora copresidentes y co-CEO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On AG en Zúrich por Bernhard, Allemann y Coppetti; primera zapatilla con CloudTec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On Holding AG como sociedad cabecera del grupo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(sep-2021) a 24 USD por acción, con acciones de Clase A cotizadas y de Clase B de los fundadores; Roger Federer figura como socio («co-entrepreneur») y la línea THE ROGER se explota bajo licencia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Investor Day: objetivo de duplicar las ventas a 2026 (≥ 3.550 M CHF) y llegar a un margen EBITDA ajustado del 18 %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Apertura de la primera fábrica de LightSpray en Zúrich; ventas por encima de 3.000 M CHF y Asia-Pacífico por encima de 500 M CHF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recíprocos de EE. UU. del 20 % sobre Vietnam (ago-2025), de donde sale el 90 % del calzado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Tribunal Supremo de EE. UU. anula los aranceles IEEPA (feb-2026); On pide la devolución de 55,6 M CHF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fundadores Allemann y Coppetti asumen como co-CEO tras la salida de Martin Hoffmann (1-may-2026)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Day (22-sep): objetivos a 2029, entrada en fútbol y golf y primera recompra de acciones de hasta 1.000 M USD [21].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On diseña y vende calzado deportivo premium (el 93 % de las ventas de 2025), ropa y accesorios bajo una sola marca [1, 11]. Nació en el running y se ha extendido al outdoor, el entrenamiento, el tenis, el uso diario y, desde 2026, el fútbol y el golf [1, 21]. Vende en más de 90 países por dos canales: mayoristas (58,2 % de las ventas de 2025), es decir, tiendas especializadas de running, grandes cadenas deportivas y grandes almacenes, y venta directa (41,8 %), con la web propia y 67 tiendas propias al cierre de 2025 [1, 11]. No fabrica: menos de 30 proveedores externos, seis de los cuales hacen el 70 % de la producción; el 90 % del calzado sale de Vietnam y el 10 % de Indonesia [1]. La excepción es LightSpray, una tecnología de pala pulverizada que On fabrica en Zúrich [1]. EE. UU. es el 51 % de las ventas, EMEA el 25 % y Asia-Pacífico el 17 % [1].</w:t>
      </w:r>
    </w:p>
    <w:p>
      <w:pPr>
        <w:pStyle w:val="Heading2"/>
      </w:pPr>
      <w:r>
        <w:t xml:space="preserve">Cómo gana dinero</w:t>
      </w:r>
    </w:p>
    <w:p>
      <w:pPr>
        <w:spacing w:after="100"/>
      </w:pPr>
      <w:r>
        <w:t xml:space="preserve">Es una marca de margen bruto alto: 62,8 % en 2025 y 64,8 % en el 1S26, frente al 42,9 % de Nike o el 51,6 % de adidas [6, 11, 38, 39]. El margen depende de tres cosas. La primera es el precio completo: On evita las rebajas y frena las entregas a mayoristas cuando el mercado está promocional, como en el 2T26 [6]. La segunda es la mezcla de canal: cada punto de venta directa sube el margen bruto, porque se queda el margen del minorista. La tercera son los costes de producto y de aduanas en EE. UU. y la divisa, porque factura en USD, EUR y otras monedas y presenta en CHF [1, 6]. Los gastos generales (50 % de las ventas en 2025, con 2 % de remuneración en acciones) dan el apalancamiento operativo: marketing, tiendas y tecnología crecen menos que las ventas [11]. No hay ingresos recurrentes por contrato; la repetición viene de la marca. Hay estacionalidad moderada: el 2T y el 3T son los trimestres más fuertes en ventas y márgenes [6].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 (Wholesale)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directa (DTC)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 (Wholesale)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directa (DTC)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ha subido: el mayor cliente fue el 11,0 % de las ventas de 2025 y el 11,6 % en el 1S26, cuando antes de 2025 ninguno pasaba del 10 %; dos clientes superaban cada uno el 10 % de los saldos de clientes a dic-2025 [1, 6]. Los mayoristas, que son el 58 % de las ventas, compran con crédito comercial sin garantía y con pedidos anticipados [1]. El riesgo está en la salud de las grandes cadenas de EE. UU. y en que dediquen el espacio a otras marcas [1]. El poder de precios se ve en el margen bruto: subió de 56,0 % en 2022 a 64,8 % en el 1S26 pese al arancel recíproco del 20 % sobre Vietnam desde agosto de 2025, que On absorbió con precio y mezcla sin perder crecimiento (+21,6 % a divisa constante en el 2T26) [1, 6, 11]. La dirección dice haber subido precios selectivamente para mantener el posicionamiento, sin dar cifras [40]. La señal contraria es la del canal: en el 2T26 los mayoristas crecieron solo un 4,8 % (12,7 % a divisa constante) porque On recortó entregas para no alimentar rebajas [6].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venta directa (DTC)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 (2025); 45,7 % en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 38,1 %; 2022 36,4 %; 2023 37,5 % (cálculo sobre ventas por canal) [1,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propias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38 en China (incl. Hong Kong), 14 en América, 10 en Europa, 5 en Asia-Pacífico sin China. 2021: 9; 2022: 18; 2023: 32 [1, 2, 3,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(equivalentes a tiempo completo)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2020: 744; 2021: 1.158; 2022: 1.701; 2023: 2.353 [1, 2, 3,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Ropa y accesorios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(2025); 8,1 %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Ropa 169,9 M y accesorios 39,6 M en 2025 [1, 7,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 (2025); 20,5 %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divisa constante de APAC: 106,7 % en 2025, 58,1 % en 1S26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 (2025); 64,8 %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 59,4 %; 2022 56,0 %; 2023 59,6 %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Países con presencia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90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calzado y ropa deportiva de marca en el mundo, y dentro de él el calzado de rendimiento premium (running sobre todo), donde compiten On, HOKA, Asics y las líneas de running de Nike y adidas. Uso dos fuentes. Grand View Research mide el calzado deportivo mundial: 146.700 M USD en 2023, con previsión de 205.800 M USD en 2030 (TCAC del 5,0 %) [41]. McKinsey y la WFSGI miden toda la industria de artículos deportivos (calzado, ropa y equipamiento): creció un 7 % anual en 2021-2024 y esperan un 6 % anual hasta 2029 [42]. Tomo la serie de Grand View porque es la más cercana a lo que vende On (93 % calzado), y la de McKinsey como contraste de crecimiento.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153.900 M USD en 2024 (calzado deportivo mundial) [41]; previsión de 205.800 M USD en 2030 [41]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calzado deportivo mundial, Grand View Research))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Participación deportiva, running y salud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adidas y Puma citan en sus informes de 2025 la mayor participación deportiva y la conciencia de salud como motores de fondo [38, 43]; la industria creció un 7 % anual en 2021-2024 [42].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Deporte como prenda diaria (athleisure)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Puma describe la fusión de ropa deportiva y de calle como motor material de la demanda [43]; On dice que los menores de 34 años son ya más de un tercio de sus clientes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Marcas insurgentes frente a las establecidas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HOKA creció un 15,9 % en su ejercicio a mar-2026 y Asics un 19,5 % en 2025, mientras Nike quedó plana (+0 %) [39, 44].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 recíproco del 20 % sobre Vietnam desde ago-2025 sobre el 20 % previo; los IEEPA se anularon en feb-2026 y On reclama 55,6 M CHF [1,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Promociones y exceso de inventario en el canal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Puma habla de un entorno «intensamente promocional» en 2025 [43]; On frenó entregas a mayoristas en el 2T26 por el mismo motivo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(USD débil frente al CHF)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USD/CHF pasó de 0,906 a cierre de 2024 a 0,793 a cierre de 2025 [45]; en el 1S26 las ventas de On crecieron un 14,0 % en CHF y un 24,0 % a divisa constante [6].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Nike y adidas defienden cuota con marketing y rebajas; Puma perdió dinero en 2025 (margen EBIT de −4,9 %) en un mercado promocional [43].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mayoristas son el 58 % de las ventas de On y reparten espacio entre marcas; el consumidor final paga precio completo por las marcas con demanda [1,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concentrada: seis proveedores hacen el 70 % de la producción de On y el 90 % del calzado viene de Vietnam; algunos tejidos tienen un solo proveedor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fabricación externalizada abarata entrar (On y HOKA lo demuestran), pero escalar una marca global exige años de inversión en atletas y distribución [1, 39].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calzado de calle no deportivo compite por el gasto, pero la tendencia de los últimos años va hacia el deporte como prenda diaria [43].</w:t>
            </w:r>
          </w:p>
        </w:tc>
      </w:tr>
    </w:tbl>
    <w:p>
      <w:pPr>
        <w:spacing w:after="160" w:before="0"/>
      </w:pPr>
    </w:p>
    <w:p>
      <w:pPr>
        <w:pStyle w:val="Heading2"/>
      </w:pPr>
      <w:r>
        <w:t xml:space="preserve">Ciclo</w:t>
      </w:r>
    </w:p>
    <w:p>
      <w:pPr>
        <w:spacing w:after="100"/>
      </w:pPr>
      <w:r>
        <w:t xml:space="preserve">El sector está en una fase de digestión: Nike encadena dos años sin crecer (46.309 y 46.398 M USD en sus ejercicios a may-2025 y may-2026), Lululemon y Puma esperan menos ventas en 2026 y el mercado es promocional [39, 43]. Los indicadores son el inventario del canal, el nivel de rebajas y el crecimiento de los mayoristas. En 2008-09 y 2020 el sector cayó con el consumo y se recuperó en uno o dos años; en 2022-23 el exceso de inventario tras la pandemia hundió los márgenes de las marcas grandes. Las insurgentes (On, HOKA, Asics) siguen creciendo a doble dígito, pero también ellas frenan [6, 39, 44].</w:t>
      </w:r>
    </w:p>
    <w:p>
      <w:pPr>
        <w:pStyle w:val="Heading2"/>
      </w:pPr>
      <w:r>
        <w:t xml:space="preserve">Regulación</w:t>
      </w:r>
    </w:p>
    <w:p>
      <w:pPr>
        <w:spacing w:after="100"/>
      </w:pPr>
      <w:r>
        <w:t xml:space="preserve">Lo que más pesa en las cifras es la política comercial de EE. UU., adonde va el 51 % de las ventas de On [11]. En ago-2025 entró en vigor un arancel recíproco del 20 % sobre Vietnam, que se suma al 20 % previo [1]. El 20-feb-2026 el Tribunal Supremo anuló los aranceles aprobados con la IEEPA; On ha pagado 55,6 M CHF y espera recuperar hasta 65 M USD en el 3T26, aunque no lo reconoce hasta que el cobro sea prácticamente seguro [6, 21]. Las normas contra el trabajo forzoso (retenciones de la CBP) y los objetivos de emisiones validados por la SBTi son el otro frente regulatorio que declara la empresa [1].</w:t>
      </w:r>
    </w:p>
    <w:p>
      <w:pPr>
        <w:pStyle w:val="Heading2"/>
      </w:pPr>
      <w:r>
        <w:t xml:space="preserve">Tendencias y disrupción</w:t>
      </w:r>
    </w:p>
    <w:p>
      <w:pPr>
        <w:spacing w:after="100"/>
      </w:pPr>
      <w:r>
        <w:t xml:space="preserve">Tres tendencias favorecen a On. El running y el deporte como identidad de una generación (más de un tercio de sus clientes tiene menos de 34 años) [6]; el paso de la cuota de Nike y adidas a marcas especializadas y premium, como HOKA, Asics u On [39, 44]; y la venta directa, que On ha llevado del 36 % de las ventas en 2022 al 45,7 % en el 2T26 [6, 11]. En contra juegan la madurez del canal mayorista en EE. UU., la vuelta de Nike al running con más inversión y la competencia china en Asia (Anta, Li Ning), donde On crece más deprisa [6]. La innovación de producto (espumas, LightSpray) es la barrera que On intenta levantar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Marca insurgente premium; cuota estimada del 2,1 % del calzado deportivo mundial en 2025 (estimación propia: 2.804 M CHF de calzado de On [11] sobre ~162.000 M USD de mercado, extrapolando la serie de Grand View al 5 % anual [41])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NKE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ventas planas (46.398 M USD en el ejercicio a may-2026) y margen operativo del 8,2 % (beneficio bruto menos gastos de venta y administración)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 margen tras Yeezy: ventas de 24.811 M EUR (+4,8 %) y margen operativo del 8,3 % en 2025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Lululemon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LULU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Ropa premium con calzado incipiente; ventas de 11.103 M USD y margen operativo del 19,9 % (23,7 % un año antes) en el ejercicio a feb-2026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reestructuración: ventas de 7.296 M EUR (−13,1 %) y EBIT de −357 M EUR en 2025 [43].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 (Salomon, Arc'teryx)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Finlandia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Outdoor premium; ventas de 6.566 M USD (+26,7 %) y beneficio operativo de 702 M USD en 2025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Deckers (HOKA, UGG)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más parecido: HOKA vendió 2.587 M USD (+15,9 %) en el ejercicio a mar-2026; el grupo, 5.472 M USD con margen operativo del 23,1 %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7936</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Running de rendimiento y moda (Onitsuka Tiger); ventas de 810.900 M JPY (+19,5 %) y beneficio operativo de 142.500 M JPY en 2025 [44].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Comunidad de corredores y atletas, pero sin efecto de red económico: un cliente más no hace el producto mejor para otro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zapatilla no cuesta nada; la fidelidad viene del ajuste y de la costumbre, no de un coste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62,8 % en 2025 y del 64,8 % en el 1S26 frente al 42,9 % de Nike y el 51,6 % de adidas; crecimiento a precio completo y conocimiento de marca del 30 % [3, 4, 8,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ventaja: fabrica con los mismos proveedores asiáticos que el resto y con menos volumen que Nike o adidas; LightSpray podría cambiarlo a largo plazo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3.014 M CHF de ventas en 2025 es menos de una décima parte de Nike (38.534 M CHF) y algo más de la mitad de Amer Sports; la escala le permite financiar atletas y tiendas, pero no es una barrera para otros [3, 9, 18].</w:t>
            </w:r>
          </w:p>
        </w:tc>
      </w:tr>
    </w:tbl>
    <w:p>
      <w:pPr>
        <w:spacing w:after="160" w:before="0"/>
      </w:pPr>
    </w:p>
    <w:p>
      <w:pPr>
        <w:pStyle w:val="Heading2"/>
      </w:pPr>
      <w:r>
        <w:t xml:space="preserve">Amenazas</w:t>
      </w:r>
    </w:p>
    <w:p>
      <w:pPr>
        <w:spacing w:after="100"/>
      </w:pPr>
      <w:r>
        <w:t xml:space="preserve">El foso es la marca, y las marcas de moda deportiva se desgastan. Le pasó a Under Armour y le está pasando a Lululemon, cuyo margen operativo cayó del 23,7 % al 19,9 % en un año [39]. Las amenazas concretas son tres. La primera, que Nike recupere el running con producto e inversión. La segunda, que HOKA, Asics u otra marca nueva ocupen el sitio de «la zapatilla que hay que tener» [39, 44]. La tercera, que la expansión a ropa, fútbol y golf diluya la autenticidad de corredor [21]. Probabilidad media a cinco años. La señal temprana sería el crecimiento de la venta directa a divisa constante por debajo del 20 % o más rebajas en las propias tiendas de On.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spacing w:after="100"/>
      </w:pPr>
      <w:r>
        <w:t xml:space="preserve">Crecimiento anual compuesto 2020-2025: ingresos </w:t>
      </w:r>
      <w:r>
        <w:rPr>
          <w:b/>
          <w:bCs/>
        </w:rPr>
        <w:t xml:space="preserve">47,9 %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Todo el crecimiento es orgánico: la única compra de la historia de On costó 0,3 M CHF en 2019 [1]. Las ventas pasaron de 425 M CHF en 2020 a 3.014 M CHF en 2025, una TCAC del 47,9 %, y se frenan: +29,4 % en 2024, +30,0 % en 2025 y +14,0 % en el 1S26 (+24,0 % a divisa constante) [6, 11]. El margen bruto subió 680 pb entre 2022 y 2025 (del 56,0 % al 62,8 %) por más venta directa, precio completo y fletes normalizados, y llegó al 64,8 % en el 1S26 pese al arancel sobre Vietnam [1, 6]. El margen EBITDA NIIF pasó del 10,8 % en 2022 al 16,7 % en 2025, porque los gastos generales crecieron menos que las ventas. 2021 no es comparable (198,5 M CHF de pagos en acciones por la OPV), y el beneficio neto se mueve al revés que el EBIT por las diferencias de cambio: −173,2 M CHF en 2025 frente a +67,7 M CHF en 2024 [1]. En el LTM a junio de 2026 el beneficio neto ya es de 396,2 M CHF.</w:t>
      </w:r>
    </w:p>
    <w:p>
      <w:pPr>
        <w:pStyle w:val="Heading2"/>
      </w:pPr>
      <w:r>
        <w:t xml:space="preserve">Ajustes y partidas no recurrentes</w:t>
      </w:r>
    </w:p>
    <w:p>
      <w:pPr>
        <w:spacing w:after="100"/>
      </w:pPr>
      <w:r>
        <w:t xml:space="preserve">On publica EBITDA, beneficio neto y BPA «ajustados» que excluyen la remuneración en acciones y sus cargas sociales (y, en 2021, 7,6 M CHF de costes de la OPV) [1, 5]. La diferencia no es pequeña ni puntual: 62,6 M CHF en 2025 (2,1 % de las ventas y el 30,7 % del beneficio neto) y 71,5 M CHF en 2024 [1]. Es un gasto recurrente y aquí se trata como tal: la cuenta, el DCF y los múltiplos usan el EBITDA NIIF (504,4 M CHF en 2025 frente a 567,0 M CHF ajustado). Las diferencias de cambio (−173,2 M CHF en 2025, +67,7 M CHF en 2024 y −111,4 M CHF en 2023) van al resultado financiero y no se repiten con el mismo tamaño desde que la moneda funcional es el USD (+2,9 M CHF en el 1S26) [1, 7]. La devolución de aranceles (hasta 53 M CHF en el 3T26) será un extraordinario positivo [21].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hay transcripciones gratuitas; el resumen sale de las notas de prensa, el MD&amp;A y el Investor Day. En mayo (1T26) el mensaje era de aceleración: ventas por encima de 800 M CHF por primera vez, +26,4 % a divisa constante, margen bruto del 64,2 % y guía subida a ≥ 64,5 % de margen bruto con ventas de al menos +23 % a divisa constante [9]. En agosto (2T26) cambia el discurso: +21,6 % a divisa constante, venta directa +34,3 %, pero mayoristas solo +12,7 % porque On «gestiona deliberadamente» las entregas en un mercado promocional, sobre todo en América, y la guía de ventas baja a un crecimiento «low-20%» (3.470-3.560 M CHF) mientras el margen bruto sube a ≥ 65,0 % [6, 8]. Es la primera rebaja de la guía de ventas desde la OPV [6]. En el Investor Day (22-sep) la dirección anticipa un 3T de ~17 % a divisa constante, fija los objetivos a 2029 y anuncia la recompra [21]. Lo que no se ha cuantificado: cuánto inventario hay en el canal mayorista de EE. UU., cuánto pesa el mayor cliente (11,6 % de las ventas del 1S26) en el recorte y qué margen tendrán fútbol y golf [1,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Sin compras: el activo total se triplica por la salida a bolsa (612 M CHF de emisión de acciones) y no por un cambio de perímetro. 2021 tampoco es comparable en márgenes: 198,5 M CHF de remuneración en acciones por la OPV.).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no tiene deuda financiera: 1.205,6 M CHF de caja a junio de 2026 frente a 562,5 M CHF de arrendamientos, una caja neta de 643 M CHF después de arrendamientos [7]. El circulante comercial ha mejorado mucho: del 37,6 % de las ventas en 2022, cuando On acumuló existencias (269 días), al 18,9 % en 2025 (137 días) [1]. En junio de 2026 sube al 19,7 % de las ventas de los últimos 12 meses (635,9 M CHF), con las existencias en 472,9 M CHF, un 12,7 % más que un año antes y por debajo del crecimiento de las ventas [6, 8]. Los arrendamientos crecen deprisa (de 347,5 a 521,5 M CHF en 2025, y 230,3 M CHF más firmados sin empezar) porque On abre tiendas y almacenes automatizados en Atlanta y Beringen: es la «deuda» que de verdad crece [1,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319</w:t>
      </w:r>
      <w:r>
        <w:t xml:space="preserve">, conversión </w:t>
      </w:r>
      <w:r>
        <w:rPr>
          <w:b/>
          <w:bCs/>
        </w:rPr>
        <w:t xml:space="preserve">83 %</w:t>
      </w:r>
      <w:r>
        <w:t xml:space="preserve"> del beneficio neto; adquisiciones 0, dividendos 0, recompras 0.</w:t>
      </w:r>
    </w:p>
    <w:p>
      <w:pPr>
        <w:spacing w:after="100"/>
      </w:pPr>
      <w:r>
        <w:t xml:space="preserve">La conversión de beneficio en caja es buena pero irregular. El flujo libre (después de capex, arrendamientos e intereses) fue de −330 M CHF en 2022, por la acumulación de existencias, y de 153, 379 y 190 M CHF en 2023-2025; 319 M CHF acumulados en 2020-2025, con una conversión del 83 % del beneficio neto [1]. En 2025 bajó por más circulante (clientes +59 M CHF) y por más arrendamientos pagados (69,9 M CHF) [1]. En el LTM a junio de 2026 se recupera hasta 334 M CHF (estimación propia sobre los estados intermedios) [7]. El capex es ligero (2,6 % de las ventas en 2025) y la empresa no separa mantenimiento y crecimiento; estimación propia: con unas amortizaciones de inmovilizado propio de ~1,5 % de las ventas, casi todo el capex es de crecimiento (tiendas, almacenes, tecnología y la fábrica de LightSpray). Las altas de arrendamientos, que no pasan por caja, son tan grandes como el capex.</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AG (Zúrich)</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2020-2025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firma sin salvedades todos los ejercicios desde 2020, pero hubo una debilidad material de control interno (segregación de funciones en el ERP) detectada en 2020, con opinión desfavorable sobre el control a 31-dic-2022 y remediada en 2023 [1, 4]. Tres asuntos piden lectura atenta. La remuneración en acciones, 2,1 % de las ventas y el 30,7 % del beneficio neto de 2025, que las métricas ajustadas eliminan [1]. El tipo impositivo, anómalo y no proyectable: −15,2 % en 2023 y 0,7 % en 2025, por el impuesto diferido de los márgenes intragrupo en existencias y por incentivos fiscales; el normalizado está más cerca del 17-19 % (13,9 % en el 1S26) [1, 7]. Y las diferencias de cambio, que en 2025 restaron 173,2 M CHF al beneficio [1]. Los indicadores del motor son tranquilizadores: Altman Z de 6,65 (zona segura), Piotroski F de 7 sobre 9 y Beneish M de −2,44, por debajo del umbral de −1,78. La devolución de aranceles del 3T26 inflará el margen bruto de ese trimestre [21].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material de control interno 2020-2022</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Identificada al preparar las cuentas de 2020: segregación de funciones en el ERP antiguo (asientos sin revisión obligatoria) y conciliaciones sin revisión formal [5]. PwC emitió opinión desfavorable sobre el control interno a 31-dic-2022 [4]. Remediada a 31-dic-2023 [3]; no hubo ajustes materiales en las cuentas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Diferencias de cambio enormes en el resultado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−173,2 M en 2025 (116,0 M no realizadas), +67,7 M en 2024, −111,4 M en 2023 y −139,9 M solo en 2T25, sobre todo por la revaluación de saldos monetarios en USD (caja e intragrupo) por el cruce CHF/USD [1, 7]. Hacen que el beneficio neto (−15,9 % en 2025) se mueva al revés que el EBIT (+78 %). Desde el 1-ene-2026 On Holding AG y On AG pasan a moneda funcional USD (presentación sigue en CHF), lo que reduce este efecto: +2,9 M en 1S26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anormalmente bajo y volátil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0,7 % en 2025, 13,4 % en 2024 y −15,1 % en 2023, frente a un tipo esperado del 19,6 %; en 2025 por impuesto diferido de la eliminación de márgenes intragrupo en existencias (127,2 M de activo diferido neto por existencias), incentivos fiscales (−35,2 M) y partidas de años anteriores (−11,9 M) [1]. Activos por impuesto diferido: 175,9 M (dic-25) y 187,8 M (jun-26) [1, 7]. 1S26: 13,9 %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Métricas ajustadas excluyen la remuneración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en acciones en SG&amp;A: 62,6 M en 2025 (2,1 % de ventas; 30,7 % del beneficio neto, cálculo), 71,5 M en 2024 (3,1 %; 29,5 %), 198,5 M en 2021 (27,4 % de ventas, por la OPV) [1, 5]. El EBITDA ajustado y el BPA ajustado la excluyen y son base de la retribución variable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3T25 con un extraordinario de ~2 puntos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65,7 % del 3T25 incluye un efecto favorable puntual de aproximadamente el 2 % por fletes y otros costes inferiores a lo previsto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Devoluciones de aranceles IEEPA inflarán el margen bruto del 3T26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IEEPA pagados: 55,6 M (52,7 M en trámite de devolución), no reconocidos a 30-jun-2026 [7]. A 11-ago-2026 se habían cobrado unos 27,9 M, que se reconocerán en el 3T26 como menor coste de ventas [7, 8]; el Investor Day estima hasta 65 M USD (hasta 53 M CHF) en el 3T26, que beneficiarán el beneficio bruto reportado; la guía de 2026 los excluye [21].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cliente fue el 11,0 % de las ventas de 2025 y el 11,6 % en 1S26 (ninguno superaba el 10 % antes de 2025); dos clientes superaban cada uno el 10 % de los saldos de clientes a dic-25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Cambios de criterio y de presentación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 nueva desagregación geográfica (EMEA, Americas, APAC; 'Rest of World' repartido), sin efecto en totales [3]. 2024: pasivos por arrendamiento en línea propia del balance [2]. Mar-2025: cambio del calendario de devengo de RSU y PSU del LTIP 2021 [1]. 2026: moneda funcional USD para la matriz y la principal sociedad operativa [1]. 2027: NIIF 18 llevará parte de las diferencias de cambio al resultado operativo y los intereses cobrados a inversión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Pignoración de activos circulantes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y existencias pignorados a favor de la línea de crédito (655,1 M a jun-26) aunque la línea no está dispuesta: se usa para avales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Arrendamientos como asunto clave de auditoría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PwC señala como asunto clave el plazo de los arrendamientos con opciones de prórroga (derechos de uso 494,1 M; pasivos 521,5 M a dic-25)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48,6 % · </w:t>
      </w:r>
      <w:r>
        <w:rPr>
          <w:b/>
          <w:bCs/>
        </w:rPr>
        <w:t xml:space="preserve">WACC</w:t>
      </w:r>
      <w:r>
        <w:t xml:space="preserve">: 10,0 %.</w:t>
      </w:r>
    </w:p>
    <w:p>
      <w:pPr>
        <w:spacing w:after="100"/>
      </w:pPr>
      <w:r>
        <w:t xml:space="preserve">On crea valor desde 2023: el ROIC (beneficio operativo después de impuestos sobre capital invertido medio, con los arrendamientos en el capital) fue del 23,0 % en 2023, del 22,6 % en 2024 y del 38,4 % en 2025, frente a un WACC del 10,01 %. El salto de 2025 es en parte fiscal: con un tipo del 0,7 % el NOPAT casi iguala al EBIT; con un tipo normal del 18 % el ROIC rondaría el 32 % (estimación propia). Lo mueve el margen, no la rotación: la rotación del activo es estable (1,16-1,20 veces en 2023-2025) y el margen EBIT pasó del 7,0 % de 2022 al 12,5 % de 2025. El ROIC incremental de 2020-2025 es del 48,6 %: el crecimiento ha sido rentable. El ROE (13,5 % en 2025) es menor porque el patrimonio incluye 1.020 M CHF de caja y porque las diferencias de cambio redujeron el beneficio. Frente a los competidores, el ROIC de On queda por encima del de adidas (14,8 %), Nike (18,9 %) y Amer (9,5 %) y por debajo del de Deckers (90,6 %) y Asics (41,8 %) [72].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y equivalentes 1.205,6 M (de ellos 799,8 M en depósitos a plazo de hasta tres meses) sin deuda financiera, más la línea sindicada multidivisa de 700 M sin disponer (con 163,2 M usados para avales y cartas de crédito) y una opción de ampliación (acordeón) de hasta 200 M; vence el 7-jul-2028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ningún documento de la empresa (20-F 2021-2025, 6-K) menciona una calificación crediticia; On no tiene bonos emitidos [1].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Línea de crédito de 700 M (firmada el 7-jul-2023, ampliada dos años hasta el 7-jul-2028), sin disponer a 31-dic-2025 ni a 30-jun-2026; margen de 1,40 % a 2,30 % sobre el tipo de referencia según el apalancamiento (+0,10 % en USD) [23]. Covenants: patrimonio consolidado de al menos 800 M y ratio deuda neta senior / EBITDA ajustado por derechos de uso no superior a 3,50x [24]; cumplidos en 2024, 2025 y 1S26 [1, 7]. Activos pignorados por la línea: clientes 312,8 M y existencias 342,2 M (655,1 M a 30-jun-2026) [7]. Avales y cartas de crédito a favor de terceros: 163,2 M (jun-26), sobre todo para los almacenes automatizados de Atlanta (105,5 M a dic-25) y Beringen (27,9 M) [1, 7]. Compromisos de arrendamiento firmados y no iniciados: 230,3 M (jun-26), sobre todo el almacén de Beringen (104,3 M) [7]. Pensiones (plan suizo de prestación definida): obligación neta 5,5 M (dic-25) [1]. Provisiones 39,6 M (jun-26): cargas sociales de planes en acciones 8,7, premios de antigüedad 13,8, otras (desmantelamiento y litigios) 17,0 [7]. Responsabilidad solidaria por el grupo de IVA suizo y por el cash pooling (322,8 M de saldos compensados) [7]. Aranceles IEEPA pagados en EE. UU.: 55,6 M, de los que 52,7 M están en trámite de devolución; no reconocidos a 30-jun [7].</w:t>
      </w:r>
    </w:p>
    <w:p>
      <w:pPr>
        <w:pStyle w:val="Heading1"/>
      </w:pPr>
      <w:r>
        <w:t xml:space="preserve">12. Asignación de capital</w:t>
      </w:r>
    </w:p>
    <w:p>
      <w:pPr>
        <w:pStyle w:val="Confianza"/>
        <w:spacing w:after="100"/>
      </w:pPr>
      <w:r>
        <w:t xml:space="preserve">Confianza: Alta</w:t>
      </w:r>
    </w:p>
    <w:p>
      <w:pPr>
        <w:spacing w:after="100"/>
      </w:pPr>
      <w:r>
        <w:t xml:space="preserve">On nunca ha declarado ni pagado dividendos y no prevé hacerlo en el futuro previsible: retiene los fondos para crecer [1]. En septiembre de 2026 el consejo autorizó la primera recompra de acciones: hasta 1.000 M USD de acciones de Clase A hasta el 31-dic-2029 [21]. Capital autorizado (capital band) hasta el 25-may-2028: emitir o amortizar hasta 25.000.000 acciones A, y emitir hasta 9.487.500 acciones B [27]. Capital condicional: hasta 10.042.461 acciones A para consejeros, consultores y socios de servicio [37]. No ha habido recompras con salida de caja hasta jun-26 [1,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Brunner Mettler GmbH (Zúrich),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Única combinación de negocios de la historia de On. Pago neto de caja adquirida de 0,3 M en 2019 más 0,2 M de pagos contingentes (2020-2021); generó 1,8 M de fondo de comercio, sin deterioro en ningún año [1, 5]. La empresa no detalla su actividad ni su contribución.</w:t>
            </w:r>
          </w:p>
        </w:tc>
      </w:tr>
    </w:tbl>
    <w:p>
      <w:pPr>
        <w:spacing w:after="160" w:before="0"/>
      </w:pPr>
    </w:p>
    <w:p>
      <w:pPr>
        <w:spacing w:after="100"/>
      </w:pPr>
      <w:r>
        <w:t xml:space="preserve">La dirección ha asignado el capital casi entero al crecimiento orgánico: ni dividendos, ni recompras, ni compras relevantes en 2020-2025, y 319 M CHF de flujo libre acumulado que se han quedado en caja [1]. El resultado es bueno: ROIC incremental del 48,6 % y crecimiento de las ventas por siete en cinco años. El coste ha sido la dilución, entre el 0,7 % y el 2,2 % anual por los planes de acciones [1, 7]. La recompra de hasta 1.000 M USD hasta 2029 (unos 830 M CHF, el 9 % de la capitalización) cambia la política. Es razonable con 1.205,6 M CHF de caja y un flujo libre esperado de más de 400 M CHF al año [7, 69]. Pero llega cuando la acción ha caído un 31,4 % en el año y parece servir también para absorber la dilución de los planes y las ventas de los exdirectivos [63, 68].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Allemann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copresidente ejecutivo del consejo y co-CEO (co-CEO desde el 1-may-2026)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en 2010; montó la producción y la cadena de suministro en Asia y la identidad de marca, y es copresidente ejecutivo desde abril de 2021 [1]. Antes, director de marketing de Vitra (2006-2010), director general de Young &amp; Rubicam Suiza y consultor de McKinsey [1]. Con los fundadores al frente, las ventas pasaron de CHF 724,6 M en 2021 a CHF 3.014,0 M en 2025 y el margen de EBITDA ajustado del 13,3 % al 18,8 % [11, 29]. Participación a 31-dic-2025: 3,9 % económico y 16,5 % del voto (2.538.011 acciones A y 103.162.500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Caspar Coppetti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copresidente ejecutivo del consejo y co-CEO (co-CEO desde el 1-may-2026)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presidente y director global de ventas desde 2010 y copresidente ejecutivo desde abril de 2021; construyó la red comercial y de distribución y ha dirigido la industrialización de LightSpray [1]. Antes, socio director y director de estrategia de Young &amp; Rubicam (2004-2010) y consultor de McKinsey [1]. Participación a 31-dic-2025: 3,9 % económico y 17,5 % del voto (2.072.758 acciones A y 109.370.840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Bernhard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consejero ejecutivo (producto de rendimiento y atletas)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triatleta profesional (tres títulos mundiales), autor del concepto CloudTec; consejero ejecutivo desde la fundación en 2010 y responsable de prototipos y del programa de atletas [1, 26]. Es el mayor accionista individual: 5,0 % económico y 18,9 % del voto a 31-dic-2025 (4.860.086 acciones A y 115.620.840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Sluis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Fichaje externo; CFO desde el 1-may-2026, cuando Martin Hoffmann dejó la doble función de CEO y CFO [26]. Viene de ser CFO de Europa e Indonesia en Ahold Delhaize, con puestos financieros anteriores en Reckitt Benckiser y Unilever [54]. Todavía no tiene resultados medibles en On; presentó los objetivos a 2029 en el Investor Day del 22-sep-2026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Maguire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el 31-mar-2025 como director de innovación desde Specialized, donde era CEO, y antes fue COO del grupo Dyson [53]. Ascendió a presidente y COO el 1-may-2026, con toda la cadena de valor a su cargo (I+D, fabricación, marketing, operaciones comerciales y tecnología) [26]. Según la empresa, dirigió el escalado de LightSpray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Martin Hoffmann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CEO y CFO (CFO 2013-2026, co-CEO 2021-2025, CEO único 2025-abr-2026); asesor hasta mar-2027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 CFO desde 2013 y llevó la salida a bolsa de 2021 [1]. Fue CEO y CFO a la vez desde abril/julio de 2025 hasta su salida el 1-may-2026 [1, 26]. En su etapa las guías anuales de 2022-2025 se cumplieron todas y se superaron. Al salir convirtió sus 16.250.000 acciones B en 1.625.000 A, aprobadas en la junta de 2026, con una obligación de venta ordenada [48, 49]. Ha vendido unos CHF 17,3 M en 12 meses [39, 63, 64, 65].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(nov-2021): ventas de al menos CHF 960 M y EBITDA ajustado de CHF 125 M [28]. Revisada al alza cuatro veces: ≥ CHF 990 M y margen del 13,1 % (mar-2022), ≥ CHF 1.040 M y 13,2 % (may), ≥ CHF 1.100 M (ago) y CHF 1.125 M con EBITDA ajustado de CHF 148 M y margen del 13,2 % (nov) [29, 30, 31, 32].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1.222,1 M (+68,7 %), margen bruto del 56,0 % y margen de EBITDA ajustado del 13,5 % [33].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(mar-2023): ventas ≥ CHF 1.700 M, margen bruto de ~58,5 % y margen de EBITDA ajustado del 15,0 % [33]. Revisada a ≥ CHF 1.740 M (may), ≥ CHF 1.760 M (ago) y CHF 1.790 M con margen bruto ≥ 59,0 % (nov) [34, 35,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1.792,1 M (+46,6 %; más del 55 % a tipo constante), margen bruto del 59,6 % y margen de EBITDA ajustado del 15,5 % [20].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(mar-2024): crecimiento a tipo constante ≥ 30 % (≥ CHF 2.250 M), margen bruto de ~60 % y margen de EBITDA ajustado del 16,0-16,5 % [20]. Se mantuvo en may y ago [18, 19]. En nov subió a ≥ 32 % a tipo constante (≥ CHF 2.290 M), margen bruto de ~60,5 % y EBITDA en la parte alta del rango [17].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2.318,3 M (+29,4 %; +33,2 % a tipo constante), margen bruto del 60,6 % y margen de EBITDA ajustado del 16,7 %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(mar-2025): crecimiento a tipo constante ≥ 27 % (≥ CHF 2.940 M), margen bruto de ~60,5 % y margen de EBITDA ajustado del 17,0-17,5 % [16]. En may, por los aranceles, subió las ventas a ≥ 28 % pero bajó los márgenes a 60,0-60,5 % y 16,5-17,5 % [15]. En ago subió a ≥ 31 %, 60,5-61,0 % y 17,0-17,5 % [14], y en nov a 34 % (CHF 2.980 M), ~62,5 % y más del 18,0 %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3.014,0 M (+30,0 %; +35,6 % a tipo constante), margen bruto del 62,8 % y margen de EBITDA ajustado del 18,8 %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(mar-2026): crecimiento a tipo constante ≥ 23 % (≥ CHF 3.440 M), margen bruto ≥ 63,0 % y margen de EBITDA ajustado del 18,5-19,0 % [11]. En may mantuvo las ventas (≥ CHF 3.510 M) y subió los márgenes a ≥ 64,5 % y 19,5-20,0 % [9]. En ago rebajó las ventas a un crecimiento «low-20%» a tipo constante (CHF 3.470-3.560 M) al frenar las entregas a mayoristas, con margen bruto ≥ 65,0 % [6]. Lo reiteró el 22-sep, con una previsión de ~17 % a tipo constante para el 3T [21].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ventas de CHF 1.682,2 M (+14,0 %; +24,0 % a tipo constante), margen bruto del 64,8 % y margen de EBITDA ajustado del 20,3 % [6]. Es la primera rebaja de la guía de ventas desde la salida a bolsa; la de márgenes se ha subido.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(objetivos del Investor Day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Duplicar las ventas de 2023 hasta al menos CHF 3.550 M (TCAC de más del 26 %), margen bruto superior al 60 % y margen de EBITDA ajustado del 18 % o más en 2026 [22].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vigente para 2026: ventas de CHF 3.470-3.560 M a tipos de contado, margen bruto ≥ 65,0 % y margen de EBITDA ajustado del 19,5-20,0 % [6, 21]. Los márgenes superan con holgura los objetivos. Las ventas en CHF quedan en torno al objetivo, por debajo en el extremo bajo del rango, por la fuerza del franco; a tipo constante el crecimiento supera el plan. La empresa dice que superará «significativamente» los objetivos de 2023 [21].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Credibilidad alta en cifras: las guías anuales de 2022 a 2025 se revisaron al alza casi cada trimestre y se superaron en ventas y márgenes [11, 12, 14, 15, 16, 17, 18, 19, 20, 22, 28, 29, 30, 31, 32, 33, 34, 35, 36]. La primera rebaja de ventas llega en agosto de 2026 y coincide con el cambio de cúpula [6]. La estabilidad es baja. En trece meses salieron los dos co-CEO no fundadores: Marc Maurer (anunciado en abr-2025) y Martin Hoffmann, que fue CEO y CFO a la vez casi un año y se fue en may-2026 [26, 53]. Ahora los copresidentes Allemann y Coppetti son también co-CEO, con un CFO externo recién llegado (Frank Sluis) y un presidente y COO con año y medio en la casa [26]. No se ha publicado ningún plan de sucesión. El poder ejecutivo, el voto y la presidencia quedan concentrados en los tres fundadores [1, 26].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Allemann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ejecutivo y co-CEO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Caspar Coppetti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ejecutivo y co-CEO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Bernhard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 Pérez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representante de los accionistas de clase A; la empresa lo declara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la de Nombramientos y Remuneración; vocal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Banse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Dennis Durkin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la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Miele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(desde el 21-sep-2026)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Helena Helmersson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2020-2025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65,99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Bernhard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pacto de accionistas; 18,9 % del voto (acciones A y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B: de 113,7 M (2024) a 115,6 M (2025), por compras dentro del pacto y opciones; acciones A: de 5,45 M a 4,86 M y 5,16 M en jun-2026 [47,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Caspar Coppetti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pacto de accionistas; 17,5 %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B: de 107,5 M a 109,4 M; acciones A: de 3,12 M a 2,07 M (dic-2025) y 2,38 M (jun-2026) [47,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Allemann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pacto de accionistas; 16,5 %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B: de 101,2 M a 103,2 M (incluye 3,16 M en opciones B); acciones A: de 3,70 M a 2,54 M y 2,84 M en jun-2026 [47,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tres fundadores en conjunto (pacto)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de control; ~57 % del voto a dic-2025 con Hoffmann y ~54 % tras su salida (estimación propia)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13,8 % (jun-2025) → 12,9 % (jun-2026), según el 13G/A; salieron del pacto Maurer (2025) y Hoffmann (2026) [55, 56]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Carlos Alberto Sicupira (CHL Investment Fund)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(3G); 6,7 % de las acciones A y 3,1 %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desde el 13G/A de oct-2024 [1, 62]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Morgan Stanley (MSIM)</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6,5 % de las acciones A y 3,0 %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13G a 31-dic-2025 [60]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Lemann (MAAI Ltd.)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6,1 % de las acciones A y 2,8 %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actualizar desde el 13G de dic-2021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Baron Capital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5,65 % de las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posición declarada por encima del 5 % a 30-jun-2026 [57]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5,4 % de las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Bajando: 10,0 % de las acciones A (jun-2025), 8,1 % (mar-2026) y 5,4 % (jun-2026) [58, 59]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 Pérez (consejero)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9,77 M acciones A y 1,5 %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10,01 M (dic-2024) a 9,77 M (dic-2025)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Hoffmann (ex CEO y CFO)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directivo; 3,24 M acciones A tras convertir sus acciones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Convirtió 16,25 M acciones B en 1,625 M A (may-2026) y vende de forma continuada [49, 56,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AllianceBernstein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 de las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5,9 % (sep-2024) al 3,3 % (sep-2025) [61]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9.973.771 acciones A a 31-dic-2025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desde 13,16 M (dic-2024) por entregas a planes; recompra de hasta USD 1.000 M aprobada en sep-2026 hasta 2029 [1,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 Allemann (aviso Form 144, venta para pagar impuestos de PSU; ejecución no verificada)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Caspar Coppetti (aviso Form 144, venta para pagar impuestos de PSU; ejecución no verificada)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Olivier Bernhard (aviso Form 144, venta para pagar impuestos de PSU; ejecución no verificada)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34.811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171.508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 desde el 1-may)</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519.598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 aviso Form 144 de venta prevista)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bono anual del CEO se reparte a partes iguales entre ventas y EBITDA ajustado. Paga como máximo el 125 % y llega al 150 % con un modificador individual de ±25 %; en 2025 salió al 125 % [47]. El variable a largo plazo son PSU ligadas a la TCAC de ventas y de EBITDA ajustado, con un multiplicador de TSR relativo (0,75-1,25×) y un tope del 250 %. No hay ROIC ni flujo de caja; los tramos 2023 y 2024 pagaron el 247 % y el 235 % [47]. Desde 2025 los fundadores cobran el 100 % en PSU, CHF 2,9 M cada uno [47]. Antes de la salida a bolsa recibieron opciones sobre acciones B, ya consolidadas y sin condiciones de rendimiento, a USD 0,77; aún quedan 6.325.000 [1, 39]. Hoffmann recibió un pago único de CHF 5 M en RSU [47]. Lo pagado en 2025 superó en CHF 1,33 M el máximo aprobado de CHF 26 M, y la junta lo ratificó [47, 50]. El reembolso de variable (clawback) solo cubre las reexpresiones [1]. No hay indemnizaciones; el preaviso es de doce meses y la no competencia se paga [47]. El informe de 2023 sacó el 87,1 % a favor; sin las acciones B, en torno al 65 % [52].</w:t>
      </w:r>
    </w:p>
    <w:p>
      <w:pPr>
        <w:pStyle w:val="Heading2"/>
      </w:pPr>
      <w:r>
        <w:t xml:space="preserve">Operaciones vinculadas, estructura de control y defensas</w:t>
      </w:r>
    </w:p>
    <w:p>
      <w:pPr>
        <w:spacing w:after="100"/>
      </w:pPr>
      <w:r>
        <w:t xml:space="preserve">Los tres fundadores controlan la sociedad con dos clases de acciones. Las B tienen nominal de CHF 0,01 frente a 0,10 de las A, y una acción, un voto: diez veces más voto por franco [1]. Con unas 325 M de acciones B tienen el 54-57 % del voto y el 13 % del capital [1, 55]. Un pacto de accionistas les obliga a votar en bloque, les da tanteo sobre las B y les asegura un puesto en el consejo [1, 48]. Las B solo se convierten si cae la tenencia por debajo del 65 % [1]. Transmitir B exige aprobación del consejo, que hasta mayo de 2028 puede emitir 9,49 M más sin la junta [49]. Hay contrapesos. Las decisiones de dos tercios necesitan además mayoría del nominal, que está en las A [1]. Las A eligen su propio consejero, Pérez [50]. El régimen suizo de OPA no se aplica [1]. Vinculadas: la empresa pagó el registro de las acciones convertidas de Hoffmann [48].</w:t>
      </w:r>
    </w:p>
    <w:p>
      <w:pPr>
        <w:pStyle w:val="Heading2"/>
      </w:pPr>
      <w:r>
        <w:t xml:space="preserve">Señales de alerta</w:t>
      </w:r>
    </w:p>
    <w:p>
      <w:pPr>
        <w:pStyle w:val="ListParagraph"/>
        <w:numPr>
          <w:ilvl w:val="0"/>
          <w:numId w:val="2"/>
        </w:numPr>
        <w:spacing w:after="60"/>
      </w:pPr>
      <w:r>
        <w:t xml:space="preserve">Rotación de la cúpula: el co-CEO Marc Maurer salió en 2025 [53]. Martin Hoffmann fue CEO y CFO a la vez desde abril/julio de 2025 y se fue el 1-may-2026 [1, 26]. El CFO es externo y nuevo, y el presidente y COO llegó en mar-2025 [26, 53].</w:t>
      </w:r>
    </w:p>
    <w:p>
      <w:pPr>
        <w:pStyle w:val="ListParagraph"/>
        <w:numPr>
          <w:ilvl w:val="0"/>
          <w:numId w:val="2"/>
        </w:numPr>
        <w:spacing w:after="60"/>
      </w:pPr>
      <w:r>
        <w:t xml:space="preserve">Desde el 1-may-2026 los copresidentes son también co-CEO: no hay separación entre presidencia y dirección, y los mismos fundadores tienen el control de voto [26, 49].</w:t>
      </w:r>
    </w:p>
    <w:p>
      <w:pPr>
        <w:pStyle w:val="ListParagraph"/>
        <w:numPr>
          <w:ilvl w:val="0"/>
          <w:numId w:val="2"/>
        </w:numPr>
        <w:spacing w:after="60"/>
      </w:pPr>
      <w:r>
        <w:t xml:space="preserve">Ventas de exdirectivos en 12 meses (Form 144): Maurer, 1,35 M de acciones por unos CHF 42,9 M; Hoffmann, 0,54 M por unos CHF 17,3 M. Hoffmann avisó el 1-oct-2026 de la venta de otras 175.000 acciones y vende las 1,625 M que salieron de convertir sus B bajo un límite del 5 % del volumen medio diario [39, 48, 63, 64, 65].</w:t>
      </w:r>
    </w:p>
    <w:p>
      <w:pPr>
        <w:pStyle w:val="ListParagraph"/>
        <w:numPr>
          <w:ilvl w:val="0"/>
          <w:numId w:val="2"/>
        </w:numPr>
        <w:spacing w:after="60"/>
      </w:pPr>
      <w:r>
        <w:t xml:space="preserve">Lo pagado a la dirección en 2025 (CHF 27,33 M) superó el máximo aprobado de CHF 26 M, y se pidió a la junta un importe suplementario [47, 50]. Hoffmann recibió CHF 5 M en RSU en abr-2025 y dejó el cargo un año después; no se ha publicado si las perdió [26, 47].</w:t>
      </w:r>
    </w:p>
    <w:p>
      <w:pPr>
        <w:pStyle w:val="ListParagraph"/>
        <w:numPr>
          <w:ilvl w:val="0"/>
          <w:numId w:val="2"/>
        </w:numPr>
        <w:spacing w:after="60"/>
      </w:pPr>
      <w:r>
        <w:t xml:space="preserve">El capital libre vota contra: en 2024-2026 el informe de remuneración tuvo entre 47 y 70 millones de votos en contra (9-13 % del total). Sin las acciones B, el apoyo de las A ronda el 65-75 % (estimación propia) [50, 51, 52].</w:t>
      </w:r>
    </w:p>
    <w:p>
      <w:pPr>
        <w:pStyle w:val="ListParagraph"/>
        <w:numPr>
          <w:ilvl w:val="0"/>
          <w:numId w:val="2"/>
        </w:numPr>
        <w:spacing w:after="60"/>
      </w:pPr>
      <w:r>
        <w:t xml:space="preserve">Alex Pérez, consejero desde 2016 y declarado independiente, tiene el 3,0 % del capital y viene de 3G Capital, como Sicupira y Lemann (11,4 % económico entre ambos). Preside la comisión de remuneraciones [1, 47]. En 2026 su reelección como representante de las A tuvo un 12,2 % en contra entre los votos de las A [50].</w:t>
      </w:r>
    </w:p>
    <w:p>
      <w:pPr>
        <w:pStyle w:val="ListParagraph"/>
        <w:numPr>
          <w:ilvl w:val="0"/>
          <w:numId w:val="2"/>
        </w:numPr>
        <w:spacing w:after="60"/>
      </w:pPr>
      <w:r>
        <w:t xml:space="preserve">Como emisor extranjero no le aplican las normas de gobierno de la NYSE ni la protección suiza de OPA: no está obligada a tener mayoría de independientes ni comisiones independientes, emite acciones sin aprobación de la junta y no hay OPA obligatoria [1].</w:t>
      </w:r>
    </w:p>
    <w:p>
      <w:pPr>
        <w:pStyle w:val="ListParagraph"/>
        <w:numPr>
          <w:ilvl w:val="0"/>
          <w:numId w:val="2"/>
        </w:numPr>
        <w:spacing w:after="60"/>
      </w:pPr>
      <w:r>
        <w:t xml:space="preserve">Debilidad material en el control interno detectada en 2020 y dada por remediada a cierre de 2023; el control de 2025 es efectivo, con dictamen de PwC [1, 3, 39].</w:t>
      </w:r>
    </w:p>
    <w:p>
      <w:pPr>
        <w:pStyle w:val="ListParagraph"/>
        <w:numPr>
          <w:ilvl w:val="0"/>
          <w:numId w:val="2"/>
        </w:numPr>
        <w:spacing w:after="60"/>
      </w:pPr>
      <w:r>
        <w:t xml:space="preserve">No se han encontrado demandas colectivas de valores contra On Holding. Hay una demanda colectiva de consumo, Norberg v. On Inc. (Oregón, may-2026), cuyo objeto no está verificado, y el pleito aduanero On Inc. v. United States por los aranceles [1, 46].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reiterada el 22-sep-2026: ventas con crecimiento «low-20%» a divisa constante (3.470-3.560 M CHF a tipos de contado), margen bruto de al menos el 65,0 % y margen EBITDA ajustado del 19,5-20,0 %, sin contar la devolución de aranceles (hasta 53 M CHF en el 3T26) [6, 21]. Para el 3T26 espera ~17 % a divisa constante [21]. La guía de ventas inicial (al menos +23 % a divisa constante) se rebajó en agosto; la de márgenes se ha subido dos veces [C46-48]. Objetivos a 2029 (Investor Day del 22-sep-2026): crecimiento de las ventas «high-teens» a divisa constante, ventas de al menos 5.600 M CHF en 2029, margen bruto ≥ 65 % y margen EBITDA ajustado ≥ 22 %, con un EBITDA ajustado que crezca más del 20 % anual en 2026-2029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[69], 31 analistas. EBITDA pasado a base NIIF: EBITDA ajustado publicado (706.1) menos la remuneración en acciones estimada al 1,99 % de las ventas, la proporción del 1S26 (estimación propia); EBIT y BPA, NIIF</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[69], 31 analistas. EBITDA pasado a base NIIF: EBITDA ajustado publicado (856.5) menos la remuneración en acciones estimada al 1,99 % de las ventas, la proporción del 1S26 (estimación propia); EBIT y BPA, NIIF</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[69], 31 analistas. EBITDA pasado a base NIIF: EBITDA ajustado publicado (1047) menos la remuneración en acciones estimada al 1,99 % de las ventas, la proporción del 1S26 (estimación propia); EBIT y BPA, NIIF</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 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16,58 – 59,37</w:t>
            </w:r>
          </w:p>
        </w:tc>
      </w:tr>
    </w:tbl>
    <w:p>
      <w:pPr>
        <w:spacing w:after="160" w:before="0"/>
      </w:pPr>
    </w:p>
    <w:p>
      <w:pPr>
        <w:pStyle w:val="Heading2"/>
      </w:pPr>
      <w:r>
        <w:t xml:space="preserve">Revisiones de estimaciones</w:t>
      </w:r>
    </w:p>
    <w:p>
      <w:pPr>
        <w:spacing w:after="100"/>
      </w:pPr>
      <w:r>
        <w:t xml:space="preserve">Las cifras de ventas cuadran entre las dos fuentes: 3.514 M CHF en 2026 en MarketScreener y 3.510 M CHF de media en Stock Analysis (S&amp;P Global), con 30-31 analistas [69, 71]. El BPA difiere por definición: 1,23 CHF NIIF en MarketScreener frente a 1,43 CHF ajustado en Stock Analysis [69, 71]. Los precios objetivo han bajado todo el año. Truist pasó de 65 USD (nov-2025) a 55 (mar-2026), 48 (may) y 40 USD (ago). UBS pasó de 85 a 83 y a 73 USD tras el 2T26 [70]. En sentido contrario, Goldman subió a comprar en enero, Berenberg inició con comprar y 38 USD en septiembre y J.P. Morgan subió de 41 a 44 USD el 1-oct [70, 71]. Las fuentes gratuitas no dan la serie de estimaciones de BPA a 3 y 12 meses.</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Desde la OPV, sep-2021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bl>
    <w:p>
      <w:pPr>
        <w:spacing w:after="160" w:before="0"/>
      </w:pPr>
    </w:p>
    <w:p>
      <w:pPr>
        <w:spacing w:after="100"/>
      </w:pPr>
      <w:r>
        <w:t xml:space="preserve">La acción ha ido muy por detrás del mercado: −31,4 % en el año frente al +13,6 % del S&amp;P 500 y −24,3 % a un año, y está un 8,9 % por debajo del primer cierre tras la OPV de 2021 (35 USD) [68]. Tres hechos lo explican. La desaceleración en CHF, porque el dólar débil se come 8-12 puntos del crecimiento reportado (+13,5 % en el 2T26 frente a +21,6 % a divisa constante) [6]. La rebaja de la guía de ventas de agosto por el recorte de entregas a mayoristas [6]. Y el castigo a todo el sector (el índice de consumo discrecional, −7,0 % en el año), con Nike (−52 % en 52 semanas) y Lululemon (−47 %) [68, 72]. El mínimo de 52 semanas (26,36 USD) se marcó el 17-sep, días antes del Investor Day, que hizo subir la acción [68, 70]. La volatilidad (49,8 %) y la beta (2,08 desde la OPV) son las de un valor de crecimiento muy sensible al ciclo; la posición corta es del 6,9 % de las acciones [71]. Rentabilidades de precio: On no paga dividendos; los índices, sin dividendos.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precio de cierre de cada año y las cuentas de ese año, el EV/EBITDA de los últimos 12 meses fue de 36,9x en 2022, 28,7x en 2023, 49,7x en 2024 y 23,4x en 2025, y el PER se movió entre 60,4x y 90,4x [68]. Se omiten 2020 y 2021, con EBITDA negativo. Hoy On cotiza a 14,2x EBITDA y 22,4x beneficio: por debajo de cualquier cierre anual desde 2022 (percentil 0), un 59 % y un 71 % por debajo de la media de su corta historia. El cambio es estructural: en 2022-2024 el mercado pagaba un crecimiento del 30-70 % con tipos bajos; hoy el crecimiento en CHF es del 14 %, el bono de EE. UU. a 10 años está en el 5,31 % y el sector entero ha bajado de múltiplo [72, 74]. No hay múltiplos NTM históricos gratuitos.</w:t>
      </w:r>
    </w:p>
    <w:p>
      <w:pPr>
        <w:pStyle w:val="Heading1"/>
      </w:pPr>
      <w:r>
        <w:t xml:space="preserve">18. Comparables cotizados</w:t>
      </w:r>
    </w:p>
    <w:p>
      <w:pPr>
        <w:pStyle w:val="Confianza"/>
        <w:spacing w:after="100"/>
      </w:pPr>
      <w:r>
        <w:t xml:space="preserve">Confianza: Media</w:t>
      </w:r>
    </w:p>
    <w:p>
      <w:pPr>
        <w:spacing w:after="100"/>
      </w:pPr>
      <w:r>
        <w:t xml:space="preserve">Siete marcas deportivas cotizadas con cifras estimadas por el mismo proveedor: Deckers (HOKA, el rival más parecido en running premium), Nike y adidas (las líderes, contra las que On gana cuota), Asics (running de rendimiento, el que más crece de las grandes), Amer Sports (outdoor premium de alto crecimiento), Lululemon (marca premium que vende en directo) y Birkenstock (marca premium de calzado con margen alto). Fuera quedan Puma, porque perdió dinero en 2025 y su EV/EBITDA (25,6x) distorsiona la mediana; Skechers, privatizada en 2025; y Crocs y Steve Madden, de calzado no deportivo [72, 73].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Deckers (HOKA, UGG)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Lululemon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 (Salomon, Arc'teryx)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Birkenstock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 / 8,0x / 10,4x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9,4x / 13,3x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 / 12,9x / 19,7x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 / 1,8x / 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9,6 + -0,05 × crecimiento; R² = 0,02. El crecimiento explica poco los múltiplos de estos comparables (R² &lt; 0,3): la regresión no se usa en la valoración.</w:t>
      </w:r>
    </w:p>
    <w:p>
      <w:pPr>
        <w:spacing w:after="100"/>
      </w:pPr>
      <w:r>
        <w:t xml:space="preserve">On cotiza con una prima clara: 11,2x EV/EBITDA de los próximos 12 meses y 18,5x PER, frente a medianas de 8,0x y 12,9x. Con los múltiplos de la mediana, la acción valdría unos 19 CHF por acción (18,98 CHF de media entre EV/EBITDA y PER), un 28 % menos que el precio. La prima se justifica en parte: On crece un 19,2 % anual en los próximos 12 meses frente al 7,7 % de la mediana, tiene caja neta y un ROIC del 38,4 % frente al 18,9 %. Pero la regresión múltiplo-crecimiento no explica nada (R² de 0,02), porque el sector cotiza hoy por la recuperación de los márgenes y no por el crecimiento: Asics y Amer, que crecen al 17-18 %, cotizan a 9-12x EBITDA, mientras Nike cotiza a 15,6x con ventas a la baja. El múltiplo que usaría para On es el de Asics (11,8x NTM), el único par con crecimiento y rentabilidad parecidos: con él la acción valdría unos 27,9 CHF, cerca del precio actual (estimación propia: 11,8 × 741 M CHF de EBITDA NTM más 643 M CHF de caja neta, entre 336,1 M de acciones).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Proyecto diez años porque On sigue lejos de su madurez. 2026 queda fijo en el +16,6 % del consenso (3.514 M CHF, dentro de la guía de 3.470-3.560 M CHF), porque ya hay dos trimestres publicados y la guía es reciente [6, 69]. Después, el 17 % en 2027, el 16 % en 2028 y el 15 % en 2029, ligeramente por debajo del «high-teens» a divisa constante del plan, porque proyecto en CHF y el franco se ha revalorizado de forma persistente frente al dólar; las ventas de 2029 (5.485 M CHF) quedan un 2 % por debajo del objetivo de 5.600 M CHF [21]. Desde 2030 el crecimiento baja dos puntos al año hasta el 3,5 % de 2035, cerca del terminal. Frente al consenso, mis ventas son un 1,6 % menores en 2027 y un 3,7 % menores en 2028 [69].</w:t>
      </w:r>
    </w:p>
    <w:p>
      <w:pPr>
        <w:keepNext/>
        <w:spacing w:after="100"/>
      </w:pPr>
      <w:r>
        <w:rPr>
          <w:b/>
          <w:bCs/>
        </w:rPr>
        <w:t xml:space="preserve">Márgenes.</w:t>
      </w:r>
    </w:p>
    <w:p>
      <w:pPr>
        <w:spacing w:after="100"/>
      </w:pPr>
      <w:r>
        <w:t xml:space="preserve">Margen EBITDA NIIF, con la remuneración en acciones como gasto (≈ 2 % de las ventas). 2026: 19,0 %, el punto medio de la guía ajustada (19,75 %) menos el 2 % de pagos en acciones más 1,5 puntos de la devolución de aranceles del 3T26 (hasta 53 M CHF) [6, 21]. Sube al 19,5 % en 2028 y al 20,0 % desde 2029. El 20,0 % NIIF equivale a ~22 % ajustado, el objetivo de la empresa para 2029 [21]. Es exigente pero tiene precedentes: Deckers tiene un margen operativo del 23,1 % y Asics del 17,6 % [39, 44], y el margen bruto de On (64,8 % en el 1S26) es el más alto del sector. El EBITDA del modelo queda un 5 % por encima del consenso en 2026, por los aranceles, y en línea (+1 % y −2 %) en 2027-2028.</w:t>
      </w:r>
    </w:p>
    <w:p>
      <w:pPr>
        <w:keepNext/>
        <w:spacing w:after="100"/>
      </w:pPr>
      <w:r>
        <w:rPr>
          <w:b/>
          <w:bCs/>
        </w:rPr>
        <w:t xml:space="preserve">Inversión y circulante.</w:t>
      </w:r>
    </w:p>
    <w:p>
      <w:pPr>
        <w:spacing w:after="100"/>
      </w:pPr>
      <w:r>
        <w:t xml:space="preserve">El capex incluye las altas de arrendamientos, porque los pasivos por arrendamiento están en la deuda del puente y su amortización en el EBITDA: si no, el DCF contaría el EBITDA de las tiendas sin pagar sus alquileres. Capex propio del 2,6 % de las ventas en 2025 más altas de arrendamientos de ~2,4 %: 5,0 % al principio, que baja al 4,5 % en 2034-2035, por encima de las amortizaciones (4,3 %, como en 2025, 127,4 M CHF sobre 3.014 M CHF) [1]. El circulante pasa del 19,0 % de las ventas (18,9 % en 2025 y 19,7 % en el LTM) al 18,0 %, sin volver al 37,6 % de 2022 [1, 7]. Impuestos del 17-19 %, frente al 13,9 % del 1S26 y al 19,6 % teórico que publica la empresa; no proyecto el 0,7 % de 2025 [1, 7].</w:t>
      </w:r>
    </w:p>
    <w:p>
      <w:pPr>
        <w:keepNext/>
        <w:spacing w:after="100"/>
      </w:pPr>
      <w:r>
        <w:rPr>
          <w:b/>
          <w:bCs/>
        </w:rPr>
        <w:t xml:space="preserve">Coste del capital.</w:t>
      </w:r>
    </w:p>
    <w:p>
      <w:pPr>
        <w:spacing w:after="100"/>
      </w:pPr>
      <w:r>
        <w:t xml:space="preserve">Todo en CHF. Tasa libre: bono de la Confederación a 10 años, 0,51 % el 6-oct-2026 [75]. Beta: 2,08 en datos mensuales desde la OPV frente al S&amp;P 500, ajustada a 1,72 con la fórmula de Blume [68, 71]. Prima de mercado del 5,5 % más 0,5 puntos por el riesgo de marca, la fabricación en Vietnam y el control de los fundadores. Coste de los fondos propios: 10,47 %; deuda: solo arrendamientos (6 %), al 3,5 %. WACC: 10,01 %. Con la prima implícita del mercado (4,20 % [76]), el coste de los fondos propios sería del 8,23 % y el WACC del 7,91 %: es la referencia de la regla relativa, no la tasa del caso base.</w:t>
      </w:r>
    </w:p>
    <w:p>
      <w:pPr>
        <w:keepNext/>
        <w:spacing w:after="100"/>
      </w:pPr>
      <w:r>
        <w:rPr>
          <w:b/>
          <w:bCs/>
        </w:rPr>
        <w:t xml:space="preserve">Valor terminal.</w:t>
      </w:r>
    </w:p>
    <w:p>
      <w:pPr>
        <w:spacing w:after="100"/>
      </w:pPr>
      <w:r>
        <w:t xml:space="preserve">Gordon con un crecimiento a perpetuidad del 2,0 % en CHF: On vende en todo el mundo y el mercado de calzado deportivo crece un 5 % anual [41]. La regla del prompt (entre la inflación esperada y la tasa libre menos medio punto) no tiene solución en francos: con el bono al 0,51 % [75], el techo sería un 0,0 %. Mantenemos el 2,0 % con su sensibilidad: con un 1,0 %, el DCF baja a 28,12 CHF y el objetivo con la prima del mercado a 33,43 CHF (+26,2 %), sin cambiar la recomendación. El Gordon implica 7,6x el EBITDA de 2035, bajo la mediana de los comparables (8,0x NTM).</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37,74</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(base: 10,7 %)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18,2 % (base: 20,0 %)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 (WACC: 10,0 %)</w:t>
            </w:r>
          </w:p>
        </w:tc>
      </w:tr>
    </w:tbl>
    <w:p>
      <w:pPr>
        <w:spacing w:after="160" w:before="0"/>
      </w:pPr>
    </w:p>
    <w:p>
      <w:pPr>
        <w:spacing w:after="100"/>
      </w:pPr>
      <w:r>
        <w:t xml:space="preserve">El DCF da 30,07 CHF por acción (36,21 USD), un 13,6 % por encima del precio de 26,48 CHF. El rango con el WACC y el crecimiento terminal ± 0,5 puntos va de 27,34 a 33,56 CHF, y el valor terminal pesa el 58 %. Con la prima implícita del mercado (4,20 % [76]), el WACC baja al 7,91 % y el DCF sube a 41,36 CHF (37,99-45,37 CHF): la beta de 1,72 convierte 1,3 puntos menos de prima en 2,2 puntos menos de coste de capital. El DCF inverso es lo importante. Al precio actual el mercado descuenta un crecimiento medio de las ventas del 8,1 % anual en 2027-2035, frente al 10,7 % de nuestro caso base, o, con nuestro crecimiento, un margen EBITDA final del 18,2 % en lugar del 20,0 %. La rentabilidad implícita es del 11,1 % anual en CHF, algo por encima de nuestro WACC (10,01 %) y muy por encima del 7,9 % que hoy pide el mercado a una acción de esta beta. No es exigente para una empresa que crece un 24 % a divisa constante en el 1S26: el mercado ya no paga el plan de 2029.</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pierde el sitio de «la zapatilla que hay que tener», como le pasó a Under Armour y le está pasando a Lululemon: los mayoristas de EE. UU. siguen recortando pedidos, Nike recupera el running y el crecimiento cae a un dígito desde 2027. Para defender volumen, On hace rebajas y el margen EBITDA se queda tres puntos por debajo del plan (17 % NIIF).</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cumple casi entero el plan de 2029 en divisa constante, pero el franco fuerte deja las ventas en CHF un 2 % por debajo del objetivo; la venta directa y Asia compensan a los mayoristas y el margen EBITDA NIIF llega al 20 % (≈ 22 % ajustado).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Ropa, Asia y las nuevas categorías (fútbol, golf) suman crecimiento como hizo HOKA en 2021-2024; el dólar deja de restar y On supera el objetivo de 5.600 M CHF en 2029, con un margen EBITDA NIIF del 22 % gracias a la venta directa y a LightSpray.</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CHF) · precio actual 2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29,51 CHF (+11,4 %).</w:t>
      </w:r>
    </w:p>
    <w:p>
      <w:pPr>
        <w:spacing w:after="100"/>
      </w:pPr>
      <w:r>
        <w:t xml:space="preserve">La asimetría es favorable pero no amplia: el alcista vale 39,72 CHF (+50,0 %) y el bajista 18,18 CHF (−31,3 %), una relación de 1,60 veces; el valor ponderado es de 29,51 CHF (+11,4 %). El bajista no es cosmético: es lo que han vivido Lululemon (margen operativo del 23,7 % al 19,9 % en un año) y Nike (ventas planas dos años) [39], y su pérdida (−31 %) se parece a la caída de la acción en lo que va de año. Compensa en el plazo de tres a cinco años; a doce meses, el precio depende de que los resultados del 3T y la guía de 2027 confirmen que el recorte de mayoristas es temporal.</w:t>
      </w:r>
    </w:p>
    <w:p>
      <w:pPr>
        <w:pStyle w:val="Heading1"/>
      </w:pPr>
      <w:r>
        <w:t xml:space="preserve">22. Suma de partes</w:t>
      </w:r>
    </w:p>
    <w:p>
      <w:pPr>
        <w:pStyle w:val="Confianza"/>
        <w:spacing w:after="100"/>
      </w:pPr>
      <w:r>
        <w:t xml:space="preserve">Confianza: Alta</w:t>
      </w:r>
    </w:p>
    <w:p>
      <w:pPr>
        <w:spacing w:after="100"/>
      </w:pPr>
      <w:r>
        <w:t xml:space="preserve">No aplica: On es una sola marca con un solo segmento NIIF 8; calzado, ropa y canales comparten producto, marca y costes, y no hay comparables puros por línea.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CHF) · precio actual 2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27,68 CHF (+4,5 % sobre 26,48).</w:t>
      </w:r>
    </w:p>
    <w:p>
      <w:pPr>
        <w:spacing w:after="100"/>
      </w:pPr>
      <w:r>
        <w:t xml:space="preserve">El DCF pesa el 50 % porque On es un crecedor con un plan explícito a 2029 y diez años de proyección captan mejor su valor que un múltiplo de un año. Los escenarios, el 30 %, para incorporar la asimetría; los comparables, solo el 20 %: ningún par combina el crecimiento, el margen bruto y la caja neta de On, y la regresión no explica los múltiplos (R² de 0,02). Sin transacciones verificadas ni suma de partes. La dispersión es grande: comparables 18,98 CHF (−28,3 %) y DCF 30,07 CHF (+13,6 %). El valor objetivo es de 27,68 CHF (33,33 USD), un 4,5 % sobre el precio; con la prima implícita del mercado (4,20 % [76]), 36,62 CHF (44,09 USD), un 38,3 %. El puente usa el balance a 30-jun-2026 (caja 1.205,6 M CHF, arrendamientos 562,5 M CHF, pensiones 8,1 M CHF) [7]; no incluye los aranceles a devolver (hasta 53 M CHF, 0,16 CHF por acción) [21].</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nov-2026 (fecha por confirmar)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rebajada (~17 % a divisa constante) y cobro de la devolución de aranceles (hasta 53 M CHF) en el margen bruto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 a dic-2029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 de la recompra de hasta 1.000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el 9 % de la capitalización; apoyo al precio y compensación de la dilución de los planes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de 2027 encaja con el «high-teens» del plan, se cierra la duda sobre los mayoristas; si queda por debajo, el plan de 2029 pierde credibilidad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Lanzamientos de running (SURREAL en el Cloudsurfer 3, Cloudboom Strike 2) y extensión de LightSpray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innovación como motor de precio completo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 a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comercial de EE. UU. tras la anulación de los aranceles IEEPA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sobre Vietnam (90 % del calzado) restarían margen bruto; su ausencia lo sumaría [1,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sobre la remuneración de los fundadores co-CEO y posible cambio de la moneda de presentación al USD [21, 50].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atractivo de la marca (ciclo de moda)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propia (CloudTec, LightSpray), atletas y precio completo; margen bruto del 64,8 %.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directa a divisa constante por debajo del 20 % o rebajas en las tiendas propias.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del canal mayorista en EE. UU. y concentración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(−2 pp de crecimiento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directa ya en el 45,7 % del 2T26; recorte voluntario de entregas para limpiar el canal.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Mayoristas por debajo del 10 % a divisa constante en el 3T y 4T26; peso del mayor cliente por encima del 12 %.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USD débil frente al CHF</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por cada 10 % de caída del USD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Moneda funcional USD desde 2026 (menos diferencias de cambio); precios locales.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USD/CHF por debajo de 0,78.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concentración de la fabricación en Vietnam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suministro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(−1 pp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completo; margen bruto ya por encima del 65 % con el 20 % recíproco absorbido; Indonesia como segunda fuente.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sobre Vietnam tras la anulación de los IEEPA.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control de voto de los fundadores, cúpula nueva y ventas de exdirectivos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Prima de riesgo de 0,5 pp en el WACC (≈ −6 %)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desde sep-2026; las A eligen un consejero.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del nuevo CFO o del COO; remuneración por encima del máximo aprobado otra vez.</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la expansión (ropa, fútbol, golf, tiendas propias)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(−1 pp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 ropa del 47,7 % en el 2T26; tiendas propias rentables según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generales sin ganar apalancamiento en 2027; ropa por debajo del 10 % de las ventas en 2028.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Nike y de otras insurgentes (HOKA, Asics) en running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(−2 pp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Diferenciación de producto y presencia en Asia.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HOKA o Asics creciendo más que On en EE. UU.; Nike recuperando cuota en running.</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de las métricas ajustadas e impuestos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sin salvedades; control interno efectivo desde 2023.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impositivo normalizado por encima del 20 %; remuneración en acciones por encima del 3 % de las ventas.</w:t>
            </w:r>
          </w:p>
        </w:tc>
      </w:tr>
    </w:tbl>
    <w:p>
      <w:pPr>
        <w:spacing w:after="160" w:before="0"/>
      </w:pPr>
    </w:p>
    <w:p>
      <w:pPr>
        <w:pStyle w:val="Heading2"/>
      </w:pPr>
      <w:r>
        <w:t xml:space="preserve">Pre-mortem</w:t>
      </w:r>
    </w:p>
    <w:p>
      <w:pPr>
        <w:spacing w:after="100"/>
      </w:pPr>
      <w:r>
        <w:t xml:space="preserve">Octubre de 2029: la acción vale un 40 % menos. Empezó con los mayoristas. El recorte de entregas de 2026, que se vendió como disciplina, escondía una demanda más floja en EE. UU.: el 3T26 creció un 14 % a divisa constante, menos del 17 % previsto, y la guía de 2027 llegó en el «mid-teens». Nike relanzó su running con espumas nuevas y rebajas, y HOKA y Asics llenaron el espacio de las tiendas especializadas. Para no perder volumen, On amplió las rebajas en sus propias tiendas y el margen bruto volvió al 60 %. Mientras, el dólar siguió cayendo frente al franco y el crecimiento en CHF bajó a un dígito. La cúpula nueva tampoco ayudó: el CFO externo salió en 2028 y la remuneración de los fundadores volvió a superar el máximo aprobado. Con el crecimiento en un dígito, el mercado empezó a valorar On como a Lululemon, a 6-8x EBITDA. Las señales estaban a la vista: el crecimiento de la venta directa por debajo del 20 % a divisa constante, el peso del mayor cliente por encima del 12 % y la ropa sin pasar del 10 % de las ventas.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las cifras son tres. El primero es la cadena de suministro: el 90 % del calzado se fabrica en Vietnam y seis proveedores hacen el 70 % de la producción, así que el control de condiciones laborales y el riesgo de retenciones por trabajo forzoso (CBP) afectan a ventas y reputación [1]. El segundo, las emisiones: On tiene objetivos de reducción validados por la SBTi, y casi todas sus emisiones son de alcance 3 (materiales y fabricación de terceros); incumplirlos tendría coste de reputación [1]. El tercero, los materiales: On usa poliéster y poliamida reciclados y de origen biológico, y la volatilidad del petróleo pesa en el coste [1]. No he encontrado cuantificación del coste de cumplimiento en las cuentas.</w:t>
      </w:r>
    </w:p>
    <w:p>
      <w:pPr>
        <w:pStyle w:val="Heading2"/>
      </w:pPr>
      <w:r>
        <w:t xml:space="preserve">Controversias</w:t>
      </w:r>
    </w:p>
    <w:p>
      <w:pPr>
        <w:spacing w:after="100"/>
      </w:pPr>
      <w:r>
        <w:t xml:space="preserve">No hay demandas colectivas de valores contra On Holding AG ni sanciones relevantes en los últimos tres años, según el 20-F 2025 (sin litigios materiales) y la revisión de CourtListener [1, 46]. Hay un pleito aduanero de On Inc. contra EE. UU. por los aranceles IEEPA (CIT, 2026) y una demanda colectiva de consumo en Oregón (Norberg v. On Inc., may-2026), cuyo objeto no he verificado [46].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inventario de On hay en el canal mayorista de EE. UU. (semanas de cobertura) y cuánto del recorte de entregas del 2T26 corresponde al mayor cliente?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cliente pesa el 11,6 % de las ventas y la rebaja de la guía viene de ahí: separa un ajuste puntual de una pérdida de demanda.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2029</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de cambio USD/CHF supone el objetivo de 5.600 M CHF y cuánto aportan fútbol y golf?</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 caso base queda un 2 % por debajo por la divisa; el valor es muy sensible a ese supuesto.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y qué margen EBITDA tienen las tiendas propias frente a la web y a los mayoristas?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paso a la venta directa es la palanca del margen del plan; sin el margen por canal no se puede comprobar.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excluir de las métricas, y del variable, un gasto recurrente del 2 % de las ventas? ¿Cuál será la dilución neta con la recompra?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diferencia entre el EBITDA ajustado y el NIIF y si la recompra crea valor o solo compensa planes.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de presentación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y por qué se cambiará la moneda de presentación al USD, y cómo afectará a las coberturas y a los covenants?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comparación histórica y la lectura del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de sucesión hay para los co-CEO fundadores y qué papel tendrá la consejera independiente coordinadora en la remuneración?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cambios de primer ejecutivo en 24 meses y control de voto de los fundadores.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 los 55,6 M CHF de aranceles IEEPA está cobrada y qué arancel nuevo sobre Vietnam incorpora la guía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Mueve 1,5 puntos de margen bruto en 2026 y el margen de 2027.</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17 controles correctos. Fuentes: 76 (62 primarias); citas distintas en el texto: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-15,2 %: explica la causa (créditos fiscales, regularizaciones, mezcla de países) y no lo proyectes en 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0,7 %: explica la causa (créditos fiscales, regularizaciones, mezcla de países) y no lo proyectes en 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19,0 % frente a 18,9 % real: genera una variación de circulante de 97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fuentes (62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10, 25, 66, 67.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(8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MD&amp;A de los 6-K trimestrales: no citan consenso; 2) búsqueda web de prensa económica con la cifra de consenso previa a cada resultado: la herramienta de búsqueda devolvió error de límite de sesión; 3) no hay otro proveedor de consenso abierto accesible desde esta máquina sin servicios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puntos de venta mayoristas (doors)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2021-2025, búsqueda de 'doors', 'points of sale', 'wholesale partners' con cifra: solo frases cualitativas; 2) notas de prensa del Investor Day 2023 y 2026: sin cifra; 3) notas de prensa trimestrales 2021-2026: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Definición de flujo de caja libre de la empresa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sección Non-IFRS Measures: no define FCF; 2) nota de prensa del Investor Day 2026: cita 'Free Cash Flow' como medida no NIIF sin definirla ni cuantificarla; 3) la presentación del Investor Day 2026 no está en EDGAR (el 6-K solo lleva el anexo 99.1) y la búsqueda web no estuvo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divisa de presentación anunciado en el Investor Day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del Investor Day 2026: solo lo menciona entre las declaraciones prospectivas ('anticipated change and impact of our reporting currency'), sin fecha ni divisa; 2) 20-F 2025, nota 6.6: cambia la moneda FUNCIONAL a USD desde el 1-ene-2026 y dice que la de presentación sigue siendo CHF; 3) estados intermedios de jun-26, nota 1.2: repite que la presentación sigue en CHF</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coste_deuda_pct, vida_media_anios,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4.3/5.4 del 20-F 2025: sin deuda financiera desde 2021; 2) estados de jun-26, nota 4.3: línea de 700 M sin disponer; 3) no hay bonos ni préstamos de los que derivarlo; solo hay comisiones de disponibilidad (7,6 M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e informe anual: no publican calificaciones de terceros; 2) páginas públicas de MSCI y Sustainalytics: requieren registro o cargan por JavaScript; 3) el subagente que lo buscaba se cortó por límite de uso sin dejar notas, y no hubo tiempo de repetirlo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 (cuota de los cinco primeros)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Grand View Research: mide el mercado de calzado, pero no da cuotas en la parte abierta; 2) McKinsey/WFSGI: no publica cuotas en el resumen público; 3) derivarlo con las ventas de Nike, adidas, Puma, Asics y Skechers sobre la serie de calzado mezclaría ropa y equipamiento con calzado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los competidores: no publican cuota; 2) fuentes sectoriales abiertas: sin cuotas por marca; 3) derivarla sobre la serie de calzado mezclaría perímetros (Nike, adidas y Lululemon venden mucha ropa)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Balance y Brooks (privadas)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New Balance: no publica cuentas; la cifra de prensa (CNBC, feb-2026) da ventas, no margen; 2) Brooks: el 10-K de Berkshire 2025 no la desglosa del segmento de bienes de consumo; 3) Skechers: privatizada en sep-2025, su último 10-K es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equipo.participacion_pct de Frank Sluis y Scott Maguire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Item 7.A: no figuran, porque entraron en la dirección en 2026; 2) EDGAR: no hay 13G/13D ni Form 144 a su nombre; 3) informe de remuneración 2025 y web de relación con inversores: no publican su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Roger Federer, Capital Group y Baillie Gifford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Item 7.A: no superan el 5 %; 2) los 13G y 13G/A de EDGAR desde 2024: ninguno de ellos presenta; 3) registros 13F y prensa: WebSearch sin servicio en la sesión y 13F no consultado (los agregadores son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ejecución de las ventas avisadas por los tres fundadores el 6-mar-2026 y por Hoffmann el 1-oct-2026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primary_doc.xml de cada Form 144: solo anuncian la venta prevista; 2) apartado de ventas de los tres meses anteriores en los 144 posteriores: los fundadores no han presentado ninguno después, y los de Hoffmann llegan solo hasta el 10-ago-2026; 3) 13G/A de los fundadores a 30-jun-2026: da tenencias, no operaciones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 si Hoffmann perdió los CHF 5 M en RSU de 2025 al irse en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e informe de remuneración 2025: anteriores a la salida; 2) 6-K del 25-mar-2026 y Enmienda n.º 1 al pacto: no lo tratan; 3) 6-K del 1T y 2T 2026: sin datos individuales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consejo.desde de David Allemann (fecha de entrada en el consejo)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Item 6: solo dice copresidente ejecutivo desde abril de 2021; 2) 20-F 2021: igual, y antes «Global Branding and Marketing Director» desde 2010; 3) web de relación con inversores: no da la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 (operaciones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Fuente primaria: 8-K de cierre de la compra de Skechers por 3G Capital (12-sep-2025): da el precio por acción y la financiación, no el valor empresa ni los múltiplos; 2) otra vía: proveedores gratuitos (MarketScreener, Stock Analysis) no publican múltiplos de transacciones y el subagente que buscaba las notas de prensa de Amer Sports/Anta, Reebok/ABG y Birkenstock/L Catterton se cortó por límite de uso sin dejar notas; 3) derivarlo: habría que reconstruir el valor empresa de cada operación con balances de la fecha, sin tiempo de verificarlo en dos fuentes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 (fecha de los resultados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relación con inversores de On (eventos): no publica aún la fecha; 2) Stock Analysis y MarketScreener: sin fecha confirmada; 3) referencia histórica: el 3T25 se publicó el 12-nov-2025, así que se espera a mediados de noviembre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valoración: solo los múltiplos sobre el ejercicio estimado actual; 2) Stock Analysis: el «forward PE» histórico por año de la página de previsiones usa BPA ajustado y está detrás de la suscripción para 2027-2028; 3) reconstruirlo exigiría el consenso histórico a cada cierre, que no es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revisiones: barras de puntuación relativa sin cifras; 2) Stock Analysis: historial de estimaciones solo con suscripción; 3) titulares de cambios de precio objetivo (MarketScreener y Stock Analysis): usados como aproximación cualitativa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Transcripciones de las conferencias con analistas (4T25, 1T26,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los 6-K solo incluyen notas de prensa y MD&amp;A, no transcripciones; 2) web de relación con inversores: webcast en vídeo, sin texto; 3) agregadores de transcripciones (Seeking Alpha, Motley Fool): de pago o con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2025 (informe anual con estados financieros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https://www.sec.gov/Archives/edgar/data/1858985/000185898526000008/onholdingag-20251231.htm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https://www.sec.gov/Archives/edgar/data/1858985/000185898525000003/onholdingag-20241231.htm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https://www.sec.gov/Archives/edgar/data/1858985/000185898524000012/onholdingag-20231231.htm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https://www.sec.gov/Archives/edgar/data/1858985/000185898523000011/onholdingag-20221231.htm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https://www.sec.gov/Archives/edgar/data/1858985/000185898522000006/onholdingag-20211231.htm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Second Quarter and Six-Month Period Ended June 30, 2026 (6-K, ex.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https://www.sec.gov/Archives/edgar/data/1858985/000185898526000018/a26q2-ex993xpressrelease.htm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Unaudited interim condensed consolidated financial statements, June 30,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https://www.sec.gov/Archives/edgar/data/1858985/000185898526000018/onholdingag-20260630_d2.htm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Q2 2026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https://www.sec.gov/Archives/edgar/data/1858985/000185898526000018/a26q2-exhibit992xmda.htm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First Quarter Ended March 31, 2026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https://www.sec.gov/Archives/edgar/data/1858985/000185898526000014/a26q1-ex991xpressrelease.htm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Q1 2026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https://www.sec.gov/Archives/edgar/data/1858985/000185898526000014/a26q1-exhibit992xmda.htm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Fourth Quarter and Full Year Results 2025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https://www.sec.gov/Archives/edgar/data/1858985/000185898526000010/ex991pressreleasedatedmarc.htm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Third Quarter 2025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https://www.sec.gov/Archives/edgar/data/1858985/000185898525000015/a25q3-ex991xpressrelease.htm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Q3 2025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https://www.sec.gov/Archives/edgar/data/1858985/000185898525000015/a25q3-exhibit992xmda.htm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Second Quarter 2025 (6-K, ex.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https://www.sec.gov/Archives/edgar/data/1858985/000185898525000012/a25q2-ex993xpressrelease.htm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First Quarter 2025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https://www.sec.gov/Archives/edgar/data/1858985/000185898525000008/a25q1-ex991xpressrelease.htm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Fourth Quarter and Full Year Results 2024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https://www.sec.gov/Archives/edgar/data/1858985/000185898525000005/ex991pressreleasedatedmarc.htm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Third Quarter 2024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https://www.sec.gov/Archives/edgar/data/1858985/000185898524000029/a24q3-ex991xpressrelease.htm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Second Quarter 2024 (6-K, ex.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https://www.sec.gov/Archives/edgar/data/1858985/000185898524000024/a24q2-ex993xpressrelease.htm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First Quarter 2024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https://www.sec.gov/Archives/edgar/data/1858985/000185898524000020/a24q1-ex991xpressrelease.htm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Fourth Quarter and Full Year Results 2023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https://www.sec.gov/Archives/edgar/data/1858985/000185898524000014/ex991pressreleasedatedmarc.htm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Enters Next Chapter: Investor Day 2026 and 2029 Financial Targets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https://www.sec.gov/Archives/edgar/data/1858985/000185898526000021/exhibit991oninvestorday202.htm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Investor Day 2023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https://www.sec.gov/Archives/edgar/data/1858985/000185898523000045/oninvestorday2023-pressrel.htm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Enters into Credit Facility Agreement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https://www.sec.gov/Archives/edgar/data/1858985/000185898523000038/form6-kxcreditfalicityagre.htm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CHF 700,000,000 Multicurrency Revolving Facility Agreement (anexo 4.19 del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https://www.sec.gov/Archives/edgar/data/1858985/000185898524000012/exhibit419_chf700000000m.htm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Appointment of New Chief Financial Officer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https://www.sec.gov/Archives/edgar/data/1858985/000185898526000003/exhibit991_pressrelease.htm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Co-Founders to Lead Next Chapter of Growth as Co-CEOs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https://www.sec.gov/Archives/edgar/data/1858985/000095010326004606/dp244091_ex9901.htm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Invitation to the Annual General Meeting 2026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https://www.sec.gov/Archives/edgar/data/1858985/000095010326005884/dp245359_ex9901.htm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2021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https://www.sec.gov/Archives/edgar/data/1858985/000185898521000004/a991pressreleasedatednovem.htm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2021 and Q4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https://www.sec.gov/Archives/edgar/data/1858985/000185898522000008/a991pressreleasedatedmarch.htm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https://www.sec.gov/Archives/edgar/data/1858985/000185898522000016/a22q1-pressrelease.htm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https://www.sec.gov/Archives/edgar/data/1858985/000185898522000020/a22q2-pressrelease.htm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https://www.sec.gov/Archives/edgar/data/1858985/000185898522000025/a22q3-pressrelease.htm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https://www.sec.gov/Archives/edgar/data/1858985/000185898523000015/a991pressreleasedatedmarch.htm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2023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https://www.sec.gov/Archives/edgar/data/1858985/000185898523000034/a23q1-ex991xpressrelease.htm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2023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https://www.sec.gov/Archives/edgar/data/1858985/000185898523000042/a23q2-ex993xpressrelease.htm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2023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https://www.sec.gov/Archives/edgar/data/1858985/000185898523000052/a23q3-ex991xpressrelease.htm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Description of securities (anexo 2.1 del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https://www.sec.gov/Archives/edgar/data/1858985/000185898526000008/exhibit21_descriptionofsec.htm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Annual Report 2025: income statement and sporting goods industry development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https://www.adidas-group.com/en/investors/financial-reports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Form 10-K, fiscal 2026 (ejercicio cerrado el 31-may-2026)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https://www.sec.gov/cgi-bin/browse-edgar?action=getcompany&amp;CIK=0000320187&amp;type=10-K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MD&amp;A del primer trimestre de 2025 (6-K, Exhibit 99.2): política de precios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https://www.sec.gov/Archives/edgar/data/1858985/000185898525000008/a25q1-exhibit992xmda.htm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Athletic Footwear Market Size, Share &amp; Trends Analysis Report, 2024-2030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https://www.grandviewresearch.com/industry-analysis/athletic-footwear-market-report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Sporting goods industry growth to slow, new report finds (McKinsey/WFSGI, Sporting Goods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SGI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https://sginews.com/Content/sporting-goods-industry-growth-to-slow-new-report-finds.aspx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PUMA Annual Report 2025: economic conditions and year-on-year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PUMA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https://annual-report.puma.com/2025/en/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Corporation: Consolidated financial results FY2025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https://corp.asics.com/en/investor_relations/library/financial_results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CHF) a los cierres de 2024 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https://data.ecb.europa.eu/data/datasets/EXR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CourtListener (RECAP): expedientes con «On Holding AG» y «On Inc.»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 Law Project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https://www.courtlistener.com/?q=%22On+Holding+AG%22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Compensation Report 2025 (6-K,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https://www.sec.gov/Archives/edgar/data/1858985/000185898526000010/ex992_compensationreport.htm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Amendment No. 1 to the Shareholders' Agreement (6-K,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https://www.sec.gov/Archives/edgar/data/1858985/000095010326004606/dp244091_ex9902.htm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Results y estatutos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https://www.sec.gov/Archives/edgar/data/1858985/000095010326007952/dp246675_6k.htm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de accionistas 2026 (AGM Minutes)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https://s21.q4cdn.com/241001792/files/doc_events/2026/May/28/AGM-Minutes-2026-vf-Website-Version.pdf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de accionistas 2025 (AGM Minutes)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https://s21.q4cdn.com/241001792/files/doc_events/2025/05/250522-On-Holding-AG-AGM-Minutes.pdf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de accionistas 2024 (AGM Minutes)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https://s21.q4cdn.com/241001792/files/doc_events/230423-On-Holding-AG-AGM-Minutes-1.pdf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salida del co-CEO Marc Maurer y nombramientos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https://www.sec.gov/Archives/edgar/data/1858985/000095010325004152/dp226991_ex9901.htm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Relations: Governance (dirección y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https://investors.on-running.com/governance/default.aspx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David Allemann, Olivier Bernhard y Caspar Coppetti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https://www.sec.gov/Archives/edgar/data/1858985/000095010326012255/xslSCHEDULE_13G_X02/primary_doc.xml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Martin Hoffmann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https://www.sec.gov/Archives/edgar/data/1858985/000095010326012253/xslSCHEDULE_13G_X02/primary_doc.xml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Baron Capital Group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https://www.sec.gov/Archives/edgar/data/1858985/000101791826000061/xslSCHEDULE_13G_X02/primary_doc.xml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FMR LLC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https://www.sec.gov/Archives/edgar/data/1858985/000031506626002100/xslSCHEDULE_13G_X02/primary_doc.xml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FMR LLC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https://www.sec.gov/Archives/edgar/data/1858985/000031506626001250/xslSCHEDULE_13G_X02/primary_doc.xml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Morgan Stanley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https://www.sec.gov/Archives/edgar/data/1858985/000089542126000054/xslSCHEDULE_13G_X01/primary_doc.xml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AllianceBernstein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https://www.sec.gov/Archives/edgar/data/1858985/000110944825000142/xslSCHEDULE_13G_X01/primary_doc.xml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Carlos Alberto Sicupira / CHL Investment Fund (a 30-sep-2024)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https://www.sec.gov/Archives/edgar/data/1858985/000155249024000002/xslSCHEDULE_13G_X01/primary_doc.xml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Martin Hoffmann (aviso de 175.000 acciones; ventas de jul-ago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https://www.sec.gov/Archives/edgar/data/1858985/000195824426000633/xsl144X01/primary_doc.xml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Martin Hoffmann (ventas de abr-jun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https://www.sec.gov/Archives/edgar/data/1858985/000195824426000434/xsl144X01/primary_doc.xml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Marc Maurer (ventas de mar-may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https://www.sec.gov/Archives/edgar/data/1858985/000195824426000356/xsl144X01/primary_doc.xml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David Allemann (venta por consolidación de PSU)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https://www.sec.gov/Archives/edgar/data/1858985/000195917326002036/xsl144X01/primary_doc.xml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(USD/EUR y CHF/EUR, diarios)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https://data-api.ecb.europa.eu/service/data/EXR/D.USD+CHF.EUR.SP00.A?startPeriod=2025-09-01&amp;endPeriod=2026-10-06&amp;format=csvdata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(ONON): cotizaciones diarias desde la OPV, índices S&amp;P 500 (^GSPC) y Consumer Discretionary Select Sector SPDR (XLY); cálculo de rentabilidades, beta, volatilidad y caída máxima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https://finance.yahoo.com/quote/ONON/history/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datos financieros y estimaciones 2026-2028, consenso y valoración sectorial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https://www.marketscreener.com/quote/stock/ON-HOLDING-AG-126877786/finances/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consenso, precios objetivo y titulares de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https://www.marketscreener.com/quote/stock/ON-HOLDING-AG-126877786/consensus/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(ONON): previsiones, precios objetivo (S&amp;P Global) y estadísticas (acciones, flotante, posición corta, beta)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https://stockanalysis.com/stocks/onon/forecast/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estadísticas (capitalización, valor empresa, ROIC, FCF yield) de Deckers, Nike, adidas, Asics, Lululemon, Amer Sports y Birkenstock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https://stockanalysis.com/stocks/deck/statistics/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ventas, EBITDA, BPA y deuda neta reales y estimados (páginas /finances/ de cada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https://www.marketscreener.com/quote/stock/DECKERS-OUTDOOR-CORPORATI-16402770/finances/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5,31 % el 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Switzerland 10-Year Government Bond Yield (0,51 %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86,9 %</w:t>
      </w:r>
      <w:r>
        <w:t xml:space="preserve"> · Secciones con menos del 60 % de campos cubiertos: </w:t>
      </w:r>
      <w:r>
        <w:rPr>
          <w:b/>
          <w:bCs/>
        </w:rPr>
        <w:t xml:space="preserve">transacciones</w:t>
      </w:r>
      <w:r>
        <w:t xml:space="preserve"> · Generado el 7 oct 2026.</w:t>
      </w:r>
    </w:p>
    <w:p>
      <w:pPr>
        <w:pStyle w:val="Nota"/>
        <w:spacing w:after="100"/>
      </w:pPr>
      <w:r>
        <w:t xml:space="preserve">Línea cotizada: acciones de Clase A de On Holding AG en la NYSE (USD). Las de Clase B (nominal 0,01 CHF, de los fundadores) no cotizan; las acciones se cuentan en equivalente económico de Clase A (A + B/10): 336,1 M diluidas a 30-jun-2026 (301,7 M de A, 325,0 M de B = 32,5 M de A y 1,9 M de planes con efecto dilutivo). Divisa: las cuentas están en CHF y el análisis también. El precio (31,88 USD, cierre del 5-oct-2026; a la hora del corte el 6-oct cotizaba en torno a 33,0 USD), la capitalización, el rango de 52 semanas, el volumen, los precios objetivo y los comparables cotizados en USD, EUR o JPY se convierten con los tipos de referencia del BCE del 6-oct-2026 (USD/CHF 0,8305 = 0,9359 CHF/EUR ÷ 1,1269 USD/EUR; JPY/CHF 0,00525). Los precios de cierre de cada año usan el USD/CHF del BCE al cierre (0,9121 en 2021, 0,9232 en 2022, 0,8380 en 2023, 0,9060 en 2024 y 0,7927 en 2025). Desde el 1-ene-2026 la moneda funcional de la matriz y de On AG es el USD (la de presentación sigue siendo el CHF), y la empresa ha anunciado un posible cambio de la moneda de presentación. El EBITDA es el NIIF (con la remuneración en acciones como gasto); la empresa solo guía EBITDA ajustado, que la excluye (≈ 2 % de las ventas). El EBITDA de consenso se ha pasado a base NIIF restando esa remuneración estimada (estimación propia). Los comparables toman ventas, EBITDA y BPA de un solo proveedor (MarketScreener) y la capitalización y el valor empresa de otro (Stock Analysis). Sin servicios de pago: no hay consenso histórico, múltiplos NTM históricos ni transcripciones de las conferencias. Dos de los cuatro subagentes de investigación se cortaron por un límite de uso y su parte se rehízo con menos tiempo: transacciones y calificaciones ESG quedan sin cubrir.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On Holding AG (ONON)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26,48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(21,89 – 42,42)</c:v>
                </c:pt>
                <c:pt idx="1">
                  <c:v>Precio objetivo de los analistas (16,58 – 59,37)</c:v>
                </c:pt>
                <c:pt idx="2">
                  <c:v>Comparables: EV/EBITDA NTM (17,87 – 24,93)</c:v>
                </c:pt>
                <c:pt idx="3">
                  <c:v>Comparables: PER NTM (16,29 – 28,15)</c:v>
                </c:pt>
                <c:pt idx="4">
                  <c:v>DCF (WACC y g ± 0,5) (27,34 – 33,56)</c:v>
                </c:pt>
                <c:pt idx="5">
                  <c:v>Escenarios (bajista – alcista) (18,18 – 39,72)</c:v>
                </c:pt>
                <c:pt idx="6">
                  <c:v>DCF con la prima implícita del mercado (4,2 %)</c:v>
                </c:pt>
                <c:pt idx="7">
                  <c:v>Precio actual (26,48)</c:v>
                </c:pt>
              </c:strCache>
            </c:strRef>
          </c:cat>
          <c:val>
            <c:numRef>
              <c:f>Hoja1!$B$2:$B$9</c:f>
              <c:numCache>
                <c:formatCode>#,##0.0</c:formatCode>
                <c:ptCount val="8"/>
                <c:pt idx="0">
                  <c:v>21.89</c:v>
                </c:pt>
                <c:pt idx="1">
                  <c:v>16.58</c:v>
                </c:pt>
                <c:pt idx="2">
                  <c:v>17.87</c:v>
                </c:pt>
                <c:pt idx="3">
                  <c:v>16.29</c:v>
                </c:pt>
                <c:pt idx="4">
                  <c:v>27.34</c:v>
                </c:pt>
                <c:pt idx="5">
                  <c:v>18.18</c:v>
                </c:pt>
                <c:pt idx="6">
                  <c:v>37.99</c:v>
                </c:pt>
                <c:pt idx="7">
                  <c:v>26.35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(21,89 – 42,42)</c:v>
                </c:pt>
                <c:pt idx="1">
                  <c:v>Precio objetivo de los analistas (16,58 – 59,37)</c:v>
                </c:pt>
                <c:pt idx="2">
                  <c:v>Comparables: EV/EBITDA NTM (17,87 – 24,93)</c:v>
                </c:pt>
                <c:pt idx="3">
                  <c:v>Comparables: PER NTM (16,29 – 28,15)</c:v>
                </c:pt>
                <c:pt idx="4">
                  <c:v>DCF (WACC y g ± 0,5) (27,34 – 33,56)</c:v>
                </c:pt>
                <c:pt idx="5">
                  <c:v>Escenarios (bajista – alcista) (18,18 – 39,72)</c:v>
                </c:pt>
                <c:pt idx="6">
                  <c:v>DCF con la prima implícita del mercado (4,2 %)</c:v>
                </c:pt>
                <c:pt idx="7">
                  <c:v>Precio actual (26,48)</c:v>
                </c:pt>
              </c:strCache>
            </c:strRef>
          </c:cat>
          <c:val>
            <c:numRef>
              <c:f>Hoja1!$C$2:$C$9</c:f>
              <c:numCache>
                <c:formatCode>#,##0.0</c:formatCode>
                <c:ptCount val="8"/>
                <c:pt idx="0">
                  <c:v>20.53</c:v>
                </c:pt>
                <c:pt idx="1">
                  <c:v>42.79</c:v>
                </c:pt>
                <c:pt idx="2">
                  <c:v>7.059999999999999</c:v>
                </c:pt>
                <c:pt idx="3">
                  <c:v>11.86</c:v>
                </c:pt>
                <c:pt idx="4">
                  <c:v>6.220000000000002</c:v>
                </c:pt>
                <c:pt idx="5">
                  <c:v>21.54</c:v>
                </c:pt>
                <c:pt idx="6">
                  <c:v>7.3799999999999955</c:v>
                </c:pt>
                <c:pt idx="7">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Mayorista (Wholesale)</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264.8</c:v>
                </c:pt>
                <c:pt idx="1">
                  <c:v>448.8</c:v>
                </c:pt>
                <c:pt idx="2">
                  <c:v>777</c:v>
                </c:pt>
                <c:pt idx="3">
                  <c:v>1120.3</c:v>
                </c:pt>
                <c:pt idx="4">
                  <c:v>1375.5</c:v>
                </c:pt>
                <c:pt idx="5">
                  <c:v>1753.4</c:v>
                </c:pt>
              </c:numCache>
            </c:numRef>
          </c:val>
        </c:ser>
        <c:ser>
          <c:idx val="1"/>
          <c:order val="1"/>
          <c:tx>
            <c:strRef>
              <c:f>Hoja1!$C$1</c:f>
              <c:strCache>
                <c:ptCount val="1"/>
                <c:pt idx="0">
                  <c:v>Venta directa (DTC)</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160.5</c:v>
                </c:pt>
                <c:pt idx="1">
                  <c:v>275.8</c:v>
                </c:pt>
                <c:pt idx="2">
                  <c:v>445.1</c:v>
                </c:pt>
                <c:pt idx="3">
                  <c:v>671.8</c:v>
                </c:pt>
                <c:pt idx="4">
                  <c:v>942.8</c:v>
                </c:pt>
                <c:pt idx="5">
                  <c:v>1260.5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Mayorista (Wholesale)</c:v>
                </c:pt>
                <c:pt idx="1">
                  <c:v>Venta directa (DTC)</c:v>
                </c:pt>
              </c:strCache>
            </c:strRef>
          </c:cat>
          <c:val>
            <c:numRef>
              <c:f>Hoja1!$B$2:$B$3</c:f>
              <c:numCache>
                <c:formatCode>General</c:formatCode>
                <c:ptCount val="2"/>
                <c:pt idx="0">
                  <c:v>58.2</c:v>
                </c:pt>
                <c:pt idx="1">
                  <c:v>41.8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Resto de América</c:v>
                </c:pt>
                <c:pt idx="2">
                  <c:v>EMEA</c:v>
                </c:pt>
                <c:pt idx="3">
                  <c:v>Asia-Pacífico</c:v>
                </c:pt>
              </c:strCache>
            </c:strRef>
          </c:cat>
          <c:val>
            <c:numRef>
              <c:f>Hoja1!$B$2:$B$5</c:f>
              <c:numCache>
                <c:formatCode>0"%"</c:formatCode>
                <c:ptCount val="4"/>
                <c:pt idx="0">
                  <c:v>51.4</c:v>
                </c:pt>
                <c:pt idx="1">
                  <c:v>6.3</c:v>
                </c:pt>
                <c:pt idx="2">
                  <c:v>25.3</c:v>
                </c:pt>
                <c:pt idx="3">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(calzado deportivo mundial, Grand View Research))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2030e</c:v>
                </c:pt>
              </c:strCache>
            </c:strRef>
          </c:cat>
          <c:val>
            <c:numRef>
              <c:f>Hoja1!$B$2:$B$6</c:f>
              <c:numCache>
                <c:formatCode>#,##0</c:formatCode>
                <c:ptCount val="5"/>
                <c:pt idx="0">
                  <c:v>127.3</c:v>
                </c:pt>
                <c:pt idx="1">
                  <c:v>133.1</c:v>
                </c:pt>
                <c:pt idx="2">
                  <c:v>146.7</c:v>
                </c:pt>
                <c:pt idx="3">
                  <c:v>153.9</c:v>
                </c:pt>
                <c:pt idx="4">
                  <c:v>205.8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On</c:v>
                </c:pt>
                <c:pt idx="1">
                  <c:v>Nike</c:v>
                </c:pt>
                <c:pt idx="2">
                  <c:v>adidas</c:v>
                </c:pt>
                <c:pt idx="3">
                  <c:v>Lululemon</c:v>
                </c:pt>
                <c:pt idx="4">
                  <c:v>Puma</c:v>
                </c:pt>
                <c:pt idx="5">
                  <c:v>Amer Sports (Salomon, Arc'teryx)</c:v>
                </c:pt>
                <c:pt idx="6">
                  <c:v>Deckers (HOKA, UGG)</c:v>
                </c:pt>
                <c:pt idx="7">
                  <c:v>Asics</c:v>
                </c:pt>
              </c:strCache>
            </c:strRef>
          </c:cat>
          <c:val>
            <c:numRef>
              <c:f>Hoja1!$B$2:$B$9</c:f>
              <c:numCache>
                <c:formatCode>0.0"%"</c:formatCode>
                <c:ptCount val="8"/>
                <c:pt idx="0">
                  <c:v>12.5</c:v>
                </c:pt>
                <c:pt idx="1">
                  <c:v>8.2</c:v>
                </c:pt>
                <c:pt idx="2">
                  <c:v>8.3</c:v>
                </c:pt>
                <c:pt idx="3">
                  <c:v>19.9</c:v>
                </c:pt>
                <c:pt idx="4">
                  <c:v>-4.9</c:v>
                </c:pt>
                <c:pt idx="5">
                  <c:v>10.7</c:v>
                </c:pt>
                <c:pt idx="6">
                  <c:v>23.1</c:v>
                </c:pt>
                <c:pt idx="7">
                  <c:v>17.6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4</c:v>
                </c:pt>
                <c:pt idx="3">
                  <c:v>1</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425.3</c:v>
                </c:pt>
                <c:pt idx="1">
                  <c:v>724.6</c:v>
                </c:pt>
                <c:pt idx="2">
                  <c:v>1222.1</c:v>
                </c:pt>
                <c:pt idx="3">
                  <c:v>1792.1</c:v>
                </c:pt>
                <c:pt idx="4">
                  <c:v>2318.3</c:v>
                </c:pt>
                <c:pt idx="5">
                  <c:v>3014</c:v>
                </c:pt>
                <c:pt idx="6">
                  <c:v>3514</c:v>
                </c:pt>
                <c:pt idx="7">
                  <c:v>4112</c:v>
                </c:pt>
                <c:pt idx="8">
                  <c:v>4770</c:v>
                </c:pt>
                <c:pt idx="9">
                  <c:v>5485</c:v>
                </c:pt>
                <c:pt idx="10">
                  <c:v>6198</c:v>
                </c:pt>
                <c:pt idx="11">
                  <c:v>6880</c:v>
                </c:pt>
                <c:pt idx="12">
                  <c:v>7499</c:v>
                </c:pt>
                <c:pt idx="13">
                  <c:v>8024</c:v>
                </c:pt>
                <c:pt idx="14">
                  <c:v>8425</c:v>
                </c:pt>
                <c:pt idx="15">
                  <c:v>8720</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-5</c:v>
                </c:pt>
                <c:pt idx="1">
                  <c:v>-109.7</c:v>
                </c:pt>
                <c:pt idx="2">
                  <c:v>131.5</c:v>
                </c:pt>
                <c:pt idx="3">
                  <c:v>245.1</c:v>
                </c:pt>
                <c:pt idx="4">
                  <c:v>316.2</c:v>
                </c:pt>
                <c:pt idx="5">
                  <c:v>504.4</c:v>
                </c:pt>
                <c:pt idx="6">
                  <c:v>668</c:v>
                </c:pt>
                <c:pt idx="7">
                  <c:v>781</c:v>
                </c:pt>
                <c:pt idx="8">
                  <c:v>930</c:v>
                </c:pt>
                <c:pt idx="9">
                  <c:v>1097</c:v>
                </c:pt>
                <c:pt idx="10">
                  <c:v>1240</c:v>
                </c:pt>
                <c:pt idx="11">
                  <c:v>1376</c:v>
                </c:pt>
                <c:pt idx="12">
                  <c:v>1500</c:v>
                </c:pt>
                <c:pt idx="13">
                  <c:v>1605</c:v>
                </c:pt>
                <c:pt idx="14">
                  <c:v>1685</c:v>
                </c:pt>
                <c:pt idx="15">
                  <c:v>1744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54.3</c:v>
                </c:pt>
                <c:pt idx="1">
                  <c:v>59.4</c:v>
                </c:pt>
                <c:pt idx="2">
                  <c:v>56</c:v>
                </c:pt>
                <c:pt idx="3">
                  <c:v>59.6</c:v>
                </c:pt>
                <c:pt idx="4">
                  <c:v>60.6</c:v>
                </c:pt>
                <c:pt idx="5">
                  <c:v>62.8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c:v>
                </c:pt>
                <c:pt idx="1">
                  <c:v>-15.1</c:v>
                </c:pt>
                <c:pt idx="2">
                  <c:v>10.8</c:v>
                </c:pt>
                <c:pt idx="3">
                  <c:v>13.7</c:v>
                </c:pt>
                <c:pt idx="4">
                  <c:v>13.6</c:v>
                </c:pt>
                <c:pt idx="5">
                  <c:v>16.7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c:v>
                </c:pt>
                <c:pt idx="1">
                  <c:v>-19.5</c:v>
                </c:pt>
                <c:pt idx="2">
                  <c:v>7</c:v>
                </c:pt>
                <c:pt idx="3">
                  <c:v>10.1</c:v>
                </c:pt>
                <c:pt idx="4">
                  <c:v>9.1</c:v>
                </c:pt>
                <c:pt idx="5">
                  <c:v>12.5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-6.5</c:v>
                </c:pt>
                <c:pt idx="1">
                  <c:v>-23.5</c:v>
                </c:pt>
                <c:pt idx="2">
                  <c:v>4.7</c:v>
                </c:pt>
                <c:pt idx="3">
                  <c:v>4.4</c:v>
                </c:pt>
                <c:pt idx="4">
                  <c:v>10.5</c:v>
                </c:pt>
                <c:pt idx="5">
                  <c:v>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32.3</c:v>
                </c:pt>
                <c:pt idx="1">
                  <c:v>35.7</c:v>
                </c:pt>
                <c:pt idx="2">
                  <c:v>43</c:v>
                </c:pt>
                <c:pt idx="3">
                  <c:v>32</c:v>
                </c:pt>
                <c:pt idx="4">
                  <c:v>24.9</c:v>
                </c:pt>
                <c:pt idx="5">
                  <c:v>22.6</c:v>
                </c:pt>
                <c:pt idx="6">
                  <c:v>14.5</c:v>
                </c:pt>
                <c:pt idx="7">
                  <c:v>13.5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33.2</c:v>
                </c:pt>
                <c:pt idx="1">
                  <c:v>40.6</c:v>
                </c:pt>
                <c:pt idx="2">
                  <c:v>40</c:v>
                </c:pt>
                <c:pt idx="3">
                  <c:v>38.2</c:v>
                </c:pt>
                <c:pt idx="4">
                  <c:v>34.5</c:v>
                </c:pt>
                <c:pt idx="5">
                  <c:v>30.6</c:v>
                </c:pt>
                <c:pt idx="6">
                  <c:v>26.4</c:v>
                </c:pt>
                <c:pt idx="7">
                  <c:v>21.6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44</c:v>
                </c:pt>
                <c:pt idx="1">
                  <c:v>50</c:v>
                </c:pt>
                <c:pt idx="2">
                  <c:v>52</c:v>
                </c:pt>
                <c:pt idx="3">
                  <c:v>42</c:v>
                </c:pt>
                <c:pt idx="4">
                  <c:v>39</c:v>
                </c:pt>
                <c:pt idx="5">
                  <c:v>37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193</c:v>
                </c:pt>
                <c:pt idx="1">
                  <c:v>166</c:v>
                </c:pt>
                <c:pt idx="2">
                  <c:v>269</c:v>
                </c:pt>
                <c:pt idx="3">
                  <c:v>180</c:v>
                </c:pt>
                <c:pt idx="4">
                  <c:v>168</c:v>
                </c:pt>
                <c:pt idx="5">
                  <c:v>137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78</c:v>
                </c:pt>
                <c:pt idx="1">
                  <c:v>57</c:v>
                </c:pt>
                <c:pt idx="2">
                  <c:v>75</c:v>
                </c:pt>
                <c:pt idx="3">
                  <c:v>33</c:v>
                </c:pt>
                <c:pt idx="4">
                  <c:v>67</c:v>
                </c:pt>
                <c:pt idx="5">
                  <c:v>50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-37.3</c:v>
                </c:pt>
                <c:pt idx="1">
                  <c:v>-35.400000000000006</c:v>
                </c:pt>
                <c:pt idx="2">
                  <c:v>-330.09999999999997</c:v>
                </c:pt>
                <c:pt idx="3">
                  <c:v>152.89999999999998</c:v>
                </c:pt>
                <c:pt idx="4">
                  <c:v>379</c:v>
                </c:pt>
                <c:pt idx="5">
                  <c:v>189.49999999999997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-27.5</c:v>
                </c:pt>
                <c:pt idx="1">
                  <c:v>-170.2</c:v>
                </c:pt>
                <c:pt idx="2">
                  <c:v>57.7</c:v>
                </c:pt>
                <c:pt idx="3">
                  <c:v>79.6</c:v>
                </c:pt>
                <c:pt idx="4">
                  <c:v>242.3</c:v>
                </c:pt>
                <c:pt idx="5">
                  <c:v>203.7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-7.2</c:v>
                </c:pt>
                <c:pt idx="1">
                  <c:v>-38.2</c:v>
                </c:pt>
                <c:pt idx="2">
                  <c:v>11.1</c:v>
                </c:pt>
                <c:pt idx="3">
                  <c:v>23</c:v>
                </c:pt>
                <c:pt idx="4">
                  <c:v>22.6</c:v>
                </c:pt>
                <c:pt idx="5">
                  <c:v>38.4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c:v>
                </c:pt>
                <c:pt idx="1">
                  <c:v>10</c:v>
                </c:pt>
                <c:pt idx="2">
                  <c:v>10</c:v>
                </c:pt>
                <c:pt idx="3">
                  <c:v>10</c:v>
                </c:pt>
                <c:pt idx="4">
                  <c:v>10</c:v>
                </c:pt>
                <c:pt idx="5">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-11.2</c:v>
                </c:pt>
                <c:pt idx="1">
                  <c:v>-31.1</c:v>
                </c:pt>
                <c:pt idx="2">
                  <c:v>6.3</c:v>
                </c:pt>
                <c:pt idx="3">
                  <c:v>7.8</c:v>
                </c:pt>
                <c:pt idx="4">
                  <c:v>19.6</c:v>
                </c:pt>
                <c:pt idx="5">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13.38</c:v>
                </c:pt>
                <c:pt idx="1">
                  <c:v>4.3</c:v>
                </c:pt>
                <c:pt idx="2">
                  <c:v>-1.6</c:v>
                </c:pt>
                <c:pt idx="3">
                  <c:v>-1.08</c:v>
                </c:pt>
                <c:pt idx="4">
                  <c:v>-1.82</c:v>
                </c:pt>
                <c:pt idx="5">
                  <c:v>-0.99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0.2</c:v>
                </c:pt>
                <c:pt idx="2">
                  <c:v>0</c:v>
                </c:pt>
                <c:pt idx="3">
                  <c:v>0</c:v>
                </c:pt>
                <c:pt idx="4">
                  <c:v>0</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3</c:v>
                </c:pt>
                <c:pt idx="1">
                  <c:v>1</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Hoja1!$A$2:$A$14</c:f>
              <c:strCache>
                <c:ptCount val="13"/>
                <c:pt idx="0">
                  <c:v>Olivier Bernhard (cofundador)</c:v>
                </c:pt>
                <c:pt idx="1">
                  <c:v>Caspar Coppetti (cofundador)</c:v>
                </c:pt>
                <c:pt idx="2">
                  <c:v>David Allemann (cofundador)</c:v>
                </c:pt>
                <c:pt idx="3">
                  <c:v>Los tres fundadores en conjunto (pacto)</c:v>
                </c:pt>
                <c:pt idx="4">
                  <c:v>Carlos Alberto Sicupira (CHL Investment Fund)</c:v>
                </c:pt>
                <c:pt idx="5">
                  <c:v>Morgan Stanley (MSIM)</c:v>
                </c:pt>
                <c:pt idx="6">
                  <c:v>Marc Lemann (MAAI Ltd.)</c:v>
                </c:pt>
                <c:pt idx="7">
                  <c:v>Baron Capital</c:v>
                </c:pt>
                <c:pt idx="8">
                  <c:v>FMR (Fidelity)</c:v>
                </c:pt>
                <c:pt idx="9">
                  <c:v>Alex Pérez (consejero)</c:v>
                </c:pt>
                <c:pt idx="10">
                  <c:v>Martin Hoffmann (ex CEO y CFO)</c:v>
                </c:pt>
                <c:pt idx="11">
                  <c:v>AllianceBernstein</c:v>
                </c:pt>
                <c:pt idx="12">
                  <c:v>Autocartera</c:v>
                </c:pt>
              </c:strCache>
            </c:strRef>
          </c:cat>
          <c:val>
            <c:numRef>
              <c:f>Hoja1!$B$2:$B$14</c:f>
              <c:numCache>
                <c:formatCode>0.0"%"</c:formatCode>
                <c:ptCount val="13"/>
                <c:pt idx="0">
                  <c:v>5</c:v>
                </c:pt>
                <c:pt idx="1">
                  <c:v>3.9</c:v>
                </c:pt>
                <c:pt idx="2">
                  <c:v>3.9</c:v>
                </c:pt>
                <c:pt idx="3">
                  <c:v>12.9</c:v>
                </c:pt>
                <c:pt idx="4">
                  <c:v>6</c:v>
                </c:pt>
                <c:pt idx="5">
                  <c:v>5.8</c:v>
                </c:pt>
                <c:pt idx="6">
                  <c:v>5.4</c:v>
                </c:pt>
                <c:pt idx="7">
                  <c:v>5.1</c:v>
                </c:pt>
                <c:pt idx="8">
                  <c:v>4.8</c:v>
                </c:pt>
                <c:pt idx="9">
                  <c:v>3</c:v>
                </c:pt>
                <c:pt idx="10">
                  <c:v>1</c:v>
                </c:pt>
                <c:pt idx="11">
                  <c:v>3.3</c:v>
                </c:pt>
                <c:pt idx="12">
                  <c:v>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 (desde 15-sep)</c:v>
                </c:pt>
                <c:pt idx="1">
                  <c:v>2022</c:v>
                </c:pt>
                <c:pt idx="2">
                  <c:v>2023</c:v>
                </c:pt>
                <c:pt idx="3">
                  <c:v>2024</c:v>
                </c:pt>
                <c:pt idx="4">
                  <c:v>2025</c:v>
                </c:pt>
              </c:strCache>
            </c:strRef>
          </c:cat>
          <c:val>
            <c:numRef>
              <c:f>Hoja1!$B$2:$B$6</c:f>
              <c:numCache>
                <c:formatCode>0"%"</c:formatCode>
                <c:ptCount val="5"/>
                <c:pt idx="0">
                  <c:v>8</c:v>
                </c:pt>
                <c:pt idx="1">
                  <c:v>-54.6</c:v>
                </c:pt>
                <c:pt idx="2">
                  <c:v>57.2</c:v>
                </c:pt>
                <c:pt idx="3">
                  <c:v>103.1</c:v>
                </c:pt>
                <c:pt idx="4">
                  <c:v>-15.1</c:v>
                </c:pt>
              </c:numCache>
            </c:numRef>
          </c:val>
        </c:ser>
        <c:ser>
          <c:idx val="1"/>
          <c:order val="1"/>
          <c:tx>
            <c:strRef>
              <c:f>Hoja1!$C$1</c:f>
              <c:strCache>
                <c:ptCount val="1"/>
                <c:pt idx="0">
                  <c:v>Índice</c:v>
                </c:pt>
              </c:strCache>
            </c:strRef>
          </c:tx>
          <c:spPr>
            <a:solidFill>
              <a:srgbClr val="EB6834"/>
            </a:solidFill>
            <a:ln w="9525">
              <a:noFill/>
            </a:ln>
          </c:spPr>
          <c:invertIfNegative val="0"/>
          <c:cat>
            <c:strRef>
              <c:f>Hoja1!$A$2:$A$6</c:f>
              <c:strCache>
                <c:ptCount val="5"/>
                <c:pt idx="0">
                  <c:v>2021 (desde 15-sep)</c:v>
                </c:pt>
                <c:pt idx="1">
                  <c:v>2022</c:v>
                </c:pt>
                <c:pt idx="2">
                  <c:v>2023</c:v>
                </c:pt>
                <c:pt idx="3">
                  <c:v>2024</c:v>
                </c:pt>
                <c:pt idx="4">
                  <c:v>2025</c:v>
                </c:pt>
              </c:strCache>
            </c:strRef>
          </c:cat>
          <c:val>
            <c:numRef>
              <c:f>Hoja1!$C$2:$C$6</c:f>
              <c:numCache>
                <c:formatCode>0"%"</c:formatCode>
                <c:ptCount val="5"/>
                <c:pt idx="0">
                  <c:v>6.4</c:v>
                </c:pt>
                <c:pt idx="1">
                  <c:v>-19.4</c:v>
                </c:pt>
                <c:pt idx="2">
                  <c:v>24.2</c:v>
                </c:pt>
                <c:pt idx="3">
                  <c:v>23.3</c:v>
                </c:pt>
                <c:pt idx="4">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0.0"x"</c:formatCode>
                <c:ptCount val="4"/>
                <c:pt idx="0">
                  <c:v>36.9</c:v>
                </c:pt>
                <c:pt idx="1">
                  <c:v>28.7</c:v>
                </c:pt>
                <c:pt idx="2">
                  <c:v>49.7</c:v>
                </c:pt>
                <c:pt idx="3">
                  <c:v>23.4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0.0"x"</c:formatCode>
                <c:ptCount val="4"/>
                <c:pt idx="0">
                  <c:v>32.8</c:v>
                </c:pt>
                <c:pt idx="1">
                  <c:v>32.8</c:v>
                </c:pt>
                <c:pt idx="2">
                  <c:v>32.8</c:v>
                </c:pt>
                <c:pt idx="3">
                  <c:v>32.8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On</c:v>
                </c:pt>
                <c:pt idx="1">
                  <c:v>Deckers (HOKA, UGG)</c:v>
                </c:pt>
                <c:pt idx="2">
                  <c:v>Nike</c:v>
                </c:pt>
                <c:pt idx="3">
                  <c:v>adidas</c:v>
                </c:pt>
                <c:pt idx="4">
                  <c:v>Asics</c:v>
                </c:pt>
                <c:pt idx="5">
                  <c:v>Lululemon</c:v>
                </c:pt>
                <c:pt idx="6">
                  <c:v>Amer Sports (Salomon, Arc'teryx)</c:v>
                </c:pt>
                <c:pt idx="7">
                  <c:v>Birkenstock</c:v>
                </c:pt>
              </c:strCache>
            </c:strRef>
          </c:cat>
          <c:val>
            <c:numRef>
              <c:f>Hoja1!$B$2:$B$9</c:f>
              <c:numCache>
                <c:formatCode>0.0"x"</c:formatCode>
                <c:ptCount val="8"/>
                <c:pt idx="0">
                  <c:v>11.2</c:v>
                </c:pt>
                <c:pt idx="1">
                  <c:v>7.1</c:v>
                </c:pt>
                <c:pt idx="2">
                  <c:v>15.6</c:v>
                </c:pt>
                <c:pt idx="3">
                  <c:v>7.4</c:v>
                </c:pt>
                <c:pt idx="4">
                  <c:v>11.8</c:v>
                </c:pt>
                <c:pt idx="5">
                  <c:v>5.8</c:v>
                </c:pt>
                <c:pt idx="6">
                  <c:v>9.1</c:v>
                </c:pt>
                <c:pt idx="7">
                  <c:v>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19.2</c:v>
                </c:pt>
              </c:numCache>
            </c:numRef>
          </c:xVal>
          <c:yVal>
            <c:numRef>
              <c:f>Hoja1!$C$2</c:f>
              <c:numCache>
                <c:formatCode>0.0"x"</c:formatCode>
                <c:ptCount val="1"/>
                <c:pt idx="0">
                  <c:v>11.2</c:v>
                </c:pt>
              </c:numCache>
            </c:numRef>
          </c:yVal>
          <c:smooth val="0"/>
        </c:ser>
        <c:ser>
          <c:idx val="1"/>
          <c:order val="1"/>
          <c:tx>
            <c:strRef>
              <c:f>Hoja1!$A$3</c:f>
              <c:strCache>
                <c:ptCount val="1"/>
                <c:pt idx="0">
                  <c:v>Deckers (HOKA, UGG)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7.4</c:v>
                </c:pt>
              </c:numCache>
            </c:numRef>
          </c:xVal>
          <c:yVal>
            <c:numRef>
              <c:f>Hoja1!$C$3</c:f>
              <c:numCache>
                <c:formatCode>0.0"x"</c:formatCode>
                <c:ptCount val="1"/>
                <c:pt idx="0">
                  <c:v>7.1</c:v>
                </c:pt>
              </c:numCache>
            </c:numRef>
          </c:yVal>
          <c:smooth val="0"/>
        </c:ser>
        <c:ser>
          <c:idx val="2"/>
          <c:order val="2"/>
          <c:tx>
            <c:strRef>
              <c:f>Hoja1!$A$4</c:f>
              <c:strCache>
                <c:ptCount val="1"/>
                <c:pt idx="0">
                  <c:v>Nike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-4.3</c:v>
                </c:pt>
              </c:numCache>
            </c:numRef>
          </c:xVal>
          <c:yVal>
            <c:numRef>
              <c:f>Hoja1!$C$4</c:f>
              <c:numCache>
                <c:formatCode>0.0"x"</c:formatCode>
                <c:ptCount val="1"/>
                <c:pt idx="0">
                  <c:v>15.6</c:v>
                </c:pt>
              </c:numCache>
            </c:numRef>
          </c:yVal>
          <c:smooth val="0"/>
        </c:ser>
        <c:ser>
          <c:idx val="3"/>
          <c:order val="3"/>
          <c:tx>
            <c:strRef>
              <c:f>Hoja1!$A$5</c:f>
              <c:strCache>
                <c:ptCount val="1"/>
                <c:pt idx="0">
                  <c:v>adidas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7.7</c:v>
                </c:pt>
              </c:numCache>
            </c:numRef>
          </c:xVal>
          <c:yVal>
            <c:numRef>
              <c:f>Hoja1!$C$5</c:f>
              <c:numCache>
                <c:formatCode>0.0"x"</c:formatCode>
                <c:ptCount val="1"/>
                <c:pt idx="0">
                  <c:v>7.4</c:v>
                </c:pt>
              </c:numCache>
            </c:numRef>
          </c:yVal>
          <c:smooth val="0"/>
        </c:ser>
        <c:ser>
          <c:idx val="4"/>
          <c:order val="4"/>
          <c:tx>
            <c:strRef>
              <c:f>Hoja1!$A$6</c:f>
              <c:strCache>
                <c:ptCount val="1"/>
                <c:pt idx="0">
                  <c:v>Asics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16.8</c:v>
                </c:pt>
              </c:numCache>
            </c:numRef>
          </c:xVal>
          <c:yVal>
            <c:numRef>
              <c:f>Hoja1!$C$6</c:f>
              <c:numCache>
                <c:formatCode>0.0"x"</c:formatCode>
                <c:ptCount val="1"/>
                <c:pt idx="0">
                  <c:v>11.8</c:v>
                </c:pt>
              </c:numCache>
            </c:numRef>
          </c:yVal>
          <c:smooth val="0"/>
        </c:ser>
        <c:ser>
          <c:idx val="5"/>
          <c:order val="5"/>
          <c:tx>
            <c:strRef>
              <c:f>Hoja1!$A$7</c:f>
              <c:strCache>
                <c:ptCount val="1"/>
                <c:pt idx="0">
                  <c:v>Lululemon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-3.2</c:v>
                </c:pt>
              </c:numCache>
            </c:numRef>
          </c:xVal>
          <c:yVal>
            <c:numRef>
              <c:f>Hoja1!$C$7</c:f>
              <c:numCache>
                <c:formatCode>0.0"x"</c:formatCode>
                <c:ptCount val="1"/>
                <c:pt idx="0">
                  <c:v>5.8</c:v>
                </c:pt>
              </c:numCache>
            </c:numRef>
          </c:yVal>
          <c:smooth val="0"/>
        </c:ser>
        <c:ser>
          <c:idx val="6"/>
          <c:order val="6"/>
          <c:tx>
            <c:strRef>
              <c:f>Hoja1!$A$8</c:f>
              <c:strCache>
                <c:ptCount val="1"/>
                <c:pt idx="0">
                  <c:v>Amer Sports (Salomon, Arc'teryx)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18.4</c:v>
                </c:pt>
              </c:numCache>
            </c:numRef>
          </c:xVal>
          <c:yVal>
            <c:numRef>
              <c:f>Hoja1!$C$8</c:f>
              <c:numCache>
                <c:formatCode>0.0"x"</c:formatCode>
                <c:ptCount val="1"/>
                <c:pt idx="0">
                  <c:v>9.1</c:v>
                </c:pt>
              </c:numCache>
            </c:numRef>
          </c:yVal>
          <c:smooth val="0"/>
        </c:ser>
        <c:ser>
          <c:idx val="7"/>
          <c:order val="7"/>
          <c:tx>
            <c:strRef>
              <c:f>Hoja1!$A$9</c:f>
              <c:strCache>
                <c:ptCount val="1"/>
                <c:pt idx="0">
                  <c:v>Birkenstock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13.1</c:v>
                </c:pt>
              </c:numCache>
            </c:numRef>
          </c:xVal>
          <c:yVal>
            <c:numRef>
              <c:f>Hoja1!$C$9</c:f>
              <c:numCache>
                <c:formatCode>0.0"x"</c:formatCode>
                <c:ptCount val="1"/>
                <c:pt idx="0">
                  <c:v>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3"/>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307</c:v>
                </c:pt>
                <c:pt idx="1">
                  <c:v>353</c:v>
                </c:pt>
                <c:pt idx="2">
                  <c:v>446</c:v>
                </c:pt>
                <c:pt idx="3">
                  <c:v>550</c:v>
                </c:pt>
                <c:pt idx="4">
                  <c:v>642</c:v>
                </c:pt>
                <c:pt idx="5">
                  <c:v>741</c:v>
                </c:pt>
                <c:pt idx="6">
                  <c:v>833</c:v>
                </c:pt>
                <c:pt idx="7">
                  <c:v>902</c:v>
                </c:pt>
                <c:pt idx="8">
                  <c:v>982</c:v>
                </c:pt>
                <c:pt idx="9">
                  <c:v>1038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3998</c:v>
                </c:pt>
                <c:pt idx="1">
                  <c:v>5475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26,48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18.18</c:v>
                </c:pt>
                <c:pt idx="1">
                  <c:v>30.07</c:v>
                </c:pt>
                <c:pt idx="2">
                  <c:v>39.72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26,48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(21,89 – 42,42)</c:v>
                </c:pt>
                <c:pt idx="1">
                  <c:v>Precio objetivo de los analistas (16,58 – 59,37)</c:v>
                </c:pt>
                <c:pt idx="2">
                  <c:v>Comparables: EV/EBITDA NTM (17,87 – 24,93)</c:v>
                </c:pt>
                <c:pt idx="3">
                  <c:v>Comparables: PER NTM (16,29 – 28,15)</c:v>
                </c:pt>
                <c:pt idx="4">
                  <c:v>DCF (WACC y g ± 0,5) (27,34 – 33,56)</c:v>
                </c:pt>
                <c:pt idx="5">
                  <c:v>Escenarios (bajista – alcista) (18,18 – 39,72)</c:v>
                </c:pt>
                <c:pt idx="6">
                  <c:v>DCF con la prima implícita del mercado (4,2 %)</c:v>
                </c:pt>
                <c:pt idx="7">
                  <c:v>Precio actual (26,48)</c:v>
                </c:pt>
              </c:strCache>
            </c:strRef>
          </c:cat>
          <c:val>
            <c:numRef>
              <c:f>Hoja1!$B$2:$B$9</c:f>
              <c:numCache>
                <c:formatCode>#,##0.0</c:formatCode>
                <c:ptCount val="8"/>
                <c:pt idx="0">
                  <c:v>21.89</c:v>
                </c:pt>
                <c:pt idx="1">
                  <c:v>16.58</c:v>
                </c:pt>
                <c:pt idx="2">
                  <c:v>17.87</c:v>
                </c:pt>
                <c:pt idx="3">
                  <c:v>16.29</c:v>
                </c:pt>
                <c:pt idx="4">
                  <c:v>27.34</c:v>
                </c:pt>
                <c:pt idx="5">
                  <c:v>18.18</c:v>
                </c:pt>
                <c:pt idx="6">
                  <c:v>37.99</c:v>
                </c:pt>
                <c:pt idx="7">
                  <c:v>26.35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(21,89 – 42,42)</c:v>
                </c:pt>
                <c:pt idx="1">
                  <c:v>Precio objetivo de los analistas (16,58 – 59,37)</c:v>
                </c:pt>
                <c:pt idx="2">
                  <c:v>Comparables: EV/EBITDA NTM (17,87 – 24,93)</c:v>
                </c:pt>
                <c:pt idx="3">
                  <c:v>Comparables: PER NTM (16,29 – 28,15)</c:v>
                </c:pt>
                <c:pt idx="4">
                  <c:v>DCF (WACC y g ± 0,5) (27,34 – 33,56)</c:v>
                </c:pt>
                <c:pt idx="5">
                  <c:v>Escenarios (bajista – alcista) (18,18 – 39,72)</c:v>
                </c:pt>
                <c:pt idx="6">
                  <c:v>DCF con la prima implícita del mercado (4,2 %)</c:v>
                </c:pt>
                <c:pt idx="7">
                  <c:v>Precio actual (26,48)</c:v>
                </c:pt>
              </c:strCache>
            </c:strRef>
          </c:cat>
          <c:val>
            <c:numRef>
              <c:f>Hoja1!$C$2:$C$9</c:f>
              <c:numCache>
                <c:formatCode>#,##0.0</c:formatCode>
                <c:ptCount val="8"/>
                <c:pt idx="0">
                  <c:v>20.53</c:v>
                </c:pt>
                <c:pt idx="1">
                  <c:v>42.79</c:v>
                </c:pt>
                <c:pt idx="2">
                  <c:v>7.059999999999999</c:v>
                </c:pt>
                <c:pt idx="3">
                  <c:v>11.86</c:v>
                </c:pt>
                <c:pt idx="4">
                  <c:v>6.220000000000002</c:v>
                </c:pt>
                <c:pt idx="5">
                  <c:v>21.54</c:v>
                </c:pt>
                <c:pt idx="6">
                  <c:v>7.3799999999999955</c:v>
                </c:pt>
                <c:pt idx="7">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2026-10-07T09:59:53.999Z</dcterms:created>
  <dcterms:modified xsi:type="dcterms:W3CDTF">2026-10-07T09:59:54.001Z</dcterms:modified>
</cp:coreProperties>
</file>

<file path=docProps/custom.xml><?xml version="1.0" encoding="utf-8"?>
<Properties xmlns="http://schemas.openxmlformats.org/officeDocument/2006/custom-properties" xmlns:vt="http://schemas.openxmlformats.org/officeDocument/2006/docPropsVTypes"/>
</file>