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bf8efd98a293f09d481599471878ac62dcdc5ae"/>
    <w:p>
      <w:pPr>
        <w:pStyle w:val="Heading1"/>
      </w:pPr>
      <w:r>
        <w:t xml:space="preserve">Nu Holdings (NU): análisis growth, 27-oct-2026</w:t>
      </w:r>
    </w:p>
    <w:p>
      <w:pPr>
        <w:pStyle w:val="FirstParagraph"/>
      </w:pPr>
      <w:r>
        <w:rPr>
          <w:bCs/>
          <w:b/>
        </w:rPr>
        <w:t xml:space="preserve">Señal del motor (v11): Comprar (convicción baja) · Señal robusta: ESPERAR · Regla 15: NO pasa al precio de hoy</w:t>
      </w:r>
      <w:r>
        <w:t xml:space="preserve"> </w:t>
      </w:r>
      <w:r>
        <w:t xml:space="preserve">· Puntuación 70,8/100 · Señales de cambio de tendencia 1/8 · P/beneficio NTM ≈ 13 veces</w:t>
      </w:r>
      <w:r>
        <w:t xml:space="preserve"> </w:t>
      </w:r>
      <w:r>
        <w:t xml:space="preserve">Precio 12,59 USD (cierre 26-oct-2026) · Objetivo 12 m 15,0 USD · Ponderada +19,3 % · Base +10,3 % · Bajista −49,0 % · Alcista +106 % · Compra hasta (v11) 12,80 USD ·</w:t>
      </w:r>
      <w:r>
        <w:t xml:space="preserve"> </w:t>
      </w:r>
      <w:r>
        <w:rPr>
          <w:bCs/>
          <w:b/>
        </w:rPr>
        <w:t xml:space="preserve">Límite con la regla 15: 11,31 USD</w:t>
      </w:r>
      <w:r>
        <w:t xml:space="preserve"> </w:t>
      </w:r>
      <w:r>
        <w:t xml:space="preserve">Peso orientativo: no entra hoy (sería 3,5 %, convicción baja). Para quien la tiene (86 acciones en la cuenta 2):</w:t>
      </w:r>
      <w:r>
        <w:t xml:space="preserve"> </w:t>
      </w:r>
      <w:r>
        <w:rPr>
          <w:bCs/>
          <w:b/>
        </w:rPr>
        <w:t xml:space="preserve">Mantener</w:t>
      </w:r>
      <w:r>
        <w:t xml:space="preserve">; fijada por la regla de 3 meses hasta el 15-ene-2027.</w:t>
      </w:r>
    </w:p>
    <w:p>
      <w:pPr>
        <w:pStyle w:val="BodyText"/>
      </w:pPr>
      <w:r>
        <w:t xml:space="preserve">Iteración nueva tras la caída del 26-oct por la victoria de Lula. Sustituye al informe del 14-oct (Comprar media, objetivo 17,9 USD, compra hasta 16,6 USD), que se hizo con el real a ≈ 5,0 y el mercado esperando a Bolsonaro.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El negocio no ha cambiado desde el 14-oct: último trimestre (2T26) récord, beneficio bruto 2.441 M USD (+43 % a tipo constante), beneficio neto 1.061 M (+49 %), ROE 33 %, eficiencia 19,5 % [1]. No hay trimestre nuevo: el 3T26 se publica el 12-nov.</w:t>
      </w:r>
    </w:p>
    <w:p>
      <w:pPr>
        <w:numPr>
          <w:ilvl w:val="0"/>
          <w:numId w:val="1001"/>
        </w:numPr>
        <w:pStyle w:val="Compact"/>
      </w:pPr>
      <w:r>
        <w:t xml:space="preserve">Lo que ha cambiado es el país. Lula ganó la segunda vuelta el 25-oct (51,8 % frente a 48,2 %) cuando el mercado esperaba a Bolsonaro. El 26-oct NU cerró en 12,59 USD (−17 %, la peor sesión de su historia), el real cayó ≈ 9 % y el Ibovespa un 13,9 % [12][21]. Nu cayó menos que todas las demás fintechs brasileñas (−20 % frente a −27 % a −51 %) [13].</w:t>
      </w:r>
    </w:p>
    <w:p>
      <w:pPr>
        <w:numPr>
          <w:ilvl w:val="0"/>
          <w:numId w:val="1001"/>
        </w:numPr>
        <w:pStyle w:val="Compact"/>
      </w:pPr>
      <w:r>
        <w:t xml:space="preserve">La caída toca justo lo que mueve a Nu: el real (cada 10 % de subida del dólar resta ≈ 9 % al beneficio en dólares), los tipos (Selic 14 %, sin bajadas a la vista), la morosidad de unos hogares muy endeudados (82 % de la renta) y el riesgo de impuestos nuevos a las fintechs [14][20][22].</w:t>
      </w:r>
    </w:p>
    <w:p>
      <w:pPr>
        <w:numPr>
          <w:ilvl w:val="0"/>
          <w:numId w:val="1001"/>
        </w:numPr>
        <w:pStyle w:val="Compact"/>
      </w:pPr>
      <w:r>
        <w:t xml:space="preserve">Con el real de hoy rebajo el beneficio bruto esperado de 2027-28 de 13.500 a 12.600 M USD (base) y de 11.000 a 9.700 (malo). Resultado: objetivo 15,0 USD,</w:t>
      </w:r>
      <w:r>
        <w:t xml:space="preserve"> </w:t>
      </w:r>
      <w:r>
        <w:rPr>
          <w:bCs/>
          <w:b/>
        </w:rPr>
        <w:t xml:space="preserve">+19,3 % ponderado y −49 % en el escenario malo</w:t>
      </w:r>
      <w:r>
        <w:t xml:space="preserve">. El motor da Comprar (baja), pero</w:t>
      </w:r>
      <w:r>
        <w:t xml:space="preserve"> </w:t>
      </w:r>
      <w:r>
        <w:rPr>
          <w:bCs/>
          <w:b/>
        </w:rPr>
        <w:t xml:space="preserve">no pasa la regla 15</w:t>
      </w:r>
      <w:r>
        <w:t xml:space="preserve"> </w:t>
      </w:r>
      <w:r>
        <w:t xml:space="preserve">(hace falta ≥ +25 % y 0,75 veces la caída; da 0,39) y el contexto</w:t>
      </w:r>
      <w:r>
        <w:t xml:space="preserve"> </w:t>
      </w:r>
      <w:r>
        <w:rPr>
          <w:bCs/>
          <w:b/>
        </w:rPr>
        <w:t xml:space="preserve">retrasa</w:t>
      </w:r>
      <w:r>
        <w:t xml:space="preserve"> </w:t>
      </w:r>
      <w:r>
        <w:t xml:space="preserve">cualquier compra hasta el 12-nov.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no comprar más hoy; mantener las 86</w:t>
      </w:r>
      <w:r>
        <w:t xml:space="preserve">. Sería compra posible a</w:t>
      </w:r>
      <w:r>
        <w:t xml:space="preserve"> </w:t>
      </w:r>
      <w:r>
        <w:rPr>
          <w:bCs/>
          <w:b/>
        </w:rPr>
        <w:t xml:space="preserve">11,31 USD o menos</w:t>
      </w:r>
      <w:r>
        <w:t xml:space="preserve"> </w:t>
      </w:r>
      <w:r>
        <w:t xml:space="preserve">y después de ver el 3T26 (morosidad 15-90 ≤ 5 %) y las primeras señales fiscales del nuevo mandato.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Banco por el móvil, sin oficinas, en Brasil (118 M de clientes), México (16 M; banco desde ago-2026) y Colombia (5 M); desde el 10-sep también productos en EE. UU. (con Lead Bank) y la cuenta multidivisa Nu Global [1][16]. Gana dinero con el crédito (41 % del beneficio bruto en el 2T26), las comisiones (25 %) y el margen de los depósitos (34 %) [1]. Su ventaja es el coste: depósitos al 88 % del tipo interbancario, eficiencia del 19,5 % y modelos de crédito propios (NuFormer) entrenados con una década de datos de más de 100 M de clientes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Tecnología: 4/5.</w:t>
      </w:r>
      <w:r>
        <w:t xml:space="preserve"> </w:t>
      </w:r>
      <w:r>
        <w:t xml:space="preserve">Datos y coste propios difíciles de copiar en la región; no es 5 porque Mercado Pago, Inter e Itaú compiten digitalmente.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Posición: 4/5.</w:t>
      </w:r>
      <w:r>
        <w:t xml:space="preserve"> </w:t>
      </w:r>
      <w:r>
        <w:t xml:space="preserve">Segunda institución de Brasil por clientes y la que más crece en tarjetas; México aún pequeño [23].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p>
      <w:pPr>
        <w:pStyle w:val="FirstParagraph"/>
      </w:pPr>
      <w:r>
        <w:t xml:space="preserve">Millones de USD. Beneficio bruto de gestión (el que publica la empresa) y crecimiento a tipo constante (FXN) [1][3][4].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FXN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8.080 (≈ 7.870 al real de hoy)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+35 %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3.610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CAGR a 2 años (NIIF en USD, 2023 → 2025): 3.491 → 6.625 M,</w:t>
      </w:r>
      <w:r>
        <w:t xml:space="preserve"> </w:t>
      </w:r>
      <w:r>
        <w:rPr>
          <w:bCs/>
          <w:b/>
        </w:rPr>
        <w:t xml:space="preserve">+37,8 %</w:t>
      </w:r>
      <w:r>
        <w:t xml:space="preserve"> </w:t>
      </w:r>
      <w:r>
        <w:t xml:space="preserve">[3][4].</w:t>
      </w:r>
    </w:p>
    <w:p>
      <w:pPr>
        <w:numPr>
          <w:ilvl w:val="0"/>
          <w:numId w:val="1003"/>
        </w:numPr>
        <w:pStyle w:val="Compact"/>
      </w:pPr>
      <w:r>
        <w:t xml:space="preserve">Aceleración: +43 % en el 2T26 frente a una media de ≈ 30 % los cuatro anteriores (</w:t>
      </w:r>
      <w:r>
        <w:rPr>
          <w:bCs/>
          <w:b/>
        </w:rPr>
        <w:t xml:space="preserve">+12,8 pp</w:t>
      </w:r>
      <w:r>
        <w:t xml:space="preserve">), en parte estacional.</w:t>
      </w:r>
    </w:p>
    <w:p>
      <w:pPr>
        <w:numPr>
          <w:ilvl w:val="0"/>
          <w:numId w:val="1003"/>
        </w:numPr>
        <w:pStyle w:val="Compact"/>
      </w:pPr>
      <w:r>
        <w:t xml:space="preserve">Sin guía de la empresa. Consenso de ingresos 2026 → 2027: +24 % (22.800 → 28.270 M USD) [7].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 ≈ 120.000 M USD</w:t>
      </w:r>
      <w:r>
        <w:t xml:space="preserve"> </w:t>
      </w:r>
      <w:r>
        <w:t xml:space="preserve">de ingresos netos de la banca minorista (Brasil ≈ 75.000, México ≈ 35.000, Colombia ≈ 10.000): estimación propia apoyada en Ken Research (banca minorista de Brasil 71.400 M USD en 2025) y Felaban [19]; no recalculada hoy. Penetración ≈ 6,6 %.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los cinco grandes bancos brasileños (Itaú, Bradesco, Banco do Brasil, Caixa, Santander), Mercado Pago (el que más crece y el más agresivo en riesgo), Inter y PicPay; en México BBVA, Banorte, Mercado Pago, Klar y Stori [18][23].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Cuota</w:t>
      </w:r>
      <w:r>
        <w:t xml:space="preserve">: Nu y Mercado Pago explican el 36 % del crecimiento de la cartera de tarjetas de Brasil; Nu sumó 26.600 M BRL en 12 meses, 2,5 veces más que Mercado Pago [18].</w:t>
      </w:r>
    </w:p>
    <w:bookmarkEnd w:id="23"/>
    <w:bookmarkStart w:id="24" w:name="bis.-foso-riesgo-de-ia-y-sector"/>
    <w:p>
      <w:pPr>
        <w:pStyle w:val="Heading2"/>
      </w:pPr>
      <w:r>
        <w:t xml:space="preserve">4 bis. Foso, riesgo de IA y sector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Cifras y argumentos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Medio</w:t>
            </w:r>
            <w:r>
              <w:t xml:space="preserve"> </w:t>
            </w:r>
            <w:r>
              <w:t xml:space="preserve">(escala, datos, costes de cambio)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de los depósitos 88 % del interbancario y eficiencia 19,5 % (bancos tradicionales ≈ 40-50 %) [1]; coste del riesgo en tarjetas ≈ 14 % frente a 23-24 % de Mercado Pago [18]; los clientes con Nu como banco principal tienen la mitad de morosidad [1].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de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Impulsa</w:t>
            </w:r>
            <w:r>
              <w:t xml:space="preserve">, nivel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favor: &gt; 60 % de la atención en Brasil la llevan agentes de IA; datos propios para el crédito [1]. En contra: la IA abarata el análisis de crédito a los rivales y podría bajar el coste de cambiarse de banco.</w:t>
            </w:r>
            <w:r>
              <w:t xml:space="preserve"> </w:t>
            </w:r>
            <w:r>
              <w:rPr>
                <w:bCs/>
                <w:b/>
              </w:rPr>
              <w:t xml:space="preserve">Vigilar</w:t>
            </w:r>
            <w:r>
              <w:t xml:space="preserve">: eficiencia sostenida &gt; 25 % sin inversión internacional que lo explique; coste del riesgo de Mercado Pago a &lt; 5 puntos del de Nu.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y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Sensibilidad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al consumo con tipos al 14 % y hogares al 82 % de endeudamiento. En el bache de 2022-23 la morosidad de 90 días subió a ≈ 6,1 % y la acción cayó ≈ 70 %. Tras el 25-oct, el mercado teme ajuste fiscal flojo, tipos altos más tiempo y real débil [19][20][21].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de impuestos a fintechs (la MP 1303 de 2025 ya lo intentó con la CSLL), topes al crédito rotativo, presión política sobre el endeudamiento de las familias; IBS/CBS desde el 1-ene-2027 [2][22].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Cinco grandes bancos con la mayor parte del crédito; Nu es ya la 2.ª por clientes y crece al doble del mercado de tarjetas [23].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qué podría perder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Crece con crédito sin garantía justo cuando los hogares están más endeudados que nunca. Citi (jun-2026): ≈ 90 % del crecimiento de la cartera va con el coste del riesgo; el consignado privado (préstamo con cargo en nómina, que cobra antes) deja menos renta para pagar tarjetas; ROE sostenible ≈ 25 % [24]. Con tipos altos más tiempo, el escenario malo es hoy más probable que hace un mes.</w:t>
            </w:r>
          </w:p>
        </w:tc>
      </w:tr>
    </w:tbl>
    <w:bookmarkEnd w:id="24"/>
    <w:bookmarkStart w:id="25" w:name="cambio-de-tendencia-1-de-8"/>
    <w:p>
      <w:pPr>
        <w:pStyle w:val="Heading2"/>
      </w:pPr>
      <w:r>
        <w:t xml:space="preserve">5. Cambio de tendencia (1 de 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medio 18,92 USD anterior al voto; con el real −9 % las previsiones en dólares bajarán [7][14]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sobre media de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12,59 frente a 14,56 (−13,5 %), tendencia bajista [6][7]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Fuerza relativa 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−14 % frente a un S&amp;P 500 en máximos 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Mejora de múltiplo ≥ 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adelantado ≈ 13x frente a su mínimo de 12,2x (+6 %) 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rentable; margen neto sobre bruto +1,5 pp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«extremadamente alcista» (4-oct) a la peor sesión de su historia 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de directivos o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recompras de la empresa (500 M USD en el 1S26) 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Day el 8-dic, EE. UU. y Nu Global desde el 10-sep, 3T26 el 12-nov [16][17]</w:t>
            </w:r>
          </w:p>
        </w:tc>
      </w:tr>
    </w:tbl>
    <w:p>
      <w:pPr>
        <w:pStyle w:val="BodyText"/>
      </w:pPr>
      <w:r>
        <w:t xml:space="preserve">Euforia: no (−20,8 % en 12 meses).</w:t>
      </w:r>
    </w:p>
    <w:bookmarkEnd w:id="25"/>
    <w:bookmarkStart w:id="26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pStyle w:val="FirstParagraph"/>
      </w:pPr>
      <w:r>
        <w:t xml:space="preserve">Banco ya rentable: beneficio neto de 12 meses 3.610 M USD,</w:t>
      </w:r>
      <w:r>
        <w:t xml:space="preserve"> </w:t>
      </w:r>
      <w:r>
        <w:rPr>
          <w:bCs/>
          <w:b/>
        </w:rPr>
        <w:t xml:space="preserve">44,7 % del beneficio bruto</w:t>
      </w:r>
      <w:r>
        <w:t xml:space="preserve">; regla del 40 ≈ 80 (35 + 44,7). Margen bruto 100 % por definición (las «ventas» ya son netas de intereses y pérdidas). ROE 33 %.</w:t>
      </w:r>
    </w:p>
    <w:bookmarkEnd w:id="26"/>
    <w:bookmarkStart w:id="27" w:name="caja-deuda-y-dilución"/>
    <w:p>
      <w:pPr>
        <w:pStyle w:val="Heading2"/>
      </w:pPr>
      <w:r>
        <w:t xml:space="preserve">7. Caja, deuda y dilución</w:t>
      </w:r>
    </w:p>
    <w:p>
      <w:pPr>
        <w:pStyle w:val="FirstParagraph"/>
      </w:pPr>
      <w:r>
        <w:t xml:space="preserve">Patrimonio 13.252 M USD, depósitos 45.328 M, caja 13.552 M (jun-2026) [2]. Para un banco la caja y la deuda son materia prima: el código usa la capitalización como «EV». Acciones diluidas 4.905 M; recompras de 500 M en el 1S26 dentro de un plan de hasta 1.000 M; dilución neta ≈ 1 %; pagos en acciones 4,1 % del beneficio bruto (271,8 M en 2025) [2][3][15].</w:t>
      </w:r>
    </w:p>
    <w:bookmarkEnd w:id="27"/>
    <w:bookmarkStart w:id="28" w:name="dirección-y-ejecución"/>
    <w:p>
      <w:pPr>
        <w:pStyle w:val="Heading2"/>
      </w:pPr>
      <w:r>
        <w:t xml:space="preserve">8. Dirección y ejecución</w:t>
      </w:r>
    </w:p>
    <w:p>
      <w:pPr>
        <w:pStyle w:val="FirstParagraph"/>
      </w:pPr>
      <w:r>
        <w:t xml:space="preserve">Fundador y consejero delegado David Vélez al frente, con participación relevante (</w:t>
      </w:r>
      <w:r>
        <w:rPr>
          <w:bCs/>
          <w:b/>
        </w:rPr>
        <w:t xml:space="preserve">4/5</w:t>
      </w:r>
      <w:r>
        <w:t xml:space="preserve">). Historial</w:t>
      </w:r>
      <w:r>
        <w:t xml:space="preserve"> </w:t>
      </w:r>
      <w:r>
        <w:rPr>
          <w:bCs/>
          <w:b/>
        </w:rPr>
        <w:t xml:space="preserve">3/5</w:t>
      </w:r>
      <w:r>
        <w:t xml:space="preserve">: el 1T26 decepcionó (BPA 0,18 frente a 0,20) y el 2T26 superó. Rotación en la cúpula en 2026: cambio de director financiero en junio y dimisión del director de tecnología el 23-oct (sale el 12-nov; Vélez lo cubre de forma interina) [16][24].</w:t>
      </w:r>
    </w:p>
    <w:bookmarkEnd w:id="28"/>
    <w:bookmarkStart w:id="29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t xml:space="preserve">Métrica: precio / beneficio neto de los 12 meses siguientes. PER NTM de hoy ≈ 13x (StockAnalysis 12,85x; TIKR 15,79x a 15,16 USD → ≈ 13,1x hoy); mediana de 3 años ≈ 20x (media 21,5x desde finales de 2023), mínimo 12,2x; comparables (Itaú 11,5x, Inter 5,7x, MercadoLibre 39,6x, StoneCo 4,1x, Bradesco 6,7x) mediana 6,7x [7][8].</w:t>
      </w:r>
    </w:p>
    <w:p>
      <w:pPr>
        <w:pStyle w:val="BodyText"/>
      </w:pPr>
      <w:r>
        <w:t xml:space="preserve">Beneficio bruto de 4T27-3T28 (millones de USD), de 7.870 al real de hoy: base +26 % y +22 % con el real en 5,4; malo +15 % anual, más morosidad e impuestos y real a ≈ 6,0; bueno +30 %/+26 % y real a 5,0. La proyección mecánica (15.359 M) supera en más de 1,2 veces la mía: v11 usa la menor.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−49,0 %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+19,3 %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Asimetría 2,2. Consenso de analistas: 18,92 USD (+50 %), anterior al voto [7].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15 al precio de hoy (12,59)</w:t>
      </w:r>
      <w:r>
        <w:t xml:space="preserve">: (a) ponderada +19,3 % &lt; 25 % →</w:t>
      </w:r>
      <w:r>
        <w:t xml:space="preserve"> </w:t>
      </w:r>
      <w:r>
        <w:rPr>
          <w:bCs/>
          <w:b/>
        </w:rPr>
        <w:t xml:space="preserve">no</w:t>
      </w:r>
      <w:r>
        <w:t xml:space="preserve">; largo plazo (3 años con crecimiento final y múltiplo constante: base ≈ 20 USD, ≈ +59 %) sí es mayor; (b) 19,3 ÷ 49,0 =</w:t>
      </w:r>
      <w:r>
        <w:t xml:space="preserve"> </w:t>
      </w:r>
      <w:r>
        <w:rPr>
          <w:bCs/>
          <w:b/>
        </w:rPr>
        <w:t xml:space="preserve">0,39 &lt; 0,75 → no</w:t>
      </w:r>
      <w:r>
        <w:t xml:space="preserve">; (c) cualitativo completo → sí.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Límite de compra</w:t>
      </w:r>
      <w:r>
        <w:t xml:space="preserve"> </w:t>
      </w:r>
      <w:r>
        <w:t xml:space="preserve">= el menor entre 12,80 (v11), 15,0 ÷ 1,25 = 12,00 y (15,0 + 0,75 × 6,40) ÷ 1,75 =</w:t>
      </w:r>
      <w:r>
        <w:t xml:space="preserve"> </w:t>
      </w:r>
      <w:r>
        <w:rPr>
          <w:bCs/>
          <w:b/>
        </w:rPr>
        <w:t xml:space="preserve">11,31 USD</w:t>
      </w:r>
      <w:r>
        <w:t xml:space="preserve">. A 11,31: +32,6 % ponderado, −43,4 % malo, cociente 0,75.</w:t>
      </w:r>
    </w:p>
    <w:p>
      <w:pPr>
        <w:numPr>
          <w:ilvl w:val="0"/>
          <w:numId w:val="1005"/>
        </w:numPr>
        <w:pStyle w:val="Compact"/>
      </w:pPr>
      <w:r>
        <w:t xml:space="preserve">Pruebas de robustez (</w:t>
      </w:r>
      <w:r>
        <w:rPr>
          <w:rStyle w:val="VerbatimChar"/>
        </w:rPr>
        <w:t xml:space="preserve">robustez-growth.mjs</w:t>
      </w:r>
      <w:r>
        <w:t xml:space="preserve">): veredicto</w:t>
      </w:r>
      <w:r>
        <w:t xml:space="preserve"> </w:t>
      </w:r>
      <w:r>
        <w:rPr>
          <w:bCs/>
          <w:b/>
        </w:rPr>
        <w:t xml:space="preserve">sólida</w:t>
      </w:r>
      <w:r>
        <w:t xml:space="preserve">; señal robusta</w:t>
      </w:r>
      <w:r>
        <w:t xml:space="preserve"> </w:t>
      </w:r>
      <w:r>
        <w:rPr>
          <w:bCs/>
          <w:b/>
        </w:rPr>
        <w:t xml:space="preserve">Esperar</w:t>
      </w:r>
      <w:r>
        <w:t xml:space="preserve"> </w:t>
      </w:r>
      <w:r>
        <w:t xml:space="preserve">(G10: el contexto retrasa hasta el 12-nov). Variante más dura: con probabilidades 35/50/15 la ponderada cae a +3,9 % (Mantener).</w:t>
      </w:r>
    </w:p>
    <w:bookmarkEnd w:id="29"/>
    <w:bookmarkStart w:id="30" w:name="foros-y-sentimiento"/>
    <w:p>
      <w:pPr>
        <w:pStyle w:val="Heading2"/>
      </w:pPr>
      <w:r>
        <w:t xml:space="preserve">10. Foros y sentimiento</w:t>
      </w:r>
    </w:p>
    <w:p>
      <w:pPr>
        <w:pStyle w:val="FirstParagraph"/>
      </w:pPr>
      <w:r>
        <w:t xml:space="preserve">Antes del voto, Stocktwits estaba «extremadamente alcista» y con el volumen de mensajes triplicado tras la primera vuelta (4-oct) [11]. Tras el 26-oct dominan los titulares de pánico («peor día de su historia», «el mercado estaba totalmente desprevenido») y las preguntas de «¿oportunidad?»; los analistas que publican mantienen Comprar (Monness inicia con 20 USD) [10][12]. Contraste: el sentimiento ha girado más rápido que los datos, que aún no tienen trimestre nuevo.</w:t>
      </w:r>
    </w:p>
    <w:bookmarkEnd w:id="30"/>
    <w:bookmarkStart w:id="31" w:name="bis.-precio-y-noticias-antes-de-decidir"/>
    <w:p>
      <w:pPr>
        <w:pStyle w:val="Heading2"/>
      </w:pPr>
      <w:r>
        <w:t xml:space="preserve">10 bis. Precio y noticias antes de decidir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 reelegido: NU −17 % (12,59), real −9 %, Ibovespa −13,9 %, fintechs −20 a −51 % [12][13][21]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Retrasa</w:t>
            </w:r>
            <w:r>
              <w:t xml:space="preserve"> </w:t>
            </w:r>
            <w:r>
              <w:t xml:space="preserve">hasta el 3T26 (12-nov) y el plan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26-oct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Monness, Crespi, Hardt inicia con Comprar y 20 USD 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23-oct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Dimite el director de tecnología (sale el 12-nov)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 niega la compra de Monzo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Lanzamiento en EE. UU. y Nu Global [16]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Day el 8-dic 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2T26 récord, morosidad 90+ 6,9 % (+35 pb)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cambia</w:t>
            </w:r>
          </w:p>
        </w:tc>
      </w:tr>
    </w:tbl>
    <w:p>
      <w:pPr>
        <w:pStyle w:val="BodyText"/>
      </w:pPr>
      <w:r>
        <w:t xml:space="preserve">Movimiento (cierre 26-oct): 1 m −7,4 %, 3 m −14,2 %, 6 m −14,0 %, 12 m −20,8 %; −32,9 % desde el máximo de 52 semanas, +8,5 % sobre el mínimo (11,20 en junio); media de 200 sesiones −13,5 %, tendencia bajista; volatilidad 65 % [6].</w:t>
      </w:r>
      <w:r>
        <w:t xml:space="preserve"> </w:t>
      </w:r>
      <w:r>
        <w:rPr>
          <w:bCs/>
          <w:b/>
        </w:rPr>
        <w:t xml:space="preserve">Veredicto global: retrasa</w:t>
      </w:r>
      <w:r>
        <w:t xml:space="preserve"> </w:t>
      </w:r>
      <w:r>
        <w:t xml:space="preserve">hasta el 12-nov y las primeras señales fiscales.</w:t>
      </w:r>
    </w:p>
    <w:bookmarkEnd w:id="31"/>
    <w:bookmarkStart w:id="32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Morosidad</w:t>
      </w:r>
      <w:r>
        <w:t xml:space="preserve">: 15-90 por encima del 5,5 % o 90+ por encima del 7,5 % en el 3T26 o el 4T26 → revisar a Vender.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</w:t>
      </w:r>
      <w:r>
        <w:t xml:space="preserve">: dólar sostenido por encima de 6,0 BRL → el escenario malo pasa a central.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Impuestos o topes</w:t>
      </w:r>
      <w:r>
        <w:t xml:space="preserve">: subida de la CSLL a fintechs o topes nuevos al crédito → recalcular el beneficio.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</w:t>
      </w:r>
      <w:r>
        <w:t xml:space="preserve">: más salidas en la cúpula después del CFO y el CTO.</w:t>
      </w:r>
    </w:p>
    <w:p>
      <w:pPr>
        <w:numPr>
          <w:ilvl w:val="0"/>
          <w:numId w:val="1006"/>
        </w:numPr>
        <w:pStyle w:val="Compact"/>
      </w:pPr>
      <w:r>
        <w:t xml:space="preserve">Alertas del motor: proyección mecánica 1,2 veces la mía (se usa la mía, más prudente); sin guía de la empresa; métrica de beneficio y no de ventas (la puntuación de margen bruto y regla del 40 no está pensada para un banco).</w:t>
      </w:r>
    </w:p>
    <w:bookmarkEnd w:id="32"/>
    <w:bookmarkStart w:id="33" w:name="catalizadores-con-fecha"/>
    <w:p>
      <w:pPr>
        <w:pStyle w:val="Heading2"/>
      </w:pPr>
      <w:r>
        <w:t xml:space="preserve">12. Catalizadores con fecha</w:t>
      </w:r>
    </w:p>
    <w:p>
      <w:pPr>
        <w:pStyle w:val="FirstParagraph"/>
      </w:pPr>
      <w:r>
        <w:t xml:space="preserve">12-nov-2026 resultados del 3T26 · nombramiento del equipo económico del nuevo mandato (sin fecha) · Copom de diciembre · 8-dic-2026 Investor Day (objetivos a largo plazo) · licencias bancarias en Brasil y EE. UU.</w:t>
      </w:r>
    </w:p>
    <w:bookmarkEnd w:id="33"/>
    <w:bookmarkStart w:id="34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Hotis tiene 86 acciones en la cuenta 2 (compradas el 15-oct a 15,025 USD; ≈ −16 % hoy), dentro del bolsillo growth.</w:t>
      </w:r>
      <w:r>
        <w:t xml:space="preserve"> </w:t>
      </w:r>
      <w:r>
        <w:rPr>
          <w:bCs/>
          <w:b/>
        </w:rPr>
        <w:t xml:space="preserve">Se mantienen</w:t>
      </w:r>
      <w:r>
        <w:t xml:space="preserve">: puntuación 70,8 (≥ 50), ponderada +19,3 % (&gt; −10 %), tesis no rota, y la regla de 3 meses las fija hasta el 15-ene-2027.</w:t>
      </w:r>
      <w:r>
        <w:t xml:space="preserve"> </w:t>
      </w:r>
      <w:r>
        <w:rPr>
          <w:bCs/>
          <w:b/>
        </w:rPr>
        <w:t xml:space="preserve">No se compran más hoy</w:t>
      </w:r>
      <w:r>
        <w:t xml:space="preserve">: sería compra posible solo a</w:t>
      </w:r>
      <w:r>
        <w:t xml:space="preserve"> </w:t>
      </w:r>
      <w:r>
        <w:rPr>
          <w:bCs/>
          <w:b/>
        </w:rPr>
        <w:t xml:space="preserve">≤ 11,31 USD</w:t>
      </w:r>
      <w:r>
        <w:t xml:space="preserve"> </w:t>
      </w:r>
      <w:r>
        <w:t xml:space="preserve">y después del 12-nov. Ninguna orden.</w:t>
      </w:r>
    </w:p>
    <w:bookmarkEnd w:id="34"/>
    <w:bookmarkStart w:id="35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21,7 /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 /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/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70,8 / 100</w:t>
            </w:r>
          </w:p>
        </w:tc>
      </w:tr>
    </w:tbl>
    <w:bookmarkEnd w:id="35"/>
    <w:bookmarkStart w:id="36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Nu Holdings, nota de resultados 2T26 (6-K, SEC, 13-ago-2026, nupr2q26_6k.htm): ingresos de gestión 5.875,7 M USD (+39 % FXN), beneficio bruto 2.441,1 M (+43 % FXN; 1T26 1.877,7; 2T25 1.519,3), beneficio neto 1.061,1 M (+49 %), ROE 33 %, eficiencia 19,5 %, NIM ajustado al riesgo 12,4 %, morosidad 15-90 4,8 % y 90+ 6,9 %, cartera 39.400 M (+37 %), depósitos 45.300 M (Brasil 36.400), coste de los depósitos 88 % del interbancario, 139 M de clientes (118 M en Brasil), atención con IA &gt; 60 %, NuFormer</w:t>
      </w:r>
    </w:p>
    <w:p>
      <w:pPr>
        <w:pStyle w:val="BodyText"/>
      </w:pPr>
      <w:r>
        <w:t xml:space="preserve">[2] Nu Holdings, estados financieros intermedios 2T26 (6-K, SEC, nufs2q26_6k.htm): beneficio bruto NIIF 2.346,5 M (2T25 1.548,0; 1S26 4.211,4; 1S25 2.867,4), beneficio neto 1.061,1 M, acciones medias diluidas 4.904,8 M, BPA diluido 0,2162 USD, pagos en acciones 134,4 M en el trimestre, recompras de 500,4 M en el semestre, patrimonio 13.251,7 M; IBS/CBS desde el 1-ene-2027</w:t>
      </w:r>
    </w:p>
    <w:p>
      <w:pPr>
        <w:pStyle w:val="BodyText"/>
      </w:pPr>
      <w:r>
        <w:t xml:space="preserve">[3] Nu Holdings, estados financieros 2025 (6-K, SEC, nufs4q25_6k.htm): ingresos 15.774,7 M USD, beneficio bruto 6.625,0 M (2024 5.252,9), beneficio neto 2.871,7 M, BPA diluido 0,5846, acciones diluidas 4.907,4 M, pagos en acciones 271,8 M</w:t>
      </w:r>
    </w:p>
    <w:p>
      <w:pPr>
        <w:pStyle w:val="BodyText"/>
      </w:pPr>
      <w:r>
        <w:t xml:space="preserve">[4] Nu Holdings, 20-F (XBRL, SEC companyfacts): beneficio bruto 2023 3.490,9 M USD; estados 3T25 (6-K nufs3q25_6k.htm): beneficio bruto 3T25 1.814,5 M, 9M25 4.682,0 M, beneficio neto 3T25 782,7 M</w:t>
      </w:r>
    </w:p>
    <w:p>
      <w:pPr>
        <w:pStyle w:val="BodyText"/>
      </w:pPr>
      <w:r>
        <w:t xml:space="preserve">[6] herramientas/movimiento.mjs (Yahoo Finance, cierre 26-oct-2026): NU 12,59 USD; 1 m −7,4 %, 3 m −14,2 %, 6 m −14,0 %, 12 m −20,8 %; −32,9 % desde el máximo de 52 semanas, +8,5 % sobre el mínimo; media de 200 sesiones −13,5 %; volatilidad 65 %</w:t>
      </w:r>
    </w:p>
    <w:p>
      <w:pPr>
        <w:pStyle w:val="BodyText"/>
      </w:pPr>
      <w:r>
        <w:t xml:space="preserve">[7] StockAnalysis (26-oct-2026): capitalización 60.820 M USD, 4.830 M de acciones, PER 17,2, PER adelantado 12,85, P/VC 5,53, media de 200 sesiones 14,56, posiciones cortas 2,79 %; objetivo medio 18,92 USD (22 analistas: 13 Compra fuerte, 4 Compra, 4 Mantener, 1 Venta), BPA 2026 0,89 y 2027 1,13 USD, ingresos 2026 22.800 M y 2027 28.270 M</w:t>
      </w:r>
    </w:p>
    <w:p>
      <w:pPr>
        <w:pStyle w:val="BodyText"/>
      </w:pPr>
      <w:r>
        <w:t xml:space="preserve">[8] TIKR (26-oct-2026): PER adelantado 15,79x el viernes 23-oct a 15,16 USD; media desde finales de 2023 21,52x, máximo 31,52x, mínimo 12,21x esta primavera</w:t>
      </w:r>
    </w:p>
    <w:p>
      <w:pPr>
        <w:pStyle w:val="BodyText"/>
      </w:pPr>
      <w:r>
        <w:t xml:space="preserve">[10] TheStreet y ad-hoc-news (26/27-oct-2026): Monness, Crespi, Hardt inicia con Comprar y 20 USD; Ebury: peor perspectiva fiscal</w:t>
      </w:r>
    </w:p>
    <w:p>
      <w:pPr>
        <w:pStyle w:val="BodyText"/>
      </w:pPr>
      <w:r>
        <w:t xml:space="preserve">[11] Stocktwits (4-oct-2026): +9 % nocturno tras la primera vuelta; sentimiento de «extremadamente alcista» a «alcista»; resultados el 12-nov</w:t>
      </w:r>
    </w:p>
    <w:p>
      <w:pPr>
        <w:pStyle w:val="BodyText"/>
      </w:pPr>
      <w:r>
        <w:t xml:space="preserve">[12] FinanceFeeds y Kalkine (26-oct-2026): cierre 12,59 (−16,95 %), mínimo 11,62; Lula 51,79 %; el real −9 a −11 %; Selic 14 %; dimisión del CTO</w:t>
      </w:r>
    </w:p>
    <w:p>
      <w:pPr>
        <w:pStyle w:val="BodyText"/>
      </w:pPr>
      <w:r>
        <w:t xml:space="preserve">[13] Finsiders Brasil (26-oct-2026): XP −50,9 %, Agibank −39,8 %, Inter −38,5 %, PicPay −37,5 %, Stone −29,7 %, PagBank −26,5 %, Nu −20,6 % a media mañana (la menor caída del grupo)</w:t>
      </w:r>
    </w:p>
    <w:p>
      <w:pPr>
        <w:pStyle w:val="BodyText"/>
      </w:pPr>
      <w:r>
        <w:t xml:space="preserve">[14] TIKR (26-oct-2026): objetivo medio previo al voto; cada 10 % de subida del dólar resta ≈ 9,1 % al valor en dólares de cada real ganado</w:t>
      </w:r>
    </w:p>
    <w:p>
      <w:pPr>
        <w:pStyle w:val="BodyText"/>
      </w:pPr>
      <w:r>
        <w:t xml:space="preserve">[15] Nu, plan de recompra de hasta 1.000 M USD (jun-26 a jun-27); 6-K 2T26</w:t>
      </w:r>
    </w:p>
    <w:p>
      <w:pPr>
        <w:pStyle w:val="BodyText"/>
      </w:pPr>
      <w:r>
        <w:t xml:space="preserve">[16] Nu Holdings, 6-K (SEC): 23-oct-2026 dimisión del CTO; 30-sep-2026 sin operación con Monzo; 10-sep-2026 lanzamiento en EE. UU. y Nu Global</w:t>
      </w:r>
    </w:p>
    <w:p>
      <w:pPr>
        <w:pStyle w:val="BodyText"/>
      </w:pPr>
      <w:r>
        <w:t xml:space="preserve">[17] Nu Holdings, 6-K (SEC, 31-ago-2026): Investor Day el 8-dic-2026</w:t>
      </w:r>
    </w:p>
    <w:p>
      <w:pPr>
        <w:pStyle w:val="BodyText"/>
      </w:pPr>
      <w:r>
        <w:t xml:space="preserve">[18] NeoFeed (16-mar-2026, con datos de Itaú BBA): Nubank y Mercado Pago, 36 % del crecimiento de las tarjetas de crédito en Brasil; Nu +26.600 M BRL en 12 meses; coste del riesgo ≈ 14 % frente a 23-24 % de Mercado Pago; margen neto tras pérdidas ≈ 19 % frente a −6/−7 %</w:t>
      </w:r>
    </w:p>
    <w:p>
      <w:pPr>
        <w:pStyle w:val="BodyText"/>
      </w:pPr>
      <w:r>
        <w:t xml:space="preserve">[19] Bloomberg Línea (Felaban: beneficio de la banca latinoamericana 88.900 M USD en 2025); Ken Research (banca minorista de Brasil 71.400 M USD en 2025); Macrotrends (caída de la acción 2021-22); fuentes del informe del 14-oct</w:t>
      </w:r>
    </w:p>
    <w:p>
      <w:pPr>
        <w:pStyle w:val="BodyText"/>
      </w:pPr>
      <w:r>
        <w:t xml:space="preserve">[20] Agência Brasil / Poder360 (endeudamiento de los hogares 82 %, jul-2026); Rio Times / BofA (servicio de la deuda 28,5 % de la renta, Selic 14 %)</w:t>
      </w:r>
    </w:p>
    <w:p>
      <w:pPr>
        <w:pStyle w:val="BodyText"/>
      </w:pPr>
      <w:r>
        <w:t xml:space="preserve">[21] Rio Times, Morning Call del 27-oct-2026: Ibovespa 176.608 (−13,88 %), real −8,8 %; Polymarket: Copom de noviembre sin cambios 67 %; el Tesoro cancela dos subastas</w:t>
      </w:r>
    </w:p>
    <w:p>
      <w:pPr>
        <w:pStyle w:val="BodyText"/>
      </w:pPr>
      <w:r>
        <w:t xml:space="preserve">[22] Genial Investimentos (MP 1303/25: subida de impuestos a adquirentes, financieras y fintechs); Money Times (disputa de impuestos entre Nubank y los grandes bancos)</w:t>
      </w:r>
    </w:p>
    <w:p>
      <w:pPr>
        <w:pStyle w:val="BodyText"/>
      </w:pPr>
      <w:r>
        <w:t xml:space="preserve">[23] Forbes Brasil (ene-2026): Nubank supera 112 M de clientes y es la 2.ª institución financiera de Brasil por clientes; Finsiders (Nubank crece el doble que el mercado de tarjetas)</w:t>
      </w:r>
    </w:p>
    <w:p>
      <w:pPr>
        <w:pStyle w:val="BodyText"/>
      </w:pPr>
      <w:r>
        <w:t xml:space="preserve">[24] Seu Dinheiro (15-jun-2026): Citi rebaja a Neutral, objetivo 18 → 13 USD, recorta beneficio 2026 −9 % y 2027 −15 % (3.700 y 4.400 M USD), ROE sostenible ≈ 25 %, ≈ 9 % de los clientes de crédito con consignado privado; BPA 1T26 0,18 frente a 0,20 y cambio de CFO (informe del 14-oct)</w:t>
      </w:r>
    </w:p>
    <w:p>
      <w:pPr>
        <w:pStyle w:val="BodyText"/>
      </w:pPr>
      <w:r>
        <w:t xml:space="preserve">[25] Yahoo Finance: dólar/real mensual (jul-25 5,43 … jun-26 5,08; media ≈ 5,25) y 27-oct-2026 5,41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2026-10-27T10:58:57Z</dcterms:created>
  <dcterms:modified xsi:type="dcterms:W3CDTF">2026-10-27T10:58:57Z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