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Interparfums SA</w:t>
      </w:r>
    </w:p>
    <w:p>
      <w:pPr>
        <w:spacing w:after="60"/>
        <w:rPr>
          <w:color w:val="52514E"/>
          <w:sz w:val="22"/>
          <w:szCs w:val="22"/>
        </w:rPr>
      </w:pPr>
      <w:r>
        <w:rPr>
          <w:color w:val="52514E"/>
          <w:sz w:val="22"/>
          <w:szCs w:val="22"/>
        </w:rPr>
        <w:t xml:space="preserve">ITP · Euronext París (compartimento A) · ISIN FR0004024222 · Productos de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34,82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37,78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+11,4 %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23,86 EUR · mercado 26,94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3.058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Interparfums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ITP / FR0004024222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(SBF 120 y CAC Mid 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de consumo básico / Productos de cuidado personal (perfumes de prestigio)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rue de Solférino, París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www.interparfums-finance.fr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34,82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20,74 – 34,82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37,78 EUR</w:t>
      </w:r>
      <w:r>
        <w:t xml:space="preserve"> frente a 34,82 · Rentabilidad a 12 meses </w:t>
      </w:r>
      <w:r>
        <w:rPr>
          <w:b/>
          <w:bCs/>
        </w:rPr>
        <w:t xml:space="preserve">+11,4 % (base +17,2 %)</w:t>
      </w:r>
      <w:r>
        <w:t xml:space="preserve"> · Valor intrínseco 23,86 EUR · con la prima implícita del mercado: 26,94 (-22,6 %) · Alcista / bajista -31,6 % / -57,0 %</w:t>
      </w:r>
    </w:p>
    <w:p>
      <w:pPr>
        <w:spacing w:after="100"/>
      </w:pPr>
      <w:r>
        <w:rPr>
          <w:b/>
        </w:rPr>
        <w:t xml:space="preserve">La recomendación y por qué.</w:t>
      </w:r>
      <w:r>
        <w:t xml:space="preserve"> Mantener, con convicción media. El objetivo a 12 meses es de 37,78 EUR (nuestro PER por nuestro BPA de 2028e): +11,4 % ponderado y +17,3 % en el caso base, con dividendo, sobre el cierre de 34,82 EUR del 21-oct; no llega al 15 %. El valor intrínseco es de 23,86 EUR, un 31,5 % por debajo del precio, y la regla de control (v2) solo da un 6,3 %. La convicción es media porque las dos reglas coinciden; con el BPA un 10 % más bajo la rentabilidad a 12 meses es casi nula (0,6 %).</w:t>
      </w:r>
    </w:p>
    <w:p>
      <w:pPr>
        <w:spacing w:after="100"/>
      </w:pPr>
      <w:r>
        <w:rPr>
          <w:b/>
        </w:rPr>
        <w:t xml:space="preserve">Qué ha cambiado con el 3T26 (21-oct, antes de la apertura).</w:t>
      </w:r>
      <w:r>
        <w:t xml:space="preserve"> Buen trimestre: 265,5 M de ventas, +4,8 % (+4,6 % a tipos constantes), con Coach +25 %, Montblanc +13 % y Asia +32 %; Lanvin cae un 19 % y Oriente Medio un 32 % [7]. En nueve meses, 679,8 M (−2,9 %). La empresa apunta al alto de su guía, ≈870 M, pero es prudente con el 4T, que caería un 4 % [7]. La acción subió un 7,3 % ese día y un 41 % en tres meses [22]. Subimos 2026e de 860 a 870 M. Las perspectivas de 2027 llegan el 19-nov.</w:t>
      </w:r>
    </w:p>
    <w:p>
      <w:pPr>
        <w:spacing w:after="100"/>
      </w:pPr>
      <w:r>
        <w:rPr>
          <w:b/>
        </w:rPr>
        <w:t xml:space="preserve">El negocio.</w:t>
      </w:r>
      <w:r>
        <w:t xml:space="preserve"> Interparfums es un licenciatario de perfumes de prestigio muy rentable: margen operativo del 19,5-20,2 % en 2022-2025, ROIC del 20,0 % frente a un WACC del 9,20 % y deuda neta casi nula [1, 2]. Su debilidad es que no es dueña del 77 % de lo que vende: Jimmy Choo, Coach y Montblanc son el 75 % de las ventas de nueve meses y vencen en 2030-2031, Moncler vence en dic-2026 sin renovación publicada y el dueño de Lanvin puede recomprar sus perfumes en jul-2027 [1, 7]. Sostenibilidad «En parte».</w:t>
      </w:r>
    </w:p>
    <w:p>
      <w:pPr>
        <w:spacing w:after="100"/>
      </w:pPr>
      <w:r>
        <w:rPr>
          <w:b/>
        </w:rPr>
        <w:t xml:space="preserve">Equipo y gobierno.</w:t>
      </w:r>
      <w:r>
        <w:t xml:space="preserve"> Los fundadores controlan la matriz (≈74 % del capital, 84 % del voto), que compró ≈1,59 M de acciones en ago-sep-2026 [1, 16]. En la junta de 2026, un 61 % del capital libre presente votó contra la política de remuneración (estimación propia) [20].</w:t>
      </w:r>
    </w:p>
    <w:p>
      <w:pPr>
        <w:spacing w:after="100"/>
      </w:pPr>
      <w:r>
        <w:rPr>
          <w:b/>
        </w:rPr>
        <w:t xml:space="preserve">Valoración.</w:t>
      </w:r>
      <w:r>
        <w:t xml:space="preserve"> El DCF da 21,29 EUR; el precio descuenta un crecimiento del 23,9 % anual en 2027e-2032e frente al 4,3 % del base. Cotiza a 23,9 veces nuestro BPA de 2027e, por debajo de su mediana adelantada (26,8x) y por encima del objetivo medio de los analistas (30,70 EUR) [23].</w:t>
      </w:r>
    </w:p>
    <w:p>
      <w:pPr>
        <w:spacing w:after="100"/>
      </w:pPr>
      <w:r>
        <w:rPr>
          <w:b/>
        </w:rPr>
        <w:t xml:space="preserve">Riesgos y catalizadores.</w:t>
      </w:r>
      <w:r>
        <w:t xml:space="preserve"> El mayor riesgo es perder una licencia grande (bajista: 14,99 EUR), con Capri, dueña de Jimmy Choo, en venta [12]. Catalizadores: perspectivas de 2027 el 19-nov y la licencia de Moncler en diciembre. Euronext la sacó del SBF 120 en septiembre: menos liquidez con un flotante del ≈26 % [46].</w:t>
      </w:r>
    </w:p>
    <w:p>
      <w:pPr>
        <w:spacing w:after="100"/>
      </w:pPr>
      <w:r>
        <w:rPr>
          <w:b/>
        </w:rPr>
        <w:t xml:space="preserve">Qué cambiaría la decisión.</w:t>
      </w:r>
      <w:r>
        <w:t xml:space="preserve"> Comprar por debajo de 23,86 EUR; vender por encima de 43,09. Pasaríamos a Vender si se pierde una de las tres grandes licencias; revisaríamos al alza con una guía de 2027 por encima del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37,78 EUR</w:t>
      </w:r>
      <w:r>
        <w:t xml:space="preserve"> (rentabilidad +11,4 % (base +17,2 %)) · Valor intrínseco: 23,86 EUR (-31,5 % sobre 34,82) · con la prima implícita del mercado: 26,94 (-22,6 %)</w:t>
      </w:r>
    </w:p>
    <w:p>
      <w:pPr>
        <w:spacing w:after="100"/>
      </w:pPr>
      <w:r>
        <w:t xml:space="preserve">Interparfums SA es un licenciatario de perfumes de prestigio que convierte marcas ajenas (Jimmy Choo, Coach, Montblanc, Lacoste) en franquicias de perfume con un margen operativo del 19-22 %, un ROIC del 20 % y casi sin deuda [1].</w:t>
      </w:r>
    </w:p>
    <w:p>
      <w:pPr>
        <w:spacing w:after="100"/>
      </w:pPr>
      <w:r>
        <w:t xml:space="preserve">El 3T26 vuelve a crecer (+4,8 %) y la empresa apunta al alto de su guía, pero a 34,82 EUR, tras subir un 41 % en tres meses, el precio descuenta un crecimiento anual del 23,9 % de las ventas en 2027e-2032e. El DCF solo justifica 21,29 EUR.</w:t>
      </w:r>
    </w:p>
    <w:p>
      <w:pPr>
        <w:spacing w:after="100"/>
      </w:pPr>
      <w:r>
        <w:t xml:space="preserve">Para invertir hay que creer que los lanzamientos de 2027-2028 devolverán el crecimiento al 8-10 % y que las licencias de 2030-2031 se renovarán, o que la matriz lanzará una oferta con prima. La rentabilidad a 12 meses de la regla (11,4 %) es de múltiplo, no de valor.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1,34 = 25,06 · 25,3x × 1,57 = 39,82 · 27,0x × 1,72 = 46,44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30,70 (nuestro base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 / -57,0 %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9,2 %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23,86 y 43,09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23,86 EUR con la tesis intacta, pasaríamos a Comprar.</w:t>
      </w:r>
    </w:p>
    <w:p>
      <w:pPr>
        <w:pStyle w:val="ListParagraph"/>
        <w:numPr>
          <w:ilvl w:val="0"/>
          <w:numId w:val="2"/>
        </w:numPr>
        <w:spacing w:after="60"/>
      </w:pPr>
      <w:r>
        <w:t xml:space="preserve">Si el precio supera 43,09 EUR, pasaríamos a Vender.</w:t>
      </w:r>
    </w:p>
    <w:p>
      <w:pPr>
        <w:pStyle w:val="ListParagraph"/>
        <w:numPr>
          <w:ilvl w:val="0"/>
          <w:numId w:val="2"/>
        </w:numPr>
        <w:spacing w:after="60"/>
      </w:pPr>
      <w:r>
        <w:t xml:space="preserve">Si se anuncia la no renovación de Montblanc, Coach o Jimmy Choo, pasaríamos a Vender.</w:t>
      </w:r>
    </w:p>
    <w:p>
      <w:pPr>
        <w:pStyle w:val="ListParagraph"/>
        <w:numPr>
          <w:ilvl w:val="0"/>
          <w:numId w:val="2"/>
        </w:numPr>
        <w:spacing w:after="60"/>
      </w:pPr>
      <w:r>
        <w:t xml:space="preserve">Si la guía de 2027 supera el +8 % de ventas con margen operativo ≥ 20 %, revisaríamos el caso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perfume vuelve a crecer en 2027 con los lanzamientos, que Interparfums renovará sus licencias como siempre y que la matriz acabará ofreciendo una prima; los particulares van por delante de los analistas (objetivo medio de 30,70 EUR) [23, 37].</w:t>
      </w:r>
    </w:p>
    <w:p>
      <w:pPr>
        <w:keepNext/>
        <w:spacing w:after="100"/>
      </w:pPr>
      <w:r>
        <w:rPr>
          <w:b/>
          <w:bCs/>
        </w:rPr>
        <w:t xml:space="preserve">Lo que creemos nosotros.</w:t>
      </w:r>
    </w:p>
    <w:p>
      <w:pPr>
        <w:spacing w:after="100"/>
      </w:pPr>
      <w:r>
        <w:t xml:space="preserve">Compartimos el beneficio del consenso (BPA de 2028e de 1,574 frente a 1,529), pero no el múltiplo que pide el precio: el negocio crece al ritmo de un mercado maduro y no es dueño de sus marcas principales, así que vale 23,86 EUR, no 35.</w:t>
      </w:r>
    </w:p>
    <w:p>
      <w:pPr>
        <w:keepNext/>
        <w:spacing w:after="100"/>
      </w:pPr>
      <w:r>
        <w:rPr>
          <w:b/>
          <w:bCs/>
        </w:rPr>
        <w:t xml:space="preserve">Por qué podemos tener razón.</w:t>
      </w:r>
    </w:p>
    <w:p>
      <w:pPr>
        <w:spacing w:after="100"/>
      </w:pPr>
      <w:r>
        <w:t xml:space="preserve">Porque el DCF con nuestro BPA no llega al precio ni con la prima del mercado (25,81 EUR), y porque tres licencias que suman el 75 % de las ventas vencen en 2030-2031 con una de ellas (Jimmy Choo) en venta [1, 12].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3T26 al alza</w:t>
      </w:r>
      <w:r>
        <w:t xml:space="preserve">: +4,8 %, con Coach +25 % y Asia +32 %; guía en el alto, ≈870 M [7].</w:t>
      </w:r>
    </w:p>
    <w:p>
      <w:pPr>
        <w:pStyle w:val="ListParagraph"/>
        <w:numPr>
          <w:ilvl w:val="0"/>
          <w:numId w:val="2"/>
        </w:numPr>
        <w:spacing w:after="60"/>
      </w:pPr>
      <w:r>
        <w:rPr>
          <w:b/>
        </w:rPr>
        <w:t xml:space="preserve">Rentabilidad alta y estable</w:t>
      </w:r>
      <w:r>
        <w:t xml:space="preserve">: ROIC del 20,0 % y margen operativo del 19,5-20,2 % en 2022-2025, sin deuda [1].</w:t>
      </w:r>
    </w:p>
    <w:p>
      <w:pPr>
        <w:pStyle w:val="ListParagraph"/>
        <w:numPr>
          <w:ilvl w:val="0"/>
          <w:numId w:val="2"/>
        </w:numPr>
        <w:spacing w:after="60"/>
      </w:pPr>
      <w:r>
        <w:rPr>
          <w:b/>
        </w:rPr>
        <w:t xml:space="preserve">Lanzamientos de 2027-2028</w:t>
      </w:r>
      <w:r>
        <w:t xml:space="preserve">: Longchamp (licencia hasta 2036) y Lacoste (hasta 2038) [1, 3].</w:t>
      </w:r>
    </w:p>
    <w:p>
      <w:pPr>
        <w:pStyle w:val="ListParagraph"/>
        <w:numPr>
          <w:ilvl w:val="0"/>
          <w:numId w:val="2"/>
        </w:numPr>
        <w:spacing w:after="60"/>
      </w:pPr>
      <w:r>
        <w:rPr>
          <w:b/>
        </w:rPr>
        <w:t xml:space="preserve">Compras de la matriz</w:t>
      </w:r>
      <w:r>
        <w:t xml:space="preserve">: ≈1,59 M de acciones en ago-sep-2026 [16].</w:t>
      </w:r>
    </w:p>
    <w:p>
      <w:pPr>
        <w:pStyle w:val="Heading2"/>
      </w:pPr>
      <w:r>
        <w:t xml:space="preserve">En contra</w:t>
      </w:r>
    </w:p>
    <w:p>
      <w:pPr>
        <w:pStyle w:val="ListParagraph"/>
        <w:numPr>
          <w:ilvl w:val="0"/>
          <w:numId w:val="2"/>
        </w:numPr>
        <w:spacing w:after="60"/>
      </w:pPr>
      <w:r>
        <w:rPr>
          <w:b/>
        </w:rPr>
        <w:t xml:space="preserve">Valor intrínseco de 23,86 EUR</w:t>
      </w:r>
      <w:r>
        <w:t xml:space="preserve">, un 31,5 % bajo el precio.</w:t>
      </w:r>
    </w:p>
    <w:p>
      <w:pPr>
        <w:pStyle w:val="ListParagraph"/>
        <w:numPr>
          <w:ilvl w:val="0"/>
          <w:numId w:val="2"/>
        </w:numPr>
        <w:spacing w:after="60"/>
      </w:pPr>
      <w:r>
        <w:rPr>
          <w:b/>
        </w:rPr>
        <w:t xml:space="preserve">Concentración en licencias</w:t>
      </w:r>
      <w:r>
        <w:t xml:space="preserve">: tres marcas ajenas son el 75 % de las ventas y vencen en 2030-2031 [1].</w:t>
      </w:r>
    </w:p>
    <w:p>
      <w:pPr>
        <w:pStyle w:val="ListParagraph"/>
        <w:numPr>
          <w:ilvl w:val="0"/>
          <w:numId w:val="2"/>
        </w:numPr>
        <w:spacing w:after="60"/>
      </w:pPr>
      <w:r>
        <w:rPr>
          <w:b/>
        </w:rPr>
        <w:t xml:space="preserve">Subida del 41 % en tres meses</w:t>
      </w:r>
      <w:r>
        <w:t xml:space="preserve">: la v2 de control solo da un 6,3 % a 12 meses.</w:t>
      </w:r>
    </w:p>
    <w:p>
      <w:pPr>
        <w:pStyle w:val="ListParagraph"/>
        <w:numPr>
          <w:ilvl w:val="0"/>
          <w:numId w:val="2"/>
        </w:numPr>
        <w:spacing w:after="60"/>
      </w:pPr>
      <w:r>
        <w:rPr>
          <w:b/>
        </w:rPr>
        <w:t xml:space="preserve">Control de la matriz</w:t>
      </w:r>
      <w:r>
        <w:t xml:space="preserve"> y un 61 % del capital libre contra la remuneración [1, 20].</w:t>
      </w:r>
    </w:p>
    <w:p>
      <w:pPr>
        <w:pStyle w:val="Heading2"/>
      </w:pPr>
      <w:r>
        <w:t xml:space="preserve">Qué tiene que pasar para que la tesis funcione</w:t>
      </w:r>
    </w:p>
    <w:p>
      <w:pPr>
        <w:spacing w:after="100"/>
      </w:pPr>
      <w:r>
        <w:t xml:space="preserve">La tesis depende de que el crecimiento vuelva en 2027 sin perder licencias. La señal de que no se cumple: una guía de 2027 (19-nov) por debajo del +5 % o la falta de renovación de Moncler en diciembre. La venta de Capri y el comprador de Jimmy Choo son la señal temprana del riesgo de 2031.</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del perfume vuelve.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(2025); guía ≈18 %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 en 2026 o &lt; 18 %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gasto de lanzamiento de pérdida de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Renovación de licencias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Moncler vence en dic-2026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renovación de Moncler o anuncio sobre Jimmy Choo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licencias son el activo.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Philippe Benacin y Jean Madar fundaron Inter Parfums en 1982 para vender perfumes de imitación y de distribución masiva; en los noventa giraron hacia el prestigio con licencias de moda (Burberry desde 1993, hasta 2012). La filial francesa cotiza en París desde 1995 y la matriz estadounidense, Interparfums Inc., en el Nasdaq; los dos fundadores controlan la matriz con el 43,4 % y la matriz controla la francesa con el 72-74 % [1]. El modelo se amplió con marcas propias (Lanvin en 2007, Rochas en 2015) y con las licencias que hoy pesan más: Jimmy Choo y Montblanc (2010), Coach (2016) y Lacoste (2024) [1]. En dic-2025 la francesa absorbió el holding intermedio de la matriz sin cambiar el control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Philippe Benacin y Jean Madar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Interparfums SA en París; derechos de voto doble para acciones nominativas de más de tres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marcas de perfume de Lanvin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Jimmy Choo y Montblanc, hoy las dos primeras marcas junto con Coach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anticipado de la licencia de Burberry, que recupera sus perfumes: el precedente de pérdida de una gran licencia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marca Rochas (perfumes y moda)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Coach, renovada en 2025 hasta jun-2031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sede en el 10 rue de Solférino y comienzo del auge de los perfumes (+88 % en bolsa ese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Lacoste (licencia de 15 años) y compra de la marca Off-White en perfumes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Annick Goutal, licencia de Longchamp hasta 2036 y fusión con el holding de la matriz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año de caída de ventas desde 2020 (guía de ≈870 M EUR, −3 %, por Oriente Medio, Europa del Este y el dólar); repunte en el 3T (+4,8 %) y plan de lanzamientos 2027 que se presenta el 19-nov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Interparfums SA crea, fabrica con subcontratistas y distribuye perfumes de prestigio para marcas de moda, joyería y accesorios: la mayoría bajo licencia exclusiva (Jimmy Choo, Coach, Montblanc, Lacoste, Van Cleef &amp; Arpels, Boucheron, Karl Lagerfeld, Kate Spade, Moncler y, desde 2027, Longchamp) y unas pocas propias (Lanvin, Rochas, Off-White en perfumes, Annick Goutal y Solférino Paris) [1]. No tiene fábricas: jugos, frascos, tapones y acondicionamiento los hacen socios industriales, y la empresa controla el marketing, el desarrollo (12-18 meses por producto) y la logística desde un almacén de 36.000 m² en Francia y otros en EE. UU., Corea y Singapur [1]. Vende en más de 100 países y más de 25.000 puntos de venta a través de filiales propias, distribuidores independientes y operadores de duty free; el 93,6 % de las ventas de 2025 fue fuera de Francia y Norteamérica pesó el 38,6 % [1]. Plantilla de 378 personas a cierre de 2025 [1].</w:t>
      </w:r>
    </w:p>
    <w:p>
      <w:pPr>
        <w:pStyle w:val="Heading2"/>
      </w:pPr>
      <w:r>
        <w:t xml:space="preserve">Cómo gana dinero</w:t>
      </w:r>
    </w:p>
    <w:p>
      <w:pPr>
        <w:spacing w:after="100"/>
      </w:pPr>
      <w:r>
        <w:t xml:space="preserve">El margen sale de vender un perfume con un margen bruto del 65 % (64,7 % en 2025; 67,3 % en el 1S26) del que se pagan dos grandes costes variables: publicidad y promoción, el 21,3 % de las ventas (191,9 M en 2025), y regalías a los dueños de las marcas, el 8,4 % (76,0 M) [1]. Con unos gastos de estructura muy bajos (administración 35,5 M, el 3,9 %), el resultado operativo corriente se ha movido entre el 19,5 % y el 21,9 % de 2022 a 2025 [1, 2]. No hay ingresos recurrentes por contrato: cada año se vende por la recompra en tienda de las líneas existentes y por los lanzamientos (unas 15 extensiones en 2026 y unas 20 iniciativas grandes en 2027-2028) [1, 3]. La palanca de margen es flexible: la empresa recorta publicidad cuando caen las ventas (mantuvo el 21 % de margen en el 1S26 con ventas −7 %) [2]. Estacionalidad: el primer semestre pesa más y el circulante se dispara en verano antes de Navidad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Choo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Coach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Montblanc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Lacoste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 y Rochas (propias)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licencias y marcas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Choo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Coach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Montblanc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Lacoste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 y Rochas (propias)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licencias y marcas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distribuidores, grandes almacenes, cadenas de perfumería y operadores de duty free; la empresa no publica la concentración por cliente [1]. El riesgo de concentración está en los licenciantes: Jimmy Choo (25,3 % de las ventas de 2025), Coach (22,2 %) y Montblanc (21,5 %) suman el 69 % [1]. Las licencias son largas y se han renovado casi siempre (Coach hasta 2031, Van Cleef &amp; Arpels hasta 2033, Montblanc hasta 2030, Boucheron prolongada hasta 2027), pero la de Moncler acaba en dic-2026 sin renovación publicada (el comunicado del 3T26, del 21-oct, tampoco la menciona) [7] y el dueño de la moda Lanvin tiene una opción para recomprar las marcas de perfume el 1-jul-2027 [1]. Las garantías mínimas de regalías comprometidas suman 308,7 M [1]. Poder de precios: el margen bruto se mantuvo en el 64,7-67,3 % con la inflación de costes de 2022-2025 y los aranceles de EE. UU., que se compensaron con precio y mezcla [1, 2]. En los nueve primeros meses de 2026 las tres primeras marcas ganan peso: Jimmy Choo 179,0 M, Coach 175,3 M (+10 %) y Montblanc 153,3 M, el 74,7 % de las ventas, mientras Lanvin cae un 24 % y sufre «problemas de aprovisionamiento de algunos componentes» antes de sus lanzamientos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(9M26); +4,6 %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−3,7 % en el 1S26. Guía 2026: «el alto» de la horquilla, unos 870 M a tipos corrientes (antes 850-870 M)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(1S26); 66,7 % sin aranceles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la devolución de aranceles de EE. UU. de abr-2025 a feb-2026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Preparación de los lanzamientos de 2027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(1S26); guía ≈18 %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 previsto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anual implica un 2S26 cerca del 15 %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 M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componentes más selectivas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filial de EE. UU.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Luxury Brands; en euros Norteamérica crece solo un 2 % en 9M por el dólar (1,16 frente a 1,12)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Oriente Medio y Europa del Este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3T26 siguen cayendo (−32 % y −31 %); Asia compensa (+32 % en el 3T, con China)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Perfumes de prestigio (distribución selectiva: perfumerías, grandes almacenes, duty free y tiendas propias) en el mundo, a precio de fabricante. Es el mercado en el que compite Interparfums; la belleza en conjunto (≈300.000 M EUR) es demasiado amplia [9]. Usamos la estimación del análisis de Puig: ≈28.000 M EUR en 2025 a precio de fabricante (14 % de la belleza y dos tercios de gama alta) [9, 10, 14]; Interparfums habla de un mercado de perfume selectivo de unos 40.000 M USD (fuente interna, probablemente a precio de venta) [1]. Las dos cifras dan a Interparfums una cuota del 2-3 %.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28.000 M EUR en 2025 a precio de fabricante (estimación del análisis de Puig sobre L’Oréal) [9, 14]; ≈ 40.000 M USD según Interparfums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recio de fabricant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Auge de los perfumes en 2021-2024 (jóvenes, redes sociales, «lujo asequible»)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creció ≈12 % al año de 2023 a 2025 [14]; Interparfums pasó de 561 M a 899 M de ventas de 2021 a 2025 y cae un 0,7 % a tipos constantes en los nueve meses de 2026, tras −3,7 % en el 1S26 y +4,6 % en el 3T [1, 3, 7]. Puig Fragancias y Moda crece un 3,8 % comparable en los nueve meses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el mayor mercado, sigue creciendo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locales de la filial de EE. UU. +9 % en 2025 y +9 % en los nueve meses de 2026; Norteamérica es el 41 % de las ventas de los nueve meses (276 M, +2 % en euros)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Oriente Medio y Europa del Este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−32 % y Europa del Este −24 % en los nueve meses de 2026 (las dos zonas pasan de 95 M a 69 M); Rusia, Bielorrusia y Ucrania eran el 3,4 % de las ventas de 2025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(ventas en dólares, costes en euros)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medio de 1,16 en los nueve meses de 2026 frente a 1,12: ventas −2,9 % a corrientes frente a −0,7 % constantes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los perfumes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M de coste en 2025 (≈0,8 puntos de margen), devueltos en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 y China vuelven a crecer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+32 % en el 3T26 y +8 % en nueve meses (97 M, 14 % de las ventas), con China fuerte [7]; Asia-Pacífico +17,9 % comparable en Puig en nueve meses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decena de grandes (L’Oréal, Coty, Puig, LVMH, Estée Lauder, Chanel) y otra decena de medianos como Interparfums compiten por licencias y por el lineal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Cadenas de perfumería y duty free concentrados en cada país; más de 25.000 puntos de venta reparten el riesgo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dueño de la marca: cobra el 8,4 % de las ventas en regalías y decide la renovación (Burberry se fue en 2012)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nativas digitales y los perfumes de nicho entran con poco capital, pero la distribución mundial y el gasto en publicidad (21 % de las ventas) son una barrera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«dupes» baratos crecen, pero el perfume de marca sigue siendo un regalo de prestigio [14].</w:t>
            </w:r>
          </w:p>
        </w:tc>
      </w:tr>
    </w:tbl>
    <w:p>
      <w:pPr>
        <w:spacing w:after="160" w:before="0"/>
      </w:pPr>
    </w:p>
    <w:p>
      <w:pPr>
        <w:pStyle w:val="Heading2"/>
      </w:pPr>
      <w:r>
        <w:t xml:space="preserve">Ciclo</w:t>
      </w:r>
    </w:p>
    <w:p>
      <w:pPr>
        <w:spacing w:after="100"/>
      </w:pPr>
      <w:r>
        <w:t xml:space="preserve">Tras tres años de crecimiento de dos dígitos (2021-2024) el mercado se normaliza: Interparfums creció un 4 % a tipos constantes en 2025 y en 2026 apunta al alto de su guía de ≈870 M (−3 % en euros), con un 3T de nuevo en positivo (+4,6 % constantes) [1, 7]. Puig, con más nicho, mantiene +3,8 % comparable en fragancias [15]. En 2009 las ventas de perfume selectivo cayeron y se recuperaron en un año; en 2020 Interparfums vendió 367 M (−24 % frente a 2019) y en 2021 ya estaba por encima [1, 11]. En 2022 la inflación se trasladó a precio sin perder volumen. Los indicadores son las ventas de la filial de EE. UU., las de duty free y las de los grandes (L’Oréal Luxe, Puig Fragancias y Moda).</w:t>
      </w:r>
    </w:p>
    <w:p>
      <w:pPr>
        <w:pStyle w:val="Heading2"/>
      </w:pPr>
      <w:r>
        <w:t xml:space="preserve">Regulación</w:t>
      </w:r>
    </w:p>
    <w:p>
      <w:pPr>
        <w:spacing w:after="100"/>
      </w:pPr>
      <w:r>
        <w:t xml:space="preserve">Reglamento europeo de cosméticos 1223/2009 y su revisión de alérgenos de fragancia (etiquetado ampliado a más de 80 alérgenos, con plazos hasta 2026-2028); ley MoCRA de EE. UU. (registro de instalaciones y productos desde 2023-2024); reglamento europeo de envases (2025), que exige materiales reciclables; aranceles de EE. UU. a las importaciones europeas desde abril de 2025, con devolución en 2026 [1, 3]. La empresa dejó de estar sujeta a la directiva CSRD en dic-2025 por el umbral de empleados [1].</w:t>
      </w:r>
    </w:p>
    <w:p>
      <w:pPr>
        <w:pStyle w:val="Heading2"/>
      </w:pPr>
      <w:r>
        <w:t xml:space="preserve">Tendencias y disrupción</w:t>
      </w:r>
    </w:p>
    <w:p>
      <w:pPr>
        <w:spacing w:after="100"/>
      </w:pPr>
      <w:r>
        <w:t xml:space="preserve">Gana el perfume de marca de moda accesible (Coach +10 % y Jimmy Choo +6 % en EE. UU. en nueve meses de 2026) entre los jóvenes de EE. UU. y Latinoamérica, y la «alta perfumería» de precio alto, donde Interparfums entra con Solférino Paris y Annick Goutal [1, 7]. Pierden las marcas sin lanzamientos (Lanvin −24 % en nueve meses, también por problemas de suministro de componentes) y los mercados sacudidos por la geopolítica [7]. El nicho sigue a doble dígito en Puig [15]. Los grandes compran marcas de nicho a múltiplos altos (Creed, Byredo) y licencias largas (Kering Beauté a L’Oréal), lo que encarece las licencias nuevas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del perfume de prestigio mundial; ≈4 % en Francia y 2-5 % en EE. UU., Reino Unido, México y China; mediano independiente detrás de L’Oréal, Coty, Puig, LVMH, Estée Lauder y Chanel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 (Fragrance and Fashion)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marcas propias (Carolina Herrera, Paco Rabanne, Jean Paul Gaultier, Byredo); grupo entero, últimos 12 meses [14]. Fragancias y Moda +3,8 % comparable en los nueve meses de 2026 y +3,9 % en el 3T, frente a −0,7 % y +4,6 % a tipos constantes de Interparfums [7,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licenciatario de perfumes de moda (Gucci hasta su traspaso, Hugo Boss, Burberry, Chloé); muy endeudado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Armani, YSL, Prada, Valentino y, desde 2026, Gucci, Bottega Veneta y Balenciaga [9,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 (matriz)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a Interparfums SA y añade licencias estadounidenses (GUESS, Abercrombie &amp; Fitch, Donna Karan, Ferragamo); guía 2026 de 1.480 M USD de ventas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Estée Lauder (fragancias)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propias de nicho (Le Labo, Jo Malone, Tom Ford, Kilian)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cliente final no gana nada por que otros compren el mismo perfume.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licenciante cambiar de socio cuesta años de lanzamientos y existencias; Interparfums ha renovado casi todas sus licencias grandes (Coach, Montblanc, Van Cleef &amp; Arpels, Jimmy Choo), pero Burberry se fue en 2012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ajenas con contratos largos (Lacoste hasta 2038, Longchamp hasta 2036) y propias (Lanvin, Rochas); margen operativo del 19-22 % durante años frente al 15 % de Puig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ligera: 378 empleados para 899 M de ventas y gastos de administración del 3,9 %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100 países y 25.000 puntos de venta, pero a una décima del tamaño de los grandes [1].</w:t>
            </w:r>
          </w:p>
        </w:tc>
      </w:tr>
    </w:tbl>
    <w:p>
      <w:pPr>
        <w:spacing w:after="160" w:before="0"/>
      </w:pPr>
    </w:p>
    <w:p>
      <w:pPr>
        <w:pStyle w:val="Heading2"/>
      </w:pPr>
      <w:r>
        <w:t xml:space="preserve">Amenazas</w:t>
      </w:r>
    </w:p>
    <w:p>
      <w:pPr>
        <w:spacing w:after="100"/>
      </w:pPr>
      <w:r>
        <w:t xml:space="preserve">La amenaza principal es perder una licencia grande: Jimmy Choo (26 % de las ventas de los nueve meses de 2026), Coach (26 %) y Montblanc (23 %) vencen en 2030-2031 y suman el 75 % [1, 7]; Capri, dueña de Jimmy Choo, está en venta, y un comprador con división de perfumes propia podría no renovar en 2031 [1, 12]. Moncler vence en dic-2026 y el comunicado del 3T26 sigue sin hablar de su renovación [1, 7, 13]; el dueño de la moda Lanvin puede recomprar sus perfumes en jul-2027 [1], y Lanvin cae un 24 % en 2026 [7]. Probabilidad de perder al menos una de las tres grandes antes de 2032: media (estimación propia).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19,6 %</w:t>
      </w:r>
      <w:r>
        <w:t xml:space="preserve">, EBITDA </w:t>
      </w:r>
      <w:r>
        <w:rPr>
          <w:b/>
          <w:bCs/>
        </w:rPr>
        <w:t xml:space="preserve">25,6 %</w:t>
      </w:r>
      <w:r>
        <w:t xml:space="preserve">, BPA </w:t>
      </w:r>
      <w:r>
        <w:rPr>
          <w:b/>
          <w:bCs/>
        </w:rPr>
        <w:t xml:space="preserve">32,7 %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367 M en 2020 a 899 M en 2025 (TCAC del 19,7 %), con el auge de los perfumes de 2021-2024 y la entrada de Lacoste en 2024 (95 M en 2025); en 2025 crecieron solo un 2,1 % (+4 % a tipos constantes) y en el 1S26 cayeron un 7,3 % (−3,7 % a tipos constantes) por Oriente Medio (−32 %), Europa del Este (−20 %) y Europa occidental (−17 %), con EE. UU. al alza [1, 3]. En el 3T26 volvieron a crecer (265,5 M, +4,8 %; +4,6 % a tipos constantes), por Coach (+25 %), Montblanc (+13 %) y Asia (+32 %), y los nueve meses quedan en 679,8 M (−2,9 %; −0,7 % a tipos constantes) [7]. Ventas de los últimos doce meses a sep-2026: 878,8 M (estimación propia: 9M26 más el 4T25 de 199,0 M = 899,4 − 700,4) [1, 7]; el LTM del informe sigue siendo el de jun-26, el último con cuenta completa. El margen operativo corriente subió del 19,6 % de 2022 al 20,2 % de 2024 y bajó al 19,5 % en 2025 por 7,6 M de aranceles de EE. UU. (20,3 % sin ellos) [1]. En el 1S26 fue del 21,1 % (23,3 % en el 1S25), y la guía del año es de «alrededor del 18 %», lo que implica un segundo semestre en torno al 15 % por la publicidad previa a los lanzamientos de 2027 [2]. El resultado financiero empeoró en 2025 (−9,2 M) por el coste de las coberturas de divisa [1].</w:t>
      </w:r>
    </w:p>
    <w:p>
      <w:pPr>
        <w:pStyle w:val="Heading2"/>
      </w:pPr>
      <w:r>
        <w:t xml:space="preserve">Ajustes y partidas no recurrentes</w:t>
      </w:r>
    </w:p>
    <w:p>
      <w:pPr>
        <w:spacing w:after="100"/>
      </w:pPr>
      <w:r>
        <w:t xml:space="preserve">Las cifras son las publicadas. El EBITDA es el resultado operativo más amortizaciones y provisiones del XBRL (206 M en 2025, igual que el de MarketScreener) [4]. Otros gastos y productos de explotación fuera del resultado corriente: −6,5 M en 2022, +5,2 M en 2023 y −0,2 M en 2024 (se devuelven al EBITDA como no recurrentes) [1]. El BPA y el DPA están expresados en las acciones de hoy (87,83 M): la empresa reparte cada año acciones gratuitas (1x10 de 2015 a 2025 y 1x20 en julio de 2026) y su BPA publicado solo se reexpresa a prorrata, así que se usa beneficio ÷ acciones de hoy (1,44 EUR en 2025 frente a 1,58 publicado) [1, 6]. En el 1S26 hay una devolución no prevista de los aranceles de EE. UU. pagados de abril de 2025 a febrero de 2026; neta del arancel del semestre mueve el margen bruto unos 0,6 puntos (≈2,5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las ventas del 1S26 (23-jul) la dirección habló de «un entorno que nunca ha sido tan complicado» (Oriente Medio, Europa del Este y el dólar) y rebajó el año a 850-870 M de ventas (−3 % a tipos constantes) [3]. En los resultados (9-sep) el margen operativo del semestre salió en el 21,1 %, por encima de su propia guía, gracias a la devolución de los aranceles de EE. UU., y mantuvo para el año «alrededor del 18 %» [2]; los analistas esperaban un resultado operativo de 79,7 M y salió en 87,3 M [2]. En las ventas del 3T26 (21-oct) el tono mejora: «la actividad ha recuperado una dinámica más favorable durante el verano», el 3T crece un 4,8 % y la empresa apunta ya al alto de la guía, unos 870 M [7]. Sigue prudente con el 4T por Oriente Medio, Europa del Este y la estacionalidad de EE. UU. (noviembre y diciembre), y no repite ni cambia la guía de margen [7]. La guía de ventas queda algo por debajo del consenso de 880 M para 2026 que cita Invest Securities (945 M para 2027) [8]. El discurso sigue apuntando a 2027-2028: unas 20 iniciativas (Longchamp, Off-White, Annick Goutal, Montblanc, Lacoste, Lanvin), con una acogida «muy favorable» de los socios; las cifras de 2027 se darán el 19-nov-2026 [2, 7]. Nada sobre la licencia de Moncler (vence en dic-2026) ni la opción de recompra de Lanvin de jul-2027, y aparece un problema nuevo: falta de algunos componentes para los lanzamientos de Lanvin [1, 2, 3,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muy holgado: patrimonio de 730 M, casi el 70 % del activo, y deuda financiera de 141 M cubierta por 204,5 M de caja a dic-2025 [1]. El circulante es el gran consumidor de caja: existencias + clientes − proveedores ≈ 30 % de las ventas (269 M en 2025); las existencias subieron de 92 M (2020) a 230 M (2024) por los plazos de suministro y bajaron a 197 M en 2025 al normalizarse [1]. La deuda se tomó en 2021-2023 para la sede de la rue de Solférino y la entrada en Lacoste y se va amortizando: −23 M en el 1S26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209</w:t>
      </w:r>
      <w:r>
        <w:t xml:space="preserve">, conversión </w:t>
      </w:r>
      <w:r>
        <w:rPr>
          <w:b/>
          <w:bCs/>
        </w:rPr>
        <w:t xml:space="preserve">36 %</w:t>
      </w:r>
      <w:r>
        <w:t xml:space="preserve"> del beneficio neto; adquisiciones 2, dividendos 316, recompras 0.</w:t>
      </w:r>
    </w:p>
    <w:p>
      <w:pPr>
        <w:spacing w:after="100"/>
      </w:pPr>
      <w:r>
        <w:t xml:space="preserve">El flujo operativo pasó de 46 M (2020) a 150 M (2025); la conversión del beneficio en caja fue floja en 2022-2024 (79-108 M con beneficios de 100-130 M) porque el circulante absorbió 44 M solo en 2024, y buena en 2025 al bajar existencias (+4 M) [1]. La inversión no es de fábricas: en 2021 fue la compra de la sede (capex de 118 M), en 2022 la entrada en la licencia de Lacoste y en 2024-2025 las marcas Off-White y Annick Goutal (intangibles de 16-22 M al año) [1, 4]. El capex de mantenimiento (moldes, utillaje de vidrio, sistemas) es pequeño: unos 10-15 M al año (estimación propia por las amortizaciones de 22-31 M que incluyen las de marcas y licencias). Dividendos de 87,6 M en 2025, el 69 % del beneficio, y 87,8 M en el 1S26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Forvis Mazars y SFECO &amp; Fiducia Audit (en 2024 también Grant Thornton)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no hay fondo de comercio, los intangibles (251 M) son marcas propias (Lanvin, Rochas, Off-White, Annick Goutal) y derechos de licencia, con prueba de deterioro anual sin pérdidas en 2025 [1]. Los riesgos contables están en tres partidas: (1) devoluciones y provisiones comerciales con distribuidores, que mueven el margen bruto; (2) coberturas de divisa, cuyo coste pasó por el resultado financiero (−9,2 M en 2025); y (3) el BPA publicado, que reexpresa a prorrata las acciones gratuitas y no compara bien entre años (por eso usamos beneficio ÷ acciones de hoy) [1]. La empresa se integra además en el control interno Sarbanes-Oxley de su matriz estadounidense [1]. Los pagos en acciones son mínimos (0,2 M en 2025) [1]. Los tres indicadores no muestran alertas: Altman Z de 7,82 (muy lejos de la zona de riesgo, sin deuda), Piotroski F de 6 sobre 9 (restan el ROA, el endeudamiento sobre activo y el margen bruto de 2025) y Beneish M de −2,55, por debajo del umbral de manipulación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publicado no comparable entre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Reexpresión a prorrata de las acciones gratuitas; se usa beneficio ÷ 87,83 M acciones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alto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 clientes − proveedores ≈ 30 % de las ventas; consumió 44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Devolución de aranceles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Partida no recurrente pequeña (≈0,6 puntos de margen bruto)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31,2 % · </w:t>
      </w:r>
      <w:r>
        <w:rPr>
          <w:b/>
          <w:bCs/>
        </w:rPr>
        <w:t xml:space="preserve">WACC</w:t>
      </w:r>
      <w:r>
        <w:t xml:space="preserve">: 9,2 %.</w:t>
      </w:r>
    </w:p>
    <w:p>
      <w:pPr>
        <w:spacing w:after="100"/>
      </w:pPr>
      <w:r>
        <w:t xml:space="preserve">Interparfums crea valor con holgura: el ROIC fue del 20,0 % en 2025 frente a un WACC del 9,21 %, unos 10,8 puntos, y está por encima del 16 % desde 2021 (9,2 % en 2020, año de covid). No hay fondo de comercio: es el ROIC del negocio, sin compras que lo distorsionen. El ROIC sale del margen (operativo del 19-20 %) más que de la rotación (0,9 veces el capital invertido), porque el circulante es pesado: existencias, clientes y proveedores suman el 30 % de las ventas. El ROIC incremental de 2020-2025 (31,2 %) es muy alto, pero mide el paso de un año de covid al auge de los perfumes; en 2024-2025 el capital creció más que el beneficio. Frente a los comparables, el ROIC está por encima de Puig (13,1 %), Coty (4,7 %) y Estée Lauder (5,9 %) y a la par de la matriz (18,4 %) [14, 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activos financieros corrientes de 115,0 M a 30-jun-2026 (204,5 M a dic-2025) frente a 118,2 M de deuda financiera; deuda neta de 3,2 M sin arrendamientos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de deuda neta / EBITDA &lt; 2,5x sobre 78,5 M de préstamos (−0,26x en 2025) [1]. Garantías mínimas de regalías comprometidas con los licenciantes: 308,7 M (57,6 M a un año, 160,3 M a 1-5 años y 90,8 M a más de 5) y 22,7 M de mínimos de logística [1]: no son deuda, pero obligan aunque caigan las ventas. Provisiones de 4,3 M (sobre todo jubilaciones) [1]. Avance de regalías a Karl Lagerfeld en el activo (9,6 M de origen) [1]. Opción del dueño de Lanvin para recomprar las marcas de perfume el 1-jul-2027 (precio no publicado) [1].</w:t>
      </w:r>
    </w:p>
    <w:p>
      <w:pPr>
        <w:pStyle w:val="Heading1"/>
      </w:pPr>
      <w:r>
        <w:t xml:space="preserve">12. Asignación de capital</w:t>
      </w:r>
    </w:p>
    <w:p>
      <w:pPr>
        <w:pStyle w:val="Confianza"/>
        <w:spacing w:after="100"/>
      </w:pPr>
      <w:r>
        <w:t xml:space="preserve">Confianza: Media</w:t>
      </w:r>
    </w:p>
    <w:p>
      <w:pPr>
        <w:spacing w:after="100"/>
      </w:pPr>
      <w:r>
        <w:t xml:space="preserve">Dividendo de en torno al 65-70 % del beneficio desde 1998 (1,05 EUR por acción por 2025, 87,8 M pagados en mayo de 2026) más una ampliación gratuita casi cada año (1x10 de 2015 a 2025; 1x20 en julio de 2026) [1, 2]. Programa de recompra aprobado por la junta del 24-abr-2026 por hasta el 2,5 % del capital, que en la práctica se usa para el contrato de liquidez (autocartera de 153.090 acciones) [6]. La caja restante va a comprar marcas propias o derechos de licencia cuando aparecen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Lanvin (perfumes y maquillaje)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52 M en 2021 y 41 M en 2025, en descenso; el dueño de la moda tiene opción de recompra el 1-jul-2027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Rochas (perfumes y moda)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perfumes de 35-42 M al año desde 2021; la moda se cedió en licencia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Off-White en perfumes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lanzamiento propio previsto en 2027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Annick Goutal en perfumes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desde 2026; lanzamientos en 2027 [1].</w:t>
            </w:r>
          </w:p>
        </w:tc>
      </w:tr>
    </w:tbl>
    <w:p>
      <w:pPr>
        <w:spacing w:after="160" w:before="0"/>
      </w:pPr>
    </w:p>
    <w:p>
      <w:pPr>
        <w:spacing w:after="100"/>
      </w:pPr>
      <w:r>
        <w:t xml:space="preserve">La dirección ha creado valor con el capital: el ROIC se ha mantenido muy por encima del coste de capital con una inversión pequeña, y la mayor parte de la caja vuelve al accionista en dividendos (87,6 M en 2025). Las dos compras grandes de marcas propias son las que peor han ido: Lanvin pierde ventas desde 2021 y Rochas está estancada en torno a 40 M [1]. Las licencias, en cambio, han rendido mucho (Jimmy Choo de 131 a 228 M y Coach de 116 a 200 M entre 2021 y 2025) [1]. La matriz, Interparfums Inc., absorbió en dic-2025 el holding intermedio sin efecto en los minoritarios (dilución mínima)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Benacin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del grupo en 1982 y primer ejecutivo desde siempre; con Jean Madar controla el 43,4 % de la matriz Interparfums Inc., que tiene el 74 % de la francesa, así que su interés económico indirecto ronda el 16 % (estimación propia). Llevó las ventas de 367 M en 2020 a 899 M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Santi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delegado (finanzas)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auditor; responsable de finanzas y relación con inversores; consejero desde 2004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Madar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presidente y consejero delegado de Interparfums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dirige la matriz estadounidense, que compite por licencias en EE. UU. y consolida a la francesa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la parte alta del objetivo, en torno a 870 M (21-oct, con las ventas de nueve meses)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679,8 M (−2,9 %; −0,7 % a tipos constantes); 3T26: 265,5 M (+4,8 %). Para llegar a 870 M el 4T debe vender ≈190 M frente a 199 M del 4T25 (estimación propia)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 el 1S26 (23-jul)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21,1 % (con devolución de aranceles de EE. UU.)</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850-870 M y margen operativo de ≈18 % (23-jul y 9-sep)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414,3 M y 21,1 %; 9M26: 679,8 M; año pendiente (27-ene-2027)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cerca de 900 M (anunciadas como objetivo del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899,4 M (+4 % a tipos constantes)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fundador en el poder desde hace más de cuarenta años, muy estable y con un historial de guías prudentes que suele cumplir o superar: el margen del 1S26 batió su propia guía y, con un 3T26 de +4,8 % (Coach +25 %, Montblanc +13 %), Benacin apunta ya a la parte alta del objetivo, ≈870 M [1, 2, 18]. Aun así, la guía de ventas sigue por debajo de 2025 (899 M) y se ha mantenido prudente para el 4T por Oriente Medio y Europa del Este; la de 2027 llega el 19-nov; el comunicado salió el 21-oct a las 7:00, antes de la apertura [18, 19]. El riesgo es de sucesión y de doble lealtad: Benacin preside la francesa y es directivo de la matriz, y Madar dirige la matriz; no hay plan de sucesión público [1]. La remuneración en la francesa es moderada (0,96 M de Benacin en 2025)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Benacin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Madar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(CEO de Interparfums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Santi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Marie-Ange Verdickt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Constance Benqué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Bader Messian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Mauny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nombramientos y retribuciones,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Caroline Renoux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RSE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42,65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 (Nasdaq: IPAR; controlada por Benacin y Madar con el 43,4 %)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72,4 % a dic-2025 (tras absorber el holding) y ≈1,59 M de acciones compradas en bolsa en ago-sep-2026 (estimación propia: 63,66 M + 1,59 M sobre 87,98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franceses e IIC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153.090 acciones a 30-sep-2026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67.192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544.505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Benacin cobró 0,96 M en 2025 de la francesa (528.000 EUR fijos y 430.000 de variable anual) y Santi 0,99 M; no hay variable a largo plazo en acciones para ellos y el ratio con el salario medio es de 11 veces [1]. El variable anual depende de objetivos de ventas, resultado y criterios cualitativos y RSE fijados por el comité de retribuciones, formado solo por independientes [1]. La remuneración total de Benacin es mayor, porque también cobra de la matriz estadounidense, que la publica aparte [1]. En la junta del 24-abr-2026 la política de remuneración del PDG salió con un 93,9 % a favor y un 6,1 % en contra, y la remuneración de 2025 de Benacin con un 5,7 % en contra [20]; descontados los votos de la matriz (≈83,6 % de los derechos de voto), el </w:t>
      </w:r>
      <w:r>
        <w:rPr>
          <w:b/>
        </w:rPr>
        <w:t xml:space="preserve">voto en contra del capital libre presente ronda el 61 % y el 57 %</w:t>
      </w:r>
      <w:r>
        <w:t xml:space="preserve"> (estimación propia), es decir, la mayoría de los minoritarios votó en contra. La AFG había alertado de que la política permite acciones gratuitas con criterios de rendimiento poco detallados [21]. No hay indemnizaciones extraordinarias publicadas; en 2025 Santi cobró 75.000 EUR de prima excepcional [1].</w:t>
      </w:r>
    </w:p>
    <w:p>
      <w:pPr>
        <w:pStyle w:val="Heading2"/>
      </w:pPr>
      <w:r>
        <w:t xml:space="preserve">Operaciones vinculadas, estructura de control y defensas</w:t>
      </w:r>
    </w:p>
    <w:p>
      <w:pPr>
        <w:spacing w:after="100"/>
      </w:pPr>
      <w:r>
        <w:t xml:space="preserve">Interparfums Inc. tenía el 72,4 % del capital y el 83,6 % de los derechos de voto a dic-2025 (las acciones nominativas de más de tres años votan doble) y ha comprado en bolsa unos 1,59 M de acciones más (≈42,7 M EUR a 26,8 EUR de media) entre el 10-ago y el 16-sep-2026, hasta en torno al 74 % [1, 6, 16]; la BDIF no recoge compras nuevas entre el 17-sep y el 21-oct [16]. No hay pacto de accionistas [1]. El minoritario no tiene peso en la junta: depende de los cinco independientes y de la AMF, que en nov-2025 aceptó sin oferta de exclusión la fusión con el holding porque el control no cambiaba [17]. El conflicto de intereses es doble: (1) la matriz y la filial compiten por las licencias y la matriz decide a cuál va cada una (las estadounidenses van a IPAR y las europeas de lujo a la francesa); (2) las compras de la matriz en bolsa a 25-28 EUR acercan el umbral del 90 % de una retirada obligatoria a un precio que fijaría el controlador [1, 16].</w:t>
      </w:r>
    </w:p>
    <w:p>
      <w:pPr>
        <w:pStyle w:val="Heading2"/>
      </w:pPr>
      <w:r>
        <w:t xml:space="preserve">Señales de alerta</w:t>
      </w:r>
    </w:p>
    <w:p>
      <w:pPr>
        <w:pStyle w:val="ListParagraph"/>
        <w:numPr>
          <w:ilvl w:val="0"/>
          <w:numId w:val="2"/>
        </w:numPr>
        <w:spacing w:after="60"/>
      </w:pPr>
      <w:r>
        <w:t xml:space="preserve">Compras de la matriz en bolsa por ≈42,7 M EUR en ago-sep-2026 (≈1,8 % del capital): sostienen el precio y pueden preparar una oferta de exclusión a un precio fijado por el controlador; no hay declaraciones nuevas en la BDIF desde el 17-sep [16].</w:t>
      </w:r>
    </w:p>
    <w:p>
      <w:pPr>
        <w:pStyle w:val="ListParagraph"/>
        <w:numPr>
          <w:ilvl w:val="0"/>
          <w:numId w:val="2"/>
        </w:numPr>
        <w:spacing w:after="60"/>
      </w:pPr>
      <w:r>
        <w:t xml:space="preserve">La mayoría del capital libre presente en la junta de 2026 votó contra la política de remuneración del PDG (≈61 % en contra, estimación propia), aunque se aprobó con el voto de la matriz; la AFG la había señalado [20, 21].</w:t>
      </w:r>
    </w:p>
    <w:p>
      <w:pPr>
        <w:pStyle w:val="ListParagraph"/>
        <w:numPr>
          <w:ilvl w:val="0"/>
          <w:numId w:val="2"/>
        </w:numPr>
        <w:spacing w:after="60"/>
      </w:pPr>
      <w:r>
        <w:t xml:space="preserve">Presidente ejecutivo vinculado al accionista de control y sin consejero coordinador [1].</w:t>
      </w:r>
    </w:p>
    <w:p>
      <w:pPr>
        <w:pStyle w:val="ListParagraph"/>
        <w:numPr>
          <w:ilvl w:val="0"/>
          <w:numId w:val="2"/>
        </w:numPr>
        <w:spacing w:after="60"/>
      </w:pPr>
      <w:r>
        <w:t xml:space="preserve">Derechos de voto doble: el 72 % del capital da el 84 % del voto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tras las ventas del 3T26 publicadas el 21-oct antes de la apertura, la empresa «apunta a la parte alta» de su guía de ventas, «en torno a 870 M» (850-870 M desde el 23-jul, −3 % a tipos constantes), y se mantiene prudente con el 4T por Oriente Medio, Europa del Este y la estacionalidad de EE. UU. [7]. Llegar a 870 M exige un 4T de ≈190 M, un 4 % menos que los 199 M del 4T25 (estimación propia: 870 − 679,8 M de nueve meses frente a 899,4 − 700,4 M). El margen operativo de «alrededor del 18 %» se confirmó el 9-sep y el comunicado del 3T no lo toca [2, 7]. Las perspectivas de 2027 se publican el 19-nov-2026 y las ventas de 2026, el 27-ene-2027 [7]; para 2027-2028 anuncia unas 20 iniciativas de lanzamiento (Longchamp, Off-White, Annick Goutal, Montblanc, Lacoste y Lanvin), con «muy buena acogida» de los socios [2,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 del 21-oct; BPA = beneficio 112,4 M ÷ 87,83 M acciones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 beneficio 122,2 M ÷ 87,83 M acciones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 beneficio 134,3 M ÷ 87,83 M acciones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A 21-oct MarketScreener da un consenso de «sobreponderar» (Zonebourse: «acumular») con 9 analistas y un objetivo medio de 30,70 EUR (30,37 el 15-oct), un 11,8 % por debajo del cierre del 21-oct [23, 35]. Desde el 15-oct el consenso de 2026 bajó un poco: EBITDA de 179,2 a 177,8 M y beneficio de 114,8 a 112,4 M; ventas y 2027-2028 sin cambios, aún sin incorporar el 3T [23]. Según Invest Securities, citada por Zonebourse, el consenso esperaba ≈880 M de ventas en 2026 y ≈945 M en 2027, por encima de la parte alta de la guía [35]: el 3T sorprende en el trimestre, no en el año. Tras el 1S26 Oddo BHF pasó a «comprar» (28-ago) y TP ICAP Midcap subió su objetivo (31-ago) [27, 35]. El reparto de recomendaciones no es accesible gratis [23]. MarketScreener publica BPA de 1,327 y 1,437 EUR con otra base de acciones; aquí, beneficio ÷ 87,83 M.</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cayó un 57 % desde abril de 2023 hasta marzo de 2026 (de 46 a 20 EUR ajustados) con el fin del auge de los perfumes, la desaceleración de 2025 y el dólar; en 2025 perdió un 32 % frente al +10 % del CAC 40 [22]. Desde el mínimo de 20,74 EUR del 18-may-2026 ha subido un 68 % hasta 34,82 EUR, nuevo máximo de 52 semanas, en cuatro impulsos: el 1S26 mejor de lo esperado (+3 % el 9-sep), las compras de la matriz en bolsa (≈1,59 M de acciones en ago-sep), la rotación hacia consumo europeo barato y las ventas del 3T26 (+7,3 % el 21-oct) [7, 22, 27]. En el año sube un 45 % frente al −2,8 % del CAC 40 y el −9,4 % del sectorial europeo de cuidado personal [22]. Volatilidad del 32 % y beta mensual de 1,09 frente al CAC 40 (semanal de 2 años: 0,95)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 +32,4 % / +50,0 % / +22,3 %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+67,9 %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20,74 EUR del 18-may tras caer un 10 % en el mes anterior, sin hecho propio: la acción cotizaba a ≈16 veces el beneficio, mínimo de su historia reciente, y rotó con el consumo europeo barato [22,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(−7 %) y rebaja de la guía de 2026 a 850-870 M (−3 % a tipos constantes) por Oriente Medio, Europa del Este y el dólar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21-sep a 21-oct-2026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continua tras el 1S26 (Oddo BHF a «comprar» el 28-ago, TP ICAP sube objetivo el 31-ago, compras de la matriz en ago-sep) y +7,3 % el 21-oct con las ventas del 3T26 (+4,8 %) y la guía en la parte alta [7, 27,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265,5 M (+4,8 %; +4,6 % a tipos constantes), nueve meses de 679,8 M (−2,9 %); Coach +25 % y Montblanc +13 % en el trimestre, Asia +32 %, Europa del Este −31 % y Oriente Medio −32 %; Lanvin −19 % con problemas de suministro de componentes. La empresa apunta a la parte alta de la guía (≈870 M) y se declara prudente con el 4T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9 analistas («sobreponderar») tiene un objetivo medio de 30,70 EUR, un 12 % por debajo del cierre; las estimaciones aún no recogen el 3T. Último cambio publicado: Oddo BHF a «comprar» (28-ago) y TP ICAP Midcap sube su objetivo (31-ago) [23,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declaración de directivos en la AMF el 17-sep; la matriz Inter Parfums Inc. (≈74 %) compró ≈1,59 M de acciones en bolsa en ago-sep. Ninguna declaración nueva entre el 15 y el 21-oct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de las perspectivas de 2027 antes de la apertura: primer objetivo de ventas y margen tras el plan de unas 20 iniciativas de lanzamiento; puede mover la acción más de un 5 % en cualquier dirección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de 52 semanas tras subir un 68 % desde mayo, con tendencia alcista (34,82 EUR frente a 29,0 de media de 50 sesiones y 24,9 de 200). El movimiento tiene causa propia: un 1S26 con margen mejor de lo esperado, la matriz comprando y un 3T26 que vuelve a crecer (+4,8 %) [7]. Pero la guía del año no sube (parte alta de 850-870 M implica un 4T de −4 %) y el consenso, que esperaba ≈880 M, todavía no se ha movido [23, 35]. El hecho pendiente es el 19-nov: las perspectivas de 2027 son el dato que sostiene el múltiplo actual. Movimiento.mjs devolvió una toma intradía (33,10 EUR); las cifras son del cierre de Yahoo [22].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Interparfums cotizó entre 25 y 40 veces el beneficio en 2020-2024: el mercado pagaba un crecimiento de ventas del 20 % anual y un margen estable [22]. Al cierre del 21-oct (34,82 EUR), a ≈24 veces nuestro BPA de 2027 y ≈27 veces el de 2026, está ya cerca de su mediana adelantada de cinco años (26,8 veces): la subida de 2026, con el +7 % del día de las ventas del 3T, ha cerrado casi todo el descuento que tenía en mayo (16 veces). El múltiplo vuelve a descontar crecimiento sin que la guía de 2026 haya subido. 2020 (covid) y 2021 (auge y BPA deprimido del año anterior) se excluyen del PER al cierre.</w:t>
      </w:r>
    </w:p>
    <w:p>
      <w:pPr>
        <w:pStyle w:val="Heading1"/>
      </w:pPr>
      <w:r>
        <w:t xml:space="preserve">18. Comparables cotizados</w:t>
      </w:r>
    </w:p>
    <w:p>
      <w:pPr>
        <w:pStyle w:val="Confianza"/>
        <w:spacing w:after="100"/>
      </w:pPr>
      <w:r>
        <w:t xml:space="preserve">Confianza: Media</w:t>
      </w:r>
    </w:p>
    <w:p>
      <w:pPr>
        <w:spacing w:after="100"/>
      </w:pPr>
      <w:r>
        <w:t xml:space="preserve">Siete cotizadas de belleza de gama alta con perfumes: Puig y Coty (perfumes con licencias de moda, el modelo más parecido), Inter Parfums Inc. (la matriz, que consolida a la francesa: comparable natural pero circular), L’Oréal y Estée Lauder (los líderes del lujo), Shiseido (prestigio en Asia) y Beiersdorf (cuidado de la piel, como referencia de consumo europeo). Fuera e.l.f. Beauty (maquillaje de masas) y LVMH (los perfumes pesan menos del 10 %). Las cifras del 14-oct (L’Oréal, Estée Lauder, Beiersdorf) y del 9-oct (Coty, Inter Parfums Inc., Shiseido, Puig; MarketScreener) se llevan al 21-oct con el precio: cierre del 21-oct en París, Fráncfort, Madrid y Tokio, y del 20-oct en Nueva York (la sesión del 21 seguía abierta), con el euro del BCE del 21-oct; el PER y la rentabilidad por FCF, con la variación del precio, y los múltiplos de valor empresa, con la deuda neta constante [14, 22, 24, 36]. Las estimaciones no se han movido en una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Parfums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11,5x / 14,7x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12,0x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 / 27,0x / 28,8x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2,4x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10,1 + 0,71 × crecimiento; R² = 0,63. Para el crecimiento esperado de la empresa (5,3 %), el múltiplo ajustado es 13,9x y el valor por acción, 29,78.</w:t>
      </w:r>
    </w:p>
    <w:p>
      <w:pPr>
        <w:spacing w:after="100"/>
      </w:pPr>
      <w:r>
        <w:t xml:space="preserve">Interparfums cotiza a ≈25 veces el beneficio de los próximos 12 meses del consenso y a ≈24 veces el nuestro, por debajo de la mediana del grupo (27 veces) y muy por encima de Puig (16,9 veces), con un margen EBITDA del 21-23 % (mediana del grupo ≈17 %), deuda nula y un ROIC del 19 %, frente a un crecimiento esperado del 9 % en 2027 que el consenso aún no ve en 2026 [23]. Su descuento frente a L’Oréal y Estée Lauder se justifica por tamaño, dependencia de licencias y control de la matriz; su prima frente a Puig, por margen y balance. La matriz Inter Parfums Inc., que consolida a la francesa, está a 23 veces: la filial ya cotiza con prima sobre su dueña. El múltiplo de referencia es el PER: el EV/EBITDA de Coty y Shiseido refleja su deuda y sus márgenes deprimidos.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efectivo; sin ventas ni EBITDA publicados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3,8 veces las ventas de 12 meses a mar-2025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la prensa; marca de nicho con márgenes muy altos: múltiplo atípico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sobre 537 M USD de ventas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USD de valor empresa; sin ventas ni EBITDA del conjunto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de 1.244 M sobre 163 M de ventas pro forma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4.300 M USD, 12,3 veces el EBITDA de 2019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32,63 – 53,53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marcas de belleza se han pagado a 3,7-7,6 veces las ventas (Creed, 14 veces, fuera), muy por encima de las ≈3,5 veces a las que cotiza Interparfums; pero son marcas propias, no licencias que vencen. Para Interparfums la operación relevante es otra: una oferta de exclusión de la matriz, que ya tiene el 74 % y ha comprado en bolsa en ago-sep-2026. Una oferta así suele llevar prima, pero el precio lo fija el controlador y la experiencia francesa es de primas moderadas; no la ponderamos.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cerrado con la guía, que el 21-oct apunta al alto de la horquilla de 850-870 M: ≈870 M, −3,4 % [7]. Los nueve meses suman 679,8 M (−2,9 %; −0,7 % a tipos constantes) y el 3T vendió 265,5 M (+4,8 %), con Coach +25 % y Montblanc +13 % [7]; llegar a 870 M supone un 4T de ≈190 M, un 4 % menos que en 2025 [7]. 2027e +6,0 %: unas 20 iniciativas de lanzamiento (Longchamp, Off-White, Annick Goutal, tercera franquicia de Montblanc, Lacoste) frente a la salida de Moncler, que vence en dic-2026 sin renovación publicada [3, 13]; el consenso pide más y nos quedamos por debajo hasta las perspectivas del 19-nov [23]. Después, bajada gradual del 5 % al 3 % en 2032e.</w:t>
      </w:r>
    </w:p>
    <w:p>
      <w:pPr>
        <w:keepNext/>
        <w:spacing w:after="100"/>
      </w:pPr>
      <w:r>
        <w:rPr>
          <w:b/>
          <w:bCs/>
        </w:rPr>
        <w:t xml:space="preserve">Márgenes.</w:t>
      </w:r>
    </w:p>
    <w:p>
      <w:pPr>
        <w:spacing w:after="100"/>
      </w:pPr>
      <w:r>
        <w:t xml:space="preserve">Margen EBITDA del 21,0 % en 2026e (operativo ≈18 % según la guía, con el gasto de lanzamientos de 2027) [2]. Sube al 21,6 % en 2027e y al 22,5 % en 2030e: por debajo de lo que logró en 2023-2025 (22,8-23,5 %), porque los lanzamientos piden publicidad de entrada y porque 2023-2025 fue el punto alto del ciclo del perfume [1]. Las regalías (8,4 % de las ventas) y la publicidad (21 %) son variables y protegen el margen en las caídas, como en el 1S26 [2].</w:t>
      </w:r>
    </w:p>
    <w:p>
      <w:pPr>
        <w:keepNext/>
        <w:spacing w:after="100"/>
      </w:pPr>
      <w:r>
        <w:rPr>
          <w:b/>
          <w:bCs/>
        </w:rPr>
        <w:t xml:space="preserve">Inversión y circulante.</w:t>
      </w:r>
    </w:p>
    <w:p>
      <w:pPr>
        <w:spacing w:after="100"/>
      </w:pPr>
      <w:r>
        <w:t xml:space="preserve">Amortización del 2,8 % de las ventas (2,5-3,4 % en 2023-2025) [1]. Capex del 2,5 % en 2026e (solo 2,4 M en el 1S26) y del 3,0-3,5 % después, que incluye derechos de licencia y compras de marcas pequeñas como Off-White o Annick Goutal [1, 2]. Circulante del 30 % de las ventas, el nivel de 2025 tras bajar existencias (24 % en 2020, 34 % en 2024) [1].</w:t>
      </w:r>
    </w:p>
    <w:p>
      <w:pPr>
        <w:keepNext/>
        <w:spacing w:after="100"/>
      </w:pPr>
      <w:r>
        <w:rPr>
          <w:b/>
          <w:bCs/>
        </w:rPr>
        <w:t xml:space="preserve">Coste del capital.</w:t>
      </w:r>
    </w:p>
    <w:p>
      <w:pPr>
        <w:spacing w:after="100"/>
      </w:pPr>
      <w:r>
        <w:t xml:space="preserve">Tasa libre del 3,47 % (Bund a 10 años, 21-oct-2026; D lee un 3,44 % en otra serie y usamos el mismo dato que en los demás informes de hoy) [25]. Beta 1,0: la mensual de 5 años frente al CAC 40 es 1,09 y la semanal de 2 años 0,94 [22]. Prima de mercado del 5,5 % y 0,5 puntos adicionales por tamaño y por el control de la matriz (el minoritario no decide la asignación de licencias). Coste de la deuda del 3,5 % antes de impuestos y peso del 4 % (deuda neta casi nula). WACC del 9,20 %; con la prima implícita del mercado (4,20 %) sería del 7,95 %.</w:t>
      </w:r>
    </w:p>
    <w:p>
      <w:pPr>
        <w:keepNext/>
        <w:spacing w:after="100"/>
      </w:pPr>
      <w:r>
        <w:rPr>
          <w:b/>
          <w:bCs/>
        </w:rPr>
        <w:t xml:space="preserve">Valor terminal.</w:t>
      </w:r>
    </w:p>
    <w:p>
      <w:pPr>
        <w:spacing w:after="100"/>
      </w:pPr>
      <w:r>
        <w:t xml:space="preserve">Gordon con un crecimiento del 2,0 %, la inflación esperada del euro sin crecimiento real: el negocio depende de licencias que hay que renovar cada 5-15 años y de lanzamientos que caducan, así que no le damos un crecimiento real perpetuo. El valor terminal pesa el 67 % del DCF. El múltiplo de salida implícito (unas 11-12 veces el EBITDA) queda por debajo de las 15,6 veces a las que cotiza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(reinvierte el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(histórico: 31,2 %)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frente al 3,2 %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(hoy: 3,2 %)</w:t>
            </w:r>
          </w:p>
        </w:tc>
      </w:tr>
    </w:tbl>
    <w:p>
      <w:pPr>
        <w:spacing w:after="160" w:before="0"/>
      </w:pPr>
    </w:p>
    <w:p>
      <w:pPr>
        <w:spacing w:after="100"/>
      </w:pPr>
      <w:r>
        <w:t xml:space="preserve">La proyección apenas necesita inversión neta de la amortización (reinversión acumulada de 94 M, el 9 % del NOPAT, con un capex bruto medio del 3,1 % de las ventas). En un negocio de activos ligeros, el crecimiento medio del 3,2 % tiene que salir de subir precios y de ganar volumen sin capital nuevo, y la prueba es el poder de precios y la cuota (2,9 % del mercado en 2030e, frente al 3,2 %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≈870 M, el alto de la horquilla; nueve meses a −0,7 % a tipos constantes y −2,9 % en euros (dólar medio de 1,16 frente a 1,12); otros −4,4 incluye divisa y la caída de Oriente Medio (−32 %) y Europa del Este (−24 %)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lanzamientos (Longchamp, Off-White, Annick Goutal, Montblanc) menos Moncler; precio en línea con el sector (2 %)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año de los lanzamientos; Lacoste y Lanvin con novedades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y precio; sin licencias nuevas supuestas.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Montblanc vence en dic-2030 y se supone renovada en el base [1].</w:t>
            </w:r>
          </w:p>
        </w:tc>
      </w:tr>
    </w:tbl>
    <w:p>
      <w:pPr>
        <w:spacing w:after="160" w:before="0"/>
      </w:pPr>
    </w:p>
    <w:p>
      <w:pPr>
        <w:spacing w:after="100"/>
      </w:pPr>
      <w:r>
        <w:t xml:space="preserve">Las pruebas del motor pasan: con la reinversión bruta, el ROIC del 20 % financia un 5,6 % de crecimiento frente al 3,1 % proyectado, y la cuota baja del 3,2 % al 2,9 % en 2030e. Lo que no está garantizado es la materia prima del crecimiento: Interparfums no es dueña del 77 % de sus ventas. Moncler vence en dic-2026 sin renovación publicada, el dueño de Lanvin puede recomprar sus perfumes en jul-2027, y Montblanc (21,5 %), Coach (22 %) y Jimmy Choo (25 %) vencen en 2030-2031, con Capri en venta [1, 12]. El historial de renovaciones es bueno, pero el margen de 2023-2025 es el de un ciclo alto del perfume. Por eso «En parte»: la calidad sostiene el crecimiento modesto del base solo si renueva las tres grandes.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9,2 %)</w:t>
            </w:r>
          </w:p>
        </w:tc>
      </w:tr>
    </w:tbl>
    <w:p>
      <w:pPr>
        <w:spacing w:after="160" w:before="0"/>
      </w:pPr>
    </w:p>
    <w:p>
      <w:pPr>
        <w:spacing w:after="100"/>
      </w:pPr>
      <w:r>
        <w:t xml:space="preserve">El DCF da 21,29 EUR por acción, un 38,9 % bajo el precio de 34,82, con un WACC del 9,20 % y un valor terminal que pesa el 67 %. Con la prima implícita del mercado (WACC del 7,95 %) subiría a 25,81, todavía un 26 % por debajo. El DCF inverso dice que el precio descuenta un crecimiento anual de las ventas del 23,9 % en 2027e-2032e con nuestros márgenes, o un margen EBITDA del 34 % con nuestro crecimiento, frente al 4,3 % y el 22,5 % del caso base; la rentabilidad implícita es del 6,4 %, por debajo del WACC. Tras subir un 8,5 % desde el 14-oct, el precio pide aún más que hace una semana. Interparfums siempre ha cotizado por encima de su DCF (PER de 25-40 veces en 2020-2024): el mercado paga su historial de renovaciones y la opción de una oferta de la matriz, que el DCF no recoge.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perfume sigue frenándose en 2027 (como en 2026, −3 %), los lanzamientos no compensan Moncler ni Lanvin, el margen vuelve al 19-20 % de EBITDA y en 2031 Interparfums pierde una de las tres grandes licencias (como perdió Burberry en 2012): ventas −18 % ese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moderada con los lanzamientos de 2027-2028 (+5-6 %), renovación de Montblanc, Coach y Jimmy Choo en 2030-2031 y margen EBITDA que vuelve al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lanzamientos de 2027-2028 funcionan como I Want Choo en 2021-2024, EE. UU. sigue creciendo al 8-10 % y el margen sube al 23,5 %; crecimiento del 7-8 % durante tres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20,35 EUR (-41,6 %).</w:t>
      </w:r>
    </w:p>
    <w:p>
      <w:pPr>
        <w:spacing w:after="100"/>
      </w:pPr>
      <w:r>
        <w:t xml:space="preserve">La asimetría es desfavorable al precio de hoy: incluso el alcista (23,81 EUR) queda un 31,6 % por debajo, y el bajista (14,99) pierde un 57,0 %, con un valor ponderado de 20,35. El bajista no es cosmético: ya le pasó a la empresa con Burberry en 2012 y le está pasando a Lanvin (−24 % en nueve meses). El DCF no paga lo que el mercado sí paga: una oferta de la matriz o un PER de 25-30 veces. Por eso el objetivo a 12 meses, que sale del múltiplo, es mucho mayor que el valor intrínseco.</w:t>
      </w:r>
    </w:p>
    <w:p>
      <w:pPr>
        <w:pStyle w:val="Heading1"/>
      </w:pPr>
      <w:r>
        <w:t xml:space="preserve">22. Suma de partes</w:t>
      </w:r>
    </w:p>
    <w:p>
      <w:pPr>
        <w:pStyle w:val="Confianza"/>
        <w:spacing w:after="100"/>
      </w:pPr>
      <w:r>
        <w:t xml:space="preserve">Confianza: Media</w:t>
      </w:r>
    </w:p>
    <w:p>
      <w:pPr>
        <w:spacing w:after="100"/>
      </w:pPr>
      <w:r>
        <w:t xml:space="preserve">No aplica: un solo negocio (perfumes de prestigio) con las mismas funciones de marketing, compras y distribución para todas las marcas; las ventas por marca no llevan resultado.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23,86 EUR (-31,5 % sobre 34,82).</w:t>
      </w:r>
    </w:p>
    <w:p>
      <w:pPr>
        <w:spacing w:after="100"/>
      </w:pPr>
      <w:r>
        <w:t xml:space="preserve">Pesos: DCF 40 %, comparables 30 % y escenarios 30 %; transacciones 0 % porque son compras de marcas propias, no de licencias que vencen, y una oferta de la matriz no es una venta a un tercero. El DCF es el método más fiable para un negocio sin deuda y con flujos estables, pero castiga a una empresa que el mercado siempre ha pagado cara. Los comparables dan cifras muy dispersas: 24,64 EUR por EV/EBITDA y 36,97 por PER, porque varios comparables tienen el beneficio deprimido. La síntesis da 23,86 EUR, un 31,5 % bajo el precio; con la prima implícita del mercado, 26,94. Todos los métodos salvo el PER de los comparables y las transacciones quedan por debajo de 34,82.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(23.9x) a mitad de camino hacia la mediana de 5 años (26.8x)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bl>
    <w:p>
      <w:pPr>
        <w:spacing w:after="160" w:before="0"/>
      </w:pPr>
    </w:p>
    <w:p>
      <w:pPr>
        <w:spacing w:after="100"/>
      </w:pPr>
      <w:r>
        <w:rPr>
          <w:b/>
          <w:bCs/>
        </w:rPr>
        <w:t xml:space="preserve">Objetivo a 12 meses (ponderado):</w:t>
      </w:r>
      <w:r>
        <w:t xml:space="preserve"> 37,78 EUR · rentabilidad +11,4 % (base +17,2 %) · señal Mantener.</w:t>
      </w:r>
    </w:p>
    <w:p>
      <w:pPr>
        <w:spacing w:after="100"/>
      </w:pPr>
      <w:r>
        <w:t xml:space="preserve">Para comparar, con la regla v2 (historia al cierre, mismo precio): 16,7x / 23,9x / 27,0x, 6,3 %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(1,33) queda algo por encima del consenso (1,28, que ya baja tras el 3T) por la guía de ≈870 M; en 2027e-2028e (1,458 y 1,574) estamos un 3-5 % por encima de un consenso (1,391 y 1,529) que aún no recoge el 3T [23]. La diferencia grande está en el múltiplo: nuestro precio base a 12 meses (39,82) queda un 30 % por encima del objetivo medio de los analistas (30,70), porque la regla lleva el PER de 23,9x a 25,3x, hacia la mediana histórica de 26,8x, y los analistas no han subido sus objetivos tras la subida del 41 % en tres meses. No ajustamos la cifra al consenso.</w:t>
      </w:r>
    </w:p>
    <w:p>
      <w:pPr>
        <w:keepNext/>
        <w:spacing w:after="100"/>
      </w:pPr>
      <w:r>
        <w:rPr>
          <w:b/>
          <w:bCs/>
        </w:rPr>
        <w:t xml:space="preserve">Del valor intrínseco al objetivo a 12 meses.</w:t>
      </w:r>
    </w:p>
    <w:p>
      <w:pPr>
        <w:spacing w:after="100"/>
      </w:pPr>
      <w:r>
        <w:t xml:space="preserve">El objetivo a 12 meses (37,78 EUR, +11,4 % con dividendo; base +17,3 %) queda un 58 % por encima del valor intrínseco (23,86 EUR). La distancia es de múltiplo: la regla supone que el mercado seguirá pagando por Interparfums algo más de lo que paga hoy (25,3 veces frente a 23,9), como pagó en 2020-2024, mientras que el DCF, con un WACC del 9,2 % y el crecimiento de un mercado maduro, solo justifica unas 15 veces el beneficio. Con el BPA un 10 % más bajo la rentabilidad a 12 meses cae al 0,6 %. La tesis de valor no se cumple a este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ventas y margen para el año de los lanzamientos; el consenso espera +9 %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la licencia de Moncler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salida de una marca pequeña (dentro de «otras»); señal de la capacidad de renovar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 matriz en bolsa y posible oferta de exclusión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tiene ≈74 %; una oferta llevaría prima, pero a un precio que fija el controlador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recompra de las marcas de perfume de Lanvin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41 M de ventas (4,6 %) a cambio de un precio no publicado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lanzamientos de Longchamp, Off-White y Annick Goutal; tercera franquicia de Montblanc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+6 % de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Capri Holdings (Jimmy Choo)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comprador con perfumes propios podría no renovar en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renovación peor de una licencia grande (Jimmy Choo 25 %, Coach 22 %, Montblanc 21,5 %; vencen en 2030-2031)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−53,8 % frente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renovaciones (Coach, Montblanc, Van Cleef &amp; Arpels, Boucheron); licencias nuevas (Lacoste hasta 2038, Longchamp hasta 2036)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 o comunicado sobre la venta de Capri (Jimmy Choo) y el comprador; ausencia de renovación de Montblanc antes de 2029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ciclo del perfume se enfría más (márgenes de 2023-2025 de ciclo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variables (publicidad y regalías) que protegen el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tipos constantes negativas en el 3T26 y guía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intereses con la matriz y oferta de exclusión a precio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limita la subida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independientes, experto independiente obligatorio y control de la AMF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la matriz por encima del 80 %; anuncio de oferta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ventas en dólares y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caída del dólar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3-9 meses; filial de EE. UU. con costes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(38,6 % de las ventas en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(7,6 M de coste anual como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producción parcial en EE. UU.; devolución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cosméticos europeos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en Oriente Medio y Europa del Este (14,6 %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independientes; exposición rusa del 3,4 %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esas zonas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de Lanvin en jul-2027 y declive de las marcas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recompra (no publicado) y lanzamientos de Lanvin en 2026-2027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del dueño de Lanvin antes de jul-2027</w:t>
            </w:r>
          </w:p>
        </w:tc>
      </w:tr>
    </w:tbl>
    <w:p>
      <w:pPr>
        <w:spacing w:after="160" w:before="0"/>
      </w:pPr>
    </w:p>
    <w:p>
      <w:pPr>
        <w:pStyle w:val="Heading2"/>
      </w:pPr>
      <w:r>
        <w:t xml:space="preserve">Pre-mortem</w:t>
      </w:r>
    </w:p>
    <w:p>
      <w:pPr>
        <w:spacing w:after="100"/>
      </w:pPr>
      <w:r>
        <w:t xml:space="preserve">Octubre de 2029: la acción vale 19 EUR, un 40 % menos. En 2027 los lanzamientos funcionaron a medias: Longchamp y Off-White vendieron menos de lo prometido, Moncler se fue a otro licenciatario y el dueño de Lanvin ejerció su opción, así que las ventas apenas crecieron un 2 %. El perfume, tras el auge de 2021-2024, entró en una fase de volumen plano y precios de promoción; el margen operativo se quedó en el 17-18 % por el gasto en lanzamientos. En 2028 Capri vendió Jimmy Choo a un grupo de lujo con división de belleza propia, que anunció que no renovaría la licencia en 2031. El mercado dejó de pagar 22-24 veces el beneficio y lo bajó a 15-16, como a Puig. La matriz aprovechó para lanzar una oferta de exclusión a 22 EUR, con una prima pequeña sobre un precio ya hundido. Las señales que lo habrían anticipado: ventas a tipos constantes negativas en el 3T26, una guía de 2027 por debajo del +5 %, la falta de noticias de Moncler en dic-2026 y la identidad del comprador de Capri.</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La IA no sustituye el producto: un perfume de marca es un objeto físico de regalo y de estatus, y su valor está en la marca del licenciante, no en una información que una máquina pueda dar gratis. Toca dos partes del negocio. En costes, la publicidad (21 % de las ventas) y el desarrollo (12-18 meses por producto) pueden abaratarse con contenidos y pruebas de concepto generados por IA, y las casas de fragancias (Givaudan, dsm-firmenich) ya formulan con IA, lo que es oportunidad. En ingresos, la IA rebaja la barrera de entrada a marcas independientes y «dupes» que copian olores y venden por redes, y cambia el descubrimiento del perfume hacia recomendadores que pueden favorecer al más barato. Señal a vigilar: cuota de las marcas nativas digitales y de los «dupes» en EE. UU. (Circana) y el gasto en publicidad sobre ventas de Interparfums.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t xml:space="preserve">Los asuntos con efecto en las cifras son los envases (vidrio y cartón, la mayor parte de las emisiones de alcance 3; objetivos validados por SBTi en agosto de 2025) y la cadena de suministro subcontratada, que la empresa audita con su «cuaderno de ecodiseño» [1]. El reglamento europeo de envases obliga a rediseñar frascos y estuches, con coste en el margen bruto en los próximos años [1].</w:t>
      </w:r>
    </w:p>
    <w:p>
      <w:pPr>
        <w:pStyle w:val="Heading2"/>
      </w:pPr>
      <w:r>
        <w:t xml:space="preserve">Controversias</w:t>
      </w:r>
    </w:p>
    <w:p>
      <w:pPr>
        <w:spacing w:after="100"/>
      </w:pPr>
      <w:r>
        <w:t xml:space="preserve">Ninguna relevante en los tres últimos años en el documento de registro (sin litigios ni sanciones significativas) [1]. Mantiene una actividad mínima en Rusia mediante un agente independiente, el 3,4 % de las ventas, dentro de las sanciones europeas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están las renovaciones de Montblanc (dic-2030) y Jimmy Choo (dic-2031)? ¿Hay cláusula de cambio de control si Capri vende Jimmy Choo?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licencias son el 69 % de las ventas; perder una es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renueva la licencia de Moncler, que vence en dic-2026? ¿Cuánto vende?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en «otras marcas» sin cifra; es la prueba más próxima de la capacidad de renovar.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las compras de Interparfums Inc. en bolsa en ago-sep-2026? ¿Contempla una oferta de exclusión?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oferta a precio bajo es el mayor riesgo para el minoritario; con prima, el mayor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tiene la opción de recompra de las marcas de perfume de Lanvin del 1-jul-2027?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precio es bajo, se pierde el 4,6 % de las ventas sin compensación.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espera en 2027, con los lanzamientos? ¿Vuelve al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≈18 % para 2026 implica un 2S26 en torno al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decide el grupo si una licencia nueva va a la matriz o a la francesa?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conflicto de intereses central del minoritario de la francesa.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Interparfums: hilos de las ventas del 3T26 («Chiffre d'affaires 3ème trimestre 2026», «Jolie hausse du jour», «Sortie du SBF 120») y «et maintenant ? piano… piano vers 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del 20-21 oct celebran el 3T («ça tient la route», «bravo Interparfums») y algunos ya hablan de 36-40 EUR; uno recoge la prudencia de la empresa sobre el 4T y otro vendió un tercio de la posición en la subida. Una sola pregunta, sin respuesta, sobre la salida del SBF 120 [39, 40,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objetivos de precio («Nous visons 32 euros court terme», «quel objectif pour 2026 ?», «Vers les 35 heureux ?», «Objectif 2027»)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celebran la recuperación desde el desplome del 23-jul y discuten objetivos de 30-35 EUR; pocos mensajes bajistas («direction 20 €»)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sobre la matriz y una posible oferta de exclusión («achat de la maison mère», «si OPR quelle valorisation ?»)</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de Interparfums Inc. en bolsa alimentan la idea de una oferta de exclusión; unos esperan prima y otros temen un precio bajo impuesto por el controlador. En octubre el tema casi desaparece de la conversación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resultados, aranceles y acciones gratuitas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la caída de ventas del 1S26 frente al margen del 21 %, la esperanza de recuperar el resto de los aranceles de EE. UU. y la utilidad real de las acciones gratuitas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del 21-oct (ABC Bourse; BFM Bourse con Zonebourse) y comentarios de mercado de jul-oct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prensa presenta el 3T como la vuelta al crecimiento y subraya que la empresa apunta al alto del rango sin subirlo; ningún análisis de bróker citado tras la cifra. Antes, Kepler Cheuvreux pasó a comprar (2-oct) y el 1S26 «recuperó el favor del mercado». El foro de lectores de BFM Bourse está suspendido [27, 38, 43, 44,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al crecimiento en el 3T26 y guía «al alto del rango»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del 3T crecieron un 4,8 % (4,6 % a tipos constantes) por Coach y Montblanc, y los nueve meses siguen un 2,9 % abajo; la empresa apunta a ≈870 M, el techo del rango de 850-870 M, sin subirlo, y se declara prudente con el 4T (Oriente Medio, Europa del Este y estacionalidad de EE. UU.) [43, 44]. Según Invest Securities, el consenso esperaba ya 880 M para 2026: la cifra confirma más que sorprende, y la subida del 7 % del 21-oct descuenta parte del plan de 2027 que se presenta el 19-nov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de 35-40 EUR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34,82 EUR la acción ya supera el objetivo medio de los analistas (31,94 EUR en Bloomberg el 2-oct, con 7 positivos, 4 neutrales y 1 negativo de 12); solo Kepler Cheuvreux, con 36 EUR, queda por encima [45]. Los foros van por delante del consenso profesional; el informe del 15-oct daba un caso base de ≈38 EUR a 12 meses, con un valor intrínseco por debajo del precio [37, 39, 40].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exclusión de la matriz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posible pero no anunciada: la matriz tiene ≈74 % y necesita el 90 % para una retirada obligatoria; el precio lo fijaría el controlador con un experto independiente. Pierde peso en la conversación de octubre, centrada en el 3T. No la ponderamos en el objetivo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SBF 120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la sacó del SBF 120 y del CAC Mid 60 en la revisión anual del 10-sep, con efecto desde el 21-sep-2026 [46]. El foro apenas lo ha notado (una pregunta sin respuesta el 21-oct) [41]: la venta de los fondos indexados ya se hizo hace un mes y la acción ha subido desde entonces, pero menos índices y un capital flotante de ≈26 % significan menos liquidez, un motivo real del descuento que los foros no ven.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del 2S26 y cuarto trimestre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comunicado del 3T es solo de ventas: la guía de margen de «alrededor del 18 %» (confirmada el 9-sep) implica un 2S26 cerca del 15 % tras el 21 % del 1S26. Los foros miran el 21 % y el 3T, no el año; la propia empresa avisa de prudencia en el 4T [37, 44].</w:t>
            </w:r>
          </w:p>
        </w:tc>
      </w:tr>
    </w:tbl>
    <w:p>
      <w:pPr>
        <w:spacing w:after="160" w:before="0"/>
      </w:pPr>
    </w:p>
    <w:p>
      <w:pPr>
        <w:spacing w:after="100"/>
      </w:pPr>
      <w:r>
        <w:t xml:space="preserve">El sentimiento de los particulares es positivo y ha mejorado con el 3T: la acción está ya muy por encima de su nivel previo al desplome del 23-jul y los foros hablan ya de 36-40 EUR. No hay euforia, pero los particulares van por delante de los analistas, cuyo objetivo medio queda por debajo del precio. Las ventas confirman la guía más que la mejoran, y la empresa avisa de un 4T prudente: buena parte de la subida del 21-oct descuenta el plan de 2027 que se presenta el 19-nov, que es el catalizador real. La conversación ignora dos riesgos que el informe sí recoge: el margen menor del 2S26 y la menor liquidez tras salir del SBF 120. La idea de una oferta de la matriz pesa menos que en septiembre.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46 (20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2,9 % en 2030e frente al 3,2 %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29,9 %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24,64 y PER 36,97 por acción: si la empresa amortiza mucho más que sus comparables (licencias, intangibles adquiridos) el EBITDA la favorece; usa EV/EBIT o EV/(EBITDA − capex) y explícalo. Explicación: La diferencia no es de amortizaciones (Interparfums amortiza el 2,8 % de las ventas): varios comparables (Coty, Shiseido, Estée Lauder) tienen el beneficio deprimido, lo que infla su PER, y deuda alta, lo que abarata su EV/EBITDA. Por eso los comparables pesan solo un 30 % y el texto usa el PER con cautela.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honorarios de auditores (sin fecha de primer nombramiento); 2) informe de los auditores del URD (sin antigüedad); 3) búsqueda de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semestrales (solo resultado operativo); 2) flujos semestrales (amortizaciones con provisiones); 3) MarketScreener (sin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cuota propia); 2) L’Oréal URD 2025 (belleza, no perfume); 3) folleto de Puig (cuotas por marca, no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(ninguna declarada por encima del 0,5 %); 2) Boursorama (sin dato); 3) MarketScreener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por tipo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media «sobreponderar»); 2) Zonebourse (Oddo BHF y TP ICAP, sin el resto); 3) Investing.com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(rapport financier annuel; comptes consolidés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SA / AMF (D.26-0188)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https://bdif.amf-france.org/back/api/v1/documents/2026/D.26-0188/7C7EC956EFAB4270106AAC85431843C230E2AFD6926C0576B77E29068CCAC916.zip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H1 2026 results: operating margin 21.1 %, net margin 15.8 % (cuenta, balance y flujos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https://echanges.dila.gouv.fr/OPENDATA/AMF/ECO/2026/09/FCECO083141_20260909.pdf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sales: €414m at current exchange rates (−7.3 %) (ventas por marca y zona; previsión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https://echanges.dila.gouv.fr/OPENDATA/AMF/ECO/2026/07/FCECO082676_20260723.pdf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Comptes consolidés ESEF 2020-2025 (informes anuales en XBRL: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https://filings.xbrl.org/969500SARWF33OPQED48/2025-12-31/ESEF/FR/0/itp-2025-12-31-1-fr/reports/itp-2025-12-31-1-fr.xhtml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sales: €229.5m at constant exchange rates, €215.5m at current exchange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https://echanges.dila.gouv.fr/OPENDATA/AMF/ECO/2026/04/FCECO081678_20260422.pdf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mensuelle du nombre total de droits de vote et du nombre d’actions au 30 septembre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https://echanges.dila.gouv.fr/OPENDATA/AMF/ECO/2026/10/FCECO083381_20261007.pdf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sales: €265.5m (+4.8%) (ventas del 3T y de 9M26 por marca y zona; previsión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https://echanges.dila.gouv.fr/OPENDATA/AMF/ECO/2026/10/FCECO083502_20261021.pdf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retrouve de la croissance au 3e trimestre (consenso de ventas 2026 y 2027 según Invest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https://www.boursorama.com/bourse/actualites/interparfums-retrouve-de-la-croissance-au-3e-trimestre-89a2196431e56cadb16e7173e70931c7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 (mercado mundial de belleza ≈300.000 M EUR; perfumes ≈14 %)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de la OPV, sección Industry (perfumes de gama alta)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https://uploads.puig.com/uploads/Prospectus_Puig_a1dd7fa8d0.pdf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perfumes de prestigio y licencias (con cifras de Puig 11-oct y de la ficha de higiene y cosmética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sectores/perfumes-licencias-2026-10-15.md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Capri Holdings up for sale? (Jimmy Choo crece un 10,5 % en el 1T de su ejercicio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https://fashionunited.com/news/business/is-capri-holdings-up-for-sale/2026092574852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and Interparfums SA Sign a License Agreement for Fragrances (hasta el 31-dic-2026, con posible prórroga de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https://www.businesswire.com/news/home/20200611005684/en/Moncler-and-Interparfums-SA-Sign-a-License-Agreement-for-Fragrances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Puig (sector, competidores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informes/puig-2026-10-11/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Actualización de ventas Q3 2026 (Fragancias y Moda +3,8 % comparable en 9 meses, +3,9 % en el 3T)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https://www.cnmv.es/webservices/verdocumento/ver?t=%7b06bc9655-7d60-4153-a993-2025dac7fb9d%7d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(BDIF): compras de Interparfums Inc. en Euronext París, 10-ago a 16-sep-2026 (25 declaraciones)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https://bdif.amf-france.org/back/api/v1/informations?RechercheTexte=INTERPARFUMS&amp;TypesInformation=DD&amp;From=0&amp;Size=40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Examen de la mise en œuvre éventuelle d’une offre publique de retrait (fusión con Interparfums Holding; 225C1885)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https://bdif.amf-france.org/back/api/v1/documents/2025/225C1885/8E731D2F52F94E94A34727A14DD061F5251C2C94EFBB4059052761DD20EAF675.pdf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3ème trimestre 2026: 265,5 M€ (+4,8 %) / Q3 2026 sales (FR y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https://echanges.dila.gouv.fr/OPENDATA/AMF/ECO/2026/10/FCECO083503_20261021.pdf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 Parfums (EPA:ITP): chiffre d'affaires 3ème trimestre 2026 (difusión del comunicado, 21-oct-2026 a las 07:00)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https://www.webdisclosure.fr/press-release/inter-parfums-epa-itp-chiffre-daffaires-3eme-trimestre-2026-2655-m-48-iulsDRwnl8O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24 avril 2026: quorum et résultat des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https://media.interparfums-finance.fr/pdf/ag/2026/quorum_et_resultat_des_votes_AG_2026.pdf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Programme de veille 2026: alerte n° 22 concernant Interparfums (résolution 11, politique de rémunération)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 (Association française de la gestion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https://www.afg.asso.fr/app/uploads/2026/04/Div-n-6490_04-_Alerte-n%C2%B0-22-INTERPARFUMS.pdf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ITP.PA, ^FCHI, EXH7.DE y comparables: históricos diarios (precio, rango, volumen, beta, volatilidad, medias y cierres de cada ejercicio, ajustados por acciones gratuitas)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https://finance.yahoo.com/quote/ITP.PA/history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finances, estimaciones 2026-2028, objetivo medio y número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https://www.marketscreener.com/quote/stock/INTERPARFUMS-5204/finances/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belleza (cierre del 14-oct-2026) de la ficha de higiene personal y cosmética, llevados al 21-oct con 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21-oct-2026: 3,44 %; 14-oct: 3,48 %)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https://api.statistiken.bundesbank.de/rest/data/BBSIS/D.I.ZAR.ZI.EUR.S1311.B.A604.R10XX.R.A.A._Z._Z.A?format=csv&amp;lastNObservations=8&amp;lang=en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retrouve les faveurs du marché (resultados del 1S26 frente a lo esperado; Oddo BHF «surperformance»)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https://www.tradingsat.com/interparfums-FR0004024222/actualites/interparfums-interparfums-retrouve-les-faveurs-du-marche-1169833.html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 (compra de Byredo)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retrouve de la croissance au 3e trimestre (consenso de Invest Securities; consenso de 9 analistas y objetivo medio) y titulares de recomendaciones (Oddo BHF a compra, 28-ago; TP ICAP Midcap sube objetivo, 31-ago)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https://www.zonebourse.com/actualite-bourse/interparfums-retrouve-de-la-croissance-au-3e-trimestre-ce785cd8d189f227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(21-oct-2026: 1,1234 USD y 177,36 JPY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Interparfums (ITP): hilos de jul-oct-2026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fait moins bien que prévu au 1er semestre et décroche en bourse (ventas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Bourse 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https://www.boursedirect.fr/fr/actualites/categorie/commentaires-sur-l-evolution-des-valeurs-en-cours-de-seance/interparfums-fait-moins-bien-que-prevu-au-1er-semestre-et-decroche-en-bourse-zone-bourse-059c21284c5f8136bdf94dbcf1521cf34c2e9886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 Chiffre d'affaires 3ème trimestre 2026 (hilo del foro, 4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https://www.boursorama.com/bourse/forum/1rPITP/detail/468583559/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 et maintenant ? piano... piano vers les... (hilo del foro, 11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https://www.boursorama.com/bourse/forum/1rPITP/detail/468566467/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 Sortie du SBF 120 (hilo del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https://www.boursorama.com/bourse/forum/1rPITP/detail/468585460/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 Jolie hausse du jour (hilo del foro, análisis técnico)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https://www.boursorama.com/bourse/forum/1rPITP/detail/468587472/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affiche une croissance de 4,8 % au T3 et vise désormais le haut de ses objectifs annuels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https://www.abcbourse.com/marches/interparfums-affiche-une-croissance-de-4-8-au-t3-et-vise-desormais-le-haut-de_704562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retrouve de la croissance au 3e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https://www.tradingsat.com/interparfums-FR0004024222/actualites/interparfums-interparfums-retrouve-de-la-croissance-au-3e-trimestre-1172140.html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bondit de 4,3 %, Kepler Cheuvreux relève son objectif à 36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https://www.abcbourse.com/marches/interparfums-bondit-de-4-3--kepler-cheuvreux-releve-son-objectif-a-36-euros_703612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announces 2026 annual review results – CAC® family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https://www.euronext.com/en/about/media/euronext-press-releases/euronext-announces-2026-annual-review-results-cacr-family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consenso</w:t>
      </w:r>
      <w:r>
        <w:t xml:space="preserve"> · Generado el 21 oct 2026.</w:t>
      </w:r>
    </w:p>
    <w:p>
      <w:pPr>
        <w:pStyle w:val="Nota"/>
        <w:spacing w:after="100"/>
      </w:pPr>
      <w:r>
        <w:t xml:space="preserve">Línea cotizada: la acción ordinaria de Interparfums SA en Euronext París (ITP), filial al ≈74 % de Interparfums Inc. (Nasdaq: IPAR); no se analiza la matriz. Precio: cierre del 21-oct-2026 (34,82 EUR), que ya recoge las ventas de los nueve meses, publicadas ese día antes de la apertura [7]. La empresa reparte acciones gratuitas cada año (1x10 de 2015 a 2025 y 1x20 en jul-2026): BPA, DPA y precios de cierre históricos se expresan en las acciones de hoy (87,83 M en circulación), con beneficio ÷ acciones de hoy y cierres ajustados de Yahoo; el BPA publicado (1,58 EUR en 2025) no es comparable. La web de inversores bloquea las descargas (403): los comunicados del 1T26 y del 1S26 salen del archivo de la AMF (DILA) y el documento de registro 2025 de la BDIF. Consenso de una sola fuente gratuita completa (MarketScreener, 9 analistas). Los comparables vienen del análisis de Puig (9-oct), llevados al 21-oct con el precio [36]. Las ventas del 3T no traen cuenta ni balance: los últimos doce meses y el puente siguen a jun-26.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Interparfums SA (ITP)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(20,74 – 34,82)</c:v>
                </c:pt>
                <c:pt idx="1">
                  <c:v>Comparables: EV/EBITDA NTM (21,64 – 31,50)</c:v>
                </c:pt>
                <c:pt idx="2">
                  <c:v>Comparables: PER NTM (29,99 – 39,37)</c:v>
                </c:pt>
                <c:pt idx="3">
                  <c:v>Transacciones precedentes (EV/ventas) (32,63 – 53,53)</c:v>
                </c:pt>
                <c:pt idx="4">
                  <c:v>DCF (WACC y g ± 0,5) (19,05 – 24,25)</c:v>
                </c:pt>
                <c:pt idx="5">
                  <c:v>Escenarios (bajista – alcista) (14,99 – 23,81)</c:v>
                </c:pt>
                <c:pt idx="6">
                  <c:v>DCF con la prima implícita del mercado (4,2 %)</c:v>
                </c:pt>
                <c:pt idx="7">
                  <c:v>Precio actual (34,82)</c:v>
                </c:pt>
              </c:strCache>
            </c:strRef>
          </c:cat>
          <c:val>
            <c:numRef>
              <c:f>Hoja1!$B$2:$B$9</c:f>
              <c:numCache>
                <c:formatCode>#,##0.0</c:formatCode>
                <c:ptCount val="8"/>
                <c:pt idx="0">
                  <c:v>20.74</c:v>
                </c:pt>
                <c:pt idx="1">
                  <c:v>21.64</c:v>
                </c:pt>
                <c:pt idx="2">
                  <c:v>29.99</c:v>
                </c:pt>
                <c:pt idx="3">
                  <c:v>32.63</c:v>
                </c:pt>
                <c:pt idx="4">
                  <c:v>19.05</c:v>
                </c:pt>
                <c:pt idx="5">
                  <c:v>14.99</c:v>
                </c:pt>
                <c:pt idx="6">
                  <c:v>23.79</c:v>
                </c:pt>
                <c:pt idx="7">
                  <c:v>34.65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(20,74 – 34,82)</c:v>
                </c:pt>
                <c:pt idx="1">
                  <c:v>Comparables: EV/EBITDA NTM (21,64 – 31,50)</c:v>
                </c:pt>
                <c:pt idx="2">
                  <c:v>Comparables: PER NTM (29,99 – 39,37)</c:v>
                </c:pt>
                <c:pt idx="3">
                  <c:v>Transacciones precedentes (EV/ventas) (32,63 – 53,53)</c:v>
                </c:pt>
                <c:pt idx="4">
                  <c:v>DCF (WACC y g ± 0,5) (19,05 – 24,25)</c:v>
                </c:pt>
                <c:pt idx="5">
                  <c:v>Escenarios (bajista – alcista) (14,99 – 23,81)</c:v>
                </c:pt>
                <c:pt idx="6">
                  <c:v>DCF con la prima implícita del mercado (4,2 %)</c:v>
                </c:pt>
                <c:pt idx="7">
                  <c:v>Precio actual (34,82)</c:v>
                </c:pt>
              </c:strCache>
            </c:strRef>
          </c:cat>
          <c:val>
            <c:numRef>
              <c:f>Hoja1!$C$2:$C$9</c:f>
              <c:numCache>
                <c:formatCode>#,##0.0</c:formatCode>
                <c:ptCount val="8"/>
                <c:pt idx="0">
                  <c:v>14.080000000000002</c:v>
                </c:pt>
                <c:pt idx="1">
                  <c:v>9.86</c:v>
                </c:pt>
                <c:pt idx="2">
                  <c:v>9.379999999999999</c:v>
                </c:pt>
                <c:pt idx="3">
                  <c:v>20.9</c:v>
                </c:pt>
                <c:pt idx="4">
                  <c:v>5.199999999999999</c:v>
                </c:pt>
                <c:pt idx="5">
                  <c:v>8.819999999999999</c:v>
                </c:pt>
                <c:pt idx="6">
                  <c:v>4.41</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Jimmy Choo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131</c:v>
                </c:pt>
                <c:pt idx="1">
                  <c:v>181.6</c:v>
                </c:pt>
                <c:pt idx="2">
                  <c:v>209.9</c:v>
                </c:pt>
                <c:pt idx="3">
                  <c:v>224.3</c:v>
                </c:pt>
                <c:pt idx="4">
                  <c:v>227.9</c:v>
                </c:pt>
              </c:numCache>
            </c:numRef>
          </c:val>
        </c:ser>
        <c:ser>
          <c:idx val="1"/>
          <c:order val="1"/>
          <c:tx>
            <c:strRef>
              <c:f>Hoja1!$C$1</c:f>
              <c:strCache>
                <c:ptCount val="1"/>
                <c:pt idx="0">
                  <c:v>Coach</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115.6</c:v>
                </c:pt>
                <c:pt idx="1">
                  <c:v>153.8</c:v>
                </c:pt>
                <c:pt idx="2">
                  <c:v>187.4</c:v>
                </c:pt>
                <c:pt idx="3">
                  <c:v>182</c:v>
                </c:pt>
                <c:pt idx="4">
                  <c:v>200</c:v>
                </c:pt>
              </c:numCache>
            </c:numRef>
          </c:val>
        </c:ser>
        <c:ser>
          <c:idx val="2"/>
          <c:order val="2"/>
          <c:tx>
            <c:strRef>
              <c:f>Hoja1!$D$1</c:f>
              <c:strCache>
                <c:ptCount val="1"/>
                <c:pt idx="0">
                  <c:v>Montblanc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142.3</c:v>
                </c:pt>
                <c:pt idx="1">
                  <c:v>184</c:v>
                </c:pt>
                <c:pt idx="2">
                  <c:v>205.6</c:v>
                </c:pt>
                <c:pt idx="3">
                  <c:v>203.4</c:v>
                </c:pt>
                <c:pt idx="4">
                  <c:v>193.2</c:v>
                </c:pt>
              </c:numCache>
            </c:numRef>
          </c:val>
        </c:ser>
        <c:ser>
          <c:idx val="3"/>
          <c:order val="3"/>
          <c:tx>
            <c:strRef>
              <c:f>Hoja1!$E$1</c:f>
              <c:strCache>
                <c:ptCount val="1"/>
                <c:pt idx="0">
                  <c:v>Lacoste</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0</c:v>
                </c:pt>
                <c:pt idx="1">
                  <c:v>0</c:v>
                </c:pt>
                <c:pt idx="2">
                  <c:v>0</c:v>
                </c:pt>
                <c:pt idx="3">
                  <c:v>78.7</c:v>
                </c:pt>
                <c:pt idx="4">
                  <c:v>95.4</c:v>
                </c:pt>
              </c:numCache>
            </c:numRef>
          </c:val>
        </c:ser>
        <c:ser>
          <c:idx val="4"/>
          <c:order val="4"/>
          <c:tx>
            <c:strRef>
              <c:f>Hoja1!$F$1</c:f>
              <c:strCache>
                <c:ptCount val="1"/>
                <c:pt idx="0">
                  <c:v>Lanvin y Rochas (propias)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87.7</c:v>
                </c:pt>
                <c:pt idx="1">
                  <c:v>88</c:v>
                </c:pt>
                <c:pt idx="2">
                  <c:v>89.3</c:v>
                </c:pt>
                <c:pt idx="3">
                  <c:v>87.4</c:v>
                </c:pt>
                <c:pt idx="4">
                  <c:v>82</c:v>
                </c:pt>
              </c:numCache>
            </c:numRef>
          </c:val>
        </c:ser>
        <c:ser>
          <c:idx val="5"/>
          <c:order val="5"/>
          <c:tx>
            <c:strRef>
              <c:f>Hoja1!$G$1</c:f>
              <c:strCache>
                <c:ptCount val="1"/>
                <c:pt idx="0">
                  <c:v>Otras licencias y marcas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84.2</c:v>
                </c:pt>
                <c:pt idx="1">
                  <c:v>99.2</c:v>
                </c:pt>
                <c:pt idx="2">
                  <c:v>106.3</c:v>
                </c:pt>
                <c:pt idx="3">
                  <c:v>104.7</c:v>
                </c:pt>
                <c:pt idx="4">
                  <c:v>100.9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Jimmy Choo</c:v>
                </c:pt>
                <c:pt idx="1">
                  <c:v>Coach</c:v>
                </c:pt>
                <c:pt idx="2">
                  <c:v>Montblanc</c:v>
                </c:pt>
                <c:pt idx="3">
                  <c:v>Lacoste</c:v>
                </c:pt>
                <c:pt idx="4">
                  <c:v>Lanvin y Rochas (propias)</c:v>
                </c:pt>
                <c:pt idx="5">
                  <c:v>Otras licencias y marcas</c:v>
                </c:pt>
              </c:strCache>
            </c:strRef>
          </c:cat>
          <c:val>
            <c:numRef>
              <c:f>Hoja1!$B$2:$B$7</c:f>
              <c:numCache>
                <c:formatCode>General</c:formatCode>
                <c:ptCount val="6"/>
                <c:pt idx="0">
                  <c:v>25.3</c:v>
                </c:pt>
                <c:pt idx="1">
                  <c:v>22.2</c:v>
                </c:pt>
                <c:pt idx="2">
                  <c:v>21.5</c:v>
                </c:pt>
                <c:pt idx="3">
                  <c:v>10.6</c:v>
                </c:pt>
                <c:pt idx="4">
                  <c:v>9.1</c:v>
                </c:pt>
                <c:pt idx="5">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Norteamérica</c:v>
                </c:pt>
                <c:pt idx="1">
                  <c:v>Europa occidental</c:v>
                </c:pt>
                <c:pt idx="2">
                  <c:v>Asia</c:v>
                </c:pt>
                <c:pt idx="3">
                  <c:v>Europa del Este</c:v>
                </c:pt>
                <c:pt idx="4">
                  <c:v>Sudamérica</c:v>
                </c:pt>
                <c:pt idx="5">
                  <c:v>Francia</c:v>
                </c:pt>
                <c:pt idx="6">
                  <c:v>Oriente Medio</c:v>
                </c:pt>
                <c:pt idx="7">
                  <c:v>África</c:v>
                </c:pt>
              </c:strCache>
            </c:strRef>
          </c:cat>
          <c:val>
            <c:numRef>
              <c:f>Hoja1!$B$2:$B$9</c:f>
              <c:numCache>
                <c:formatCode>0"%"</c:formatCode>
                <c:ptCount val="8"/>
                <c:pt idx="0">
                  <c:v>38.6</c:v>
                </c:pt>
                <c:pt idx="1">
                  <c:v>18.1</c:v>
                </c:pt>
                <c:pt idx="2">
                  <c:v>12.8</c:v>
                </c:pt>
                <c:pt idx="3">
                  <c:v>8.8</c:v>
                </c:pt>
                <c:pt idx="4">
                  <c:v>8.8</c:v>
                </c:pt>
                <c:pt idx="5">
                  <c:v>6.4</c:v>
                </c:pt>
                <c:pt idx="6">
                  <c:v>5.8</c:v>
                </c:pt>
                <c:pt idx="7">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(precio de fabricante))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22400</c:v>
                </c:pt>
                <c:pt idx="1">
                  <c:v>25133</c:v>
                </c:pt>
                <c:pt idx="2">
                  <c:v>28000</c:v>
                </c:pt>
                <c:pt idx="3">
                  <c:v>29400</c:v>
                </c:pt>
                <c:pt idx="4">
                  <c:v>30870</c:v>
                </c:pt>
                <c:pt idx="5">
                  <c:v>32414</c:v>
                </c:pt>
                <c:pt idx="6">
                  <c:v>34034</c:v>
                </c:pt>
                <c:pt idx="7">
                  <c:v>35736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Interparfums</c:v>
                </c:pt>
                <c:pt idx="1">
                  <c:v>Puig (Fragrance and Fashion)</c:v>
                </c:pt>
                <c:pt idx="2">
                  <c:v>Coty</c:v>
                </c:pt>
                <c:pt idx="3">
                  <c:v>L'Oréal (Luxe)</c:v>
                </c:pt>
                <c:pt idx="4">
                  <c:v>Interparfums Inc. (matriz)</c:v>
                </c:pt>
                <c:pt idx="5">
                  <c:v>Estée Lauder (fragancias)</c:v>
                </c:pt>
              </c:strCache>
            </c:strRef>
          </c:cat>
          <c:val>
            <c:numRef>
              <c:f>Hoja1!$B$2:$B$7</c:f>
              <c:numCache>
                <c:formatCode>0.0"%"</c:formatCode>
                <c:ptCount val="6"/>
                <c:pt idx="0">
                  <c:v>19.5</c:v>
                </c:pt>
                <c:pt idx="1">
                  <c:v>15.7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367.4</c:v>
                </c:pt>
                <c:pt idx="1">
                  <c:v>560.8</c:v>
                </c:pt>
                <c:pt idx="2">
                  <c:v>706.6</c:v>
                </c:pt>
                <c:pt idx="3">
                  <c:v>798.5</c:v>
                </c:pt>
                <c:pt idx="4">
                  <c:v>880.5</c:v>
                </c:pt>
                <c:pt idx="5">
                  <c:v>899.4</c:v>
                </c:pt>
                <c:pt idx="6">
                  <c:v>869</c:v>
                </c:pt>
                <c:pt idx="7">
                  <c:v>921</c:v>
                </c:pt>
                <c:pt idx="8">
                  <c:v>967</c:v>
                </c:pt>
                <c:pt idx="9">
                  <c:v>1011</c:v>
                </c:pt>
                <c:pt idx="10">
                  <c:v>1051</c:v>
                </c:pt>
                <c:pt idx="11">
                  <c:v>1088</c:v>
                </c:pt>
                <c:pt idx="12">
                  <c:v>1120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65.8</c:v>
                </c:pt>
                <c:pt idx="1">
                  <c:v>112.4</c:v>
                </c:pt>
                <c:pt idx="2">
                  <c:v>165.5</c:v>
                </c:pt>
                <c:pt idx="3">
                  <c:v>182.8</c:v>
                </c:pt>
                <c:pt idx="4">
                  <c:v>200.7</c:v>
                </c:pt>
                <c:pt idx="5">
                  <c:v>205.8</c:v>
                </c:pt>
                <c:pt idx="6">
                  <c:v>182</c:v>
                </c:pt>
                <c:pt idx="7">
                  <c:v>199</c:v>
                </c:pt>
                <c:pt idx="8">
                  <c:v>214</c:v>
                </c:pt>
                <c:pt idx="9">
                  <c:v>225</c:v>
                </c:pt>
                <c:pt idx="10">
                  <c:v>236</c:v>
                </c:pt>
                <c:pt idx="11">
                  <c:v>245</c:v>
                </c:pt>
                <c:pt idx="12">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61.8</c:v>
                </c:pt>
                <c:pt idx="1">
                  <c:v>65.2</c:v>
                </c:pt>
                <c:pt idx="2">
                  <c:v>66.8</c:v>
                </c:pt>
                <c:pt idx="3">
                  <c:v>65.7</c:v>
                </c:pt>
                <c:pt idx="4">
                  <c:v>65.6</c:v>
                </c:pt>
                <c:pt idx="5">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17.9</c:v>
                </c:pt>
                <c:pt idx="1">
                  <c:v>20</c:v>
                </c:pt>
                <c:pt idx="2">
                  <c:v>23.4</c:v>
                </c:pt>
                <c:pt idx="3">
                  <c:v>22.9</c:v>
                </c:pt>
                <c:pt idx="4">
                  <c:v>22.8</c:v>
                </c:pt>
                <c:pt idx="5">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12.8</c:v>
                </c:pt>
                <c:pt idx="1">
                  <c:v>17.6</c:v>
                </c:pt>
                <c:pt idx="2">
                  <c:v>19.6</c:v>
                </c:pt>
                <c:pt idx="3">
                  <c:v>20.1</c:v>
                </c:pt>
                <c:pt idx="4">
                  <c:v>20.2</c:v>
                </c:pt>
                <c:pt idx="5">
                  <c:v>19.5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8.4</c:v>
                </c:pt>
                <c:pt idx="1">
                  <c:v>12.7</c:v>
                </c:pt>
                <c:pt idx="2">
                  <c:v>14.1</c:v>
                </c:pt>
                <c:pt idx="3">
                  <c:v>14.9</c:v>
                </c:pt>
                <c:pt idx="4">
                  <c:v>14.8</c:v>
                </c:pt>
                <c:pt idx="5">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5.8</c:v>
                </c:pt>
                <c:pt idx="3">
                  <c:v>-1.2</c:v>
                </c:pt>
                <c:pt idx="4">
                  <c:v>-7.3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85</c:v>
                </c:pt>
                <c:pt idx="1">
                  <c:v>82</c:v>
                </c:pt>
                <c:pt idx="2">
                  <c:v>72</c:v>
                </c:pt>
                <c:pt idx="3">
                  <c:v>64</c:v>
                </c:pt>
                <c:pt idx="4">
                  <c:v>68</c:v>
                </c:pt>
                <c:pt idx="5">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241</c:v>
                </c:pt>
                <c:pt idx="1">
                  <c:v>191</c:v>
                </c:pt>
                <c:pt idx="2">
                  <c:v>239</c:v>
                </c:pt>
                <c:pt idx="3">
                  <c:v>270</c:v>
                </c:pt>
                <c:pt idx="4">
                  <c:v>277</c:v>
                </c:pt>
                <c:pt idx="5">
                  <c:v>227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133</c:v>
                </c:pt>
                <c:pt idx="1">
                  <c:v>172</c:v>
                </c:pt>
                <c:pt idx="2">
                  <c:v>176</c:v>
                </c:pt>
                <c:pt idx="3">
                  <c:v>148</c:v>
                </c:pt>
                <c:pt idx="4">
                  <c:v>127</c:v>
                </c:pt>
                <c:pt idx="5">
                  <c:v>111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33.4</c:v>
                </c:pt>
                <c:pt idx="1">
                  <c:v>-43.3</c:v>
                </c:pt>
                <c:pt idx="2">
                  <c:v>-1.5</c:v>
                </c:pt>
                <c:pt idx="3">
                  <c:v>32.9</c:v>
                </c:pt>
                <c:pt idx="4">
                  <c:v>85.4</c:v>
                </c:pt>
                <c:pt idx="5">
                  <c:v>102.3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30.7</c:v>
                </c:pt>
                <c:pt idx="1">
                  <c:v>71.1</c:v>
                </c:pt>
                <c:pt idx="2">
                  <c:v>99.5</c:v>
                </c:pt>
                <c:pt idx="3">
                  <c:v>118.7</c:v>
                </c:pt>
                <c:pt idx="4">
                  <c:v>129.9</c:v>
                </c:pt>
                <c:pt idx="5">
                  <c:v>126.6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9.2</c:v>
                </c:pt>
                <c:pt idx="1">
                  <c:v>16.4</c:v>
                </c:pt>
                <c:pt idx="2">
                  <c:v>18.4</c:v>
                </c:pt>
                <c:pt idx="3">
                  <c:v>18.6</c:v>
                </c:pt>
                <c:pt idx="4">
                  <c:v>20.4</c:v>
                </c:pt>
                <c:pt idx="5">
                  <c:v>20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9.2</c:v>
                </c:pt>
                <c:pt idx="1">
                  <c:v>9.2</c:v>
                </c:pt>
                <c:pt idx="2">
                  <c:v>9.2</c:v>
                </c:pt>
                <c:pt idx="3">
                  <c:v>9.2</c:v>
                </c:pt>
                <c:pt idx="4">
                  <c:v>9.2</c:v>
                </c:pt>
                <c:pt idx="5">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6.2</c:v>
                </c:pt>
                <c:pt idx="1">
                  <c:v>13.8</c:v>
                </c:pt>
                <c:pt idx="2">
                  <c:v>17.6</c:v>
                </c:pt>
                <c:pt idx="3">
                  <c:v>19.2</c:v>
                </c:pt>
                <c:pt idx="4">
                  <c:v>19.4</c:v>
                </c:pt>
                <c:pt idx="5">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-2.35</c:v>
                </c:pt>
                <c:pt idx="1">
                  <c:v>-0.28</c:v>
                </c:pt>
                <c:pt idx="2">
                  <c:v>0.14</c:v>
                </c:pt>
                <c:pt idx="3">
                  <c:v>0</c:v>
                </c:pt>
                <c:pt idx="4">
                  <c:v>-0.22</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45.1</c:v>
                </c:pt>
                <c:pt idx="1">
                  <c:v>88.3</c:v>
                </c:pt>
                <c:pt idx="2">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28.5</c:v>
                </c:pt>
                <c:pt idx="2">
                  <c:v>53.6</c:v>
                </c:pt>
                <c:pt idx="3">
                  <c:v>65.9</c:v>
                </c:pt>
                <c:pt idx="4">
                  <c:v>80.3</c:v>
                </c:pt>
                <c:pt idx="5">
                  <c:v>87.6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2</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Interparfums Inc. (Nasdaq: IPAR; controlada por Benacin y Madar con el 43,4 %)</c:v>
                </c:pt>
                <c:pt idx="1">
                  <c:v>Inversores extranjeros</c:v>
                </c:pt>
                <c:pt idx="2">
                  <c:v>Accionistas individuales</c:v>
                </c:pt>
                <c:pt idx="3">
                  <c:v>Inversores franceses e IIC</c:v>
                </c:pt>
                <c:pt idx="4">
                  <c:v>Empleados</c:v>
                </c:pt>
                <c:pt idx="5">
                  <c:v>Autocartera</c:v>
                </c:pt>
              </c:strCache>
            </c:strRef>
          </c:cat>
          <c:val>
            <c:numRef>
              <c:f>Hoja1!$B$2:$B$7</c:f>
              <c:numCache>
                <c:formatCode>0.0"%"</c:formatCode>
                <c:ptCount val="6"/>
                <c:pt idx="0">
                  <c:v>74.2</c:v>
                </c:pt>
                <c:pt idx="1">
                  <c:v>12</c:v>
                </c:pt>
                <c:pt idx="2">
                  <c:v>8.8</c:v>
                </c:pt>
                <c:pt idx="3">
                  <c:v>5.9</c:v>
                </c:pt>
                <c:pt idx="4">
                  <c:v>0.8</c:v>
                </c:pt>
                <c:pt idx="5">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38.7</c:v>
                </c:pt>
                <c:pt idx="2">
                  <c:v>7.5</c:v>
                </c:pt>
                <c:pt idx="3">
                  <c:v>20.6</c:v>
                </c:pt>
                <c:pt idx="4">
                  <c:v>27.7</c:v>
                </c:pt>
                <c:pt idx="5">
                  <c:v>88.2</c:v>
                </c:pt>
                <c:pt idx="6">
                  <c:v>-16.8</c:v>
                </c:pt>
                <c:pt idx="7">
                  <c:v>-0.3</c:v>
                </c:pt>
                <c:pt idx="8">
                  <c:v>-11</c:v>
                </c:pt>
                <c:pt idx="9">
                  <c:v>-32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31.6</c:v>
                </c:pt>
                <c:pt idx="1">
                  <c:v>37.1</c:v>
                </c:pt>
                <c:pt idx="2">
                  <c:v>21.3</c:v>
                </c:pt>
                <c:pt idx="3">
                  <c:v>19.1</c:v>
                </c:pt>
                <c:pt idx="4">
                  <c:v>15.2</c:v>
                </c:pt>
                <c:pt idx="5">
                  <c:v>10</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17.2</c:v>
                </c:pt>
                <c:pt idx="1">
                  <c:v>17.2</c:v>
                </c:pt>
                <c:pt idx="2">
                  <c:v>17.2</c:v>
                </c:pt>
                <c:pt idx="3">
                  <c:v>17.2</c:v>
                </c:pt>
                <c:pt idx="4">
                  <c:v>17.2</c:v>
                </c:pt>
                <c:pt idx="5">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Interparfums</c:v>
                </c:pt>
                <c:pt idx="1">
                  <c:v>L'Oréal</c:v>
                </c:pt>
                <c:pt idx="2">
                  <c:v>Estée Lauder</c:v>
                </c:pt>
                <c:pt idx="3">
                  <c:v>Beiersdorf</c:v>
                </c:pt>
                <c:pt idx="4">
                  <c:v>Coty</c:v>
                </c:pt>
                <c:pt idx="5">
                  <c:v>Inter Parfums Inc</c:v>
                </c:pt>
                <c:pt idx="6">
                  <c:v>Shiseido</c:v>
                </c:pt>
                <c:pt idx="7">
                  <c:v>Puig</c:v>
                </c:pt>
              </c:strCache>
            </c:strRef>
          </c:cat>
          <c:val>
            <c:numRef>
              <c:f>Hoja1!$B$2:$B$9</c:f>
              <c:numCache>
                <c:formatCode>0.0"x"</c:formatCode>
                <c:ptCount val="8"/>
                <c:pt idx="0">
                  <c:v>16.2</c:v>
                </c:pt>
                <c:pt idx="1">
                  <c:v>18.9</c:v>
                </c:pt>
                <c:pt idx="2">
                  <c:v>16.7</c:v>
                </c:pt>
                <c:pt idx="3">
                  <c:v>9.3</c:v>
                </c:pt>
                <c:pt idx="4">
                  <c:v>7.7</c:v>
                </c:pt>
                <c:pt idx="5">
                  <c:v>12.7</c:v>
                </c:pt>
                <c:pt idx="6">
                  <c:v>11.5</c:v>
                </c:pt>
                <c:pt idx="7">
                  <c:v>10.9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Interparfums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16.2</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8.9</c:v>
                </c:pt>
              </c:numCache>
            </c:numRef>
          </c:xVal>
          <c:yVal>
            <c:numRef>
              <c:f>Hoja1!$C$3</c:f>
              <c:numCache>
                <c:formatCode>0.0"x"</c:formatCode>
                <c:ptCount val="1"/>
                <c:pt idx="0">
                  <c:v>18.9</c:v>
                </c:pt>
              </c:numCache>
            </c:numRef>
          </c:yVal>
          <c:smooth val="0"/>
        </c:ser>
        <c:ser>
          <c:idx val="2"/>
          <c:order val="2"/>
          <c:tx>
            <c:strRef>
              <c:f>Hoja1!$A$4</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16.7</c:v>
                </c:pt>
              </c:numCache>
            </c:numRef>
          </c:yVal>
          <c:smooth val="0"/>
        </c:ser>
        <c:ser>
          <c:idx val="3"/>
          <c:order val="3"/>
          <c:tx>
            <c:strRef>
              <c:f>Hoja1!$A$5</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-1.8</c:v>
                </c:pt>
              </c:numCache>
            </c:numRef>
          </c:xVal>
          <c:yVal>
            <c:numRef>
              <c:f>Hoja1!$C$5</c:f>
              <c:numCache>
                <c:formatCode>0.0"x"</c:formatCode>
                <c:ptCount val="1"/>
                <c:pt idx="0">
                  <c:v>9.3</c:v>
                </c:pt>
              </c:numCache>
            </c:numRef>
          </c:yVal>
          <c:smooth val="0"/>
        </c:ser>
        <c:ser>
          <c:idx val="4"/>
          <c:order val="4"/>
          <c:tx>
            <c:strRef>
              <c:f>Hoja1!$A$6</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7.7</c:v>
                </c:pt>
              </c:numCache>
            </c:numRef>
          </c:yVal>
          <c:smooth val="0"/>
        </c:ser>
        <c:ser>
          <c:idx val="5"/>
          <c:order val="5"/>
          <c:tx>
            <c:strRef>
              <c:f>Hoja1!$A$7</c:f>
              <c:strCache>
                <c:ptCount val="1"/>
                <c:pt idx="0">
                  <c:v>Inter Parfums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c:v>
                </c:pt>
              </c:numCache>
            </c:numRef>
          </c:xVal>
          <c:yVal>
            <c:numRef>
              <c:f>Hoja1!$C$7</c:f>
              <c:numCache>
                <c:formatCode>0.0"x"</c:formatCode>
                <c:ptCount val="1"/>
                <c:pt idx="0">
                  <c:v>12.7</c:v>
                </c:pt>
              </c:numCache>
            </c:numRef>
          </c:yVal>
          <c:smooth val="0"/>
        </c:ser>
        <c:ser>
          <c:idx val="6"/>
          <c:order val="6"/>
          <c:tx>
            <c:strRef>
              <c:f>Hoja1!$A$8</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3.8</c:v>
                </c:pt>
              </c:numCache>
            </c:numRef>
          </c:xVal>
          <c:yVal>
            <c:numRef>
              <c:f>Hoja1!$C$8</c:f>
              <c:numCache>
                <c:formatCode>0.0"x"</c:formatCode>
                <c:ptCount val="1"/>
                <c:pt idx="0">
                  <c:v>11.5</c:v>
                </c:pt>
              </c:numCache>
            </c:numRef>
          </c:yVal>
          <c:smooth val="0"/>
        </c:ser>
        <c:ser>
          <c:idx val="7"/>
          <c:order val="7"/>
          <c:tx>
            <c:strRef>
              <c:f>Hoja1!$A$9</c:f>
              <c:strCache>
                <c:ptCount val="1"/>
                <c:pt idx="0">
                  <c:v>Puig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7.4</c:v>
                </c:pt>
              </c:numCache>
            </c:numRef>
          </c:xVal>
          <c:yVal>
            <c:numRef>
              <c:f>Hoja1!$C$9</c:f>
              <c:numCache>
                <c:formatCode>0.0"x"</c:formatCode>
                <c:ptCount val="1"/>
                <c:pt idx="0">
                  <c:v>10.9</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 Beauté (Creed y licencias a 50 años de Gucci, Bottega Veneta y Balenciaga)</c:v>
                </c:pt>
                <c:pt idx="1">
                  <c:v>Rhode</c:v>
                </c:pt>
                <c:pt idx="2">
                  <c:v>Creed</c:v>
                </c:pt>
                <c:pt idx="3">
                  <c:v>Aesop</c:v>
                </c:pt>
                <c:pt idx="4">
                  <c:v>Tom Ford (marca, con Tom Ford Beauty)</c:v>
                </c:pt>
                <c:pt idx="5">
                  <c:v>Byredo (77 %)</c:v>
                </c:pt>
                <c:pt idx="6">
                  <c:v>Wella, Clairol, OPI y ghd (60 %)</c:v>
                </c:pt>
              </c:strCache>
            </c:strRef>
          </c:cat>
          <c:val>
            <c:numRef>
              <c:f>Hoja1!$B$2:$B$8</c:f>
              <c:numCache>
                <c:formatCode>0.0"x"</c:formatCode>
                <c:ptCount val="7"/>
                <c:pt idx="6">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129</c:v>
                </c:pt>
                <c:pt idx="1">
                  <c:v>107</c:v>
                </c:pt>
                <c:pt idx="2">
                  <c:v>118</c:v>
                </c:pt>
                <c:pt idx="3">
                  <c:v>130</c:v>
                </c:pt>
                <c:pt idx="4">
                  <c:v>138</c:v>
                </c:pt>
                <c:pt idx="5">
                  <c:v>146</c:v>
                </c:pt>
                <c:pt idx="6">
                  <c:v>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618</c:v>
                </c:pt>
                <c:pt idx="1">
                  <c:v>1253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34,82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14.99</c:v>
                </c:pt>
                <c:pt idx="1">
                  <c:v>21.29</c:v>
                </c:pt>
                <c:pt idx="2">
                  <c:v>23.81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(20,74 – 34,82)</c:v>
                </c:pt>
                <c:pt idx="1">
                  <c:v>Comparables: EV/EBITDA NTM (21,64 – 31,50)</c:v>
                </c:pt>
                <c:pt idx="2">
                  <c:v>Comparables: PER NTM (29,99 – 39,37)</c:v>
                </c:pt>
                <c:pt idx="3">
                  <c:v>Transacciones precedentes (EV/ventas) (32,63 – 53,53)</c:v>
                </c:pt>
                <c:pt idx="4">
                  <c:v>DCF (WACC y g ± 0,5) (19,05 – 24,25)</c:v>
                </c:pt>
                <c:pt idx="5">
                  <c:v>Escenarios (bajista – alcista) (14,99 – 23,81)</c:v>
                </c:pt>
                <c:pt idx="6">
                  <c:v>DCF con la prima implícita del mercado (4,2 %)</c:v>
                </c:pt>
                <c:pt idx="7">
                  <c:v>Precio actual (34,82)</c:v>
                </c:pt>
              </c:strCache>
            </c:strRef>
          </c:cat>
          <c:val>
            <c:numRef>
              <c:f>Hoja1!$B$2:$B$9</c:f>
              <c:numCache>
                <c:formatCode>#,##0.0</c:formatCode>
                <c:ptCount val="8"/>
                <c:pt idx="0">
                  <c:v>20.74</c:v>
                </c:pt>
                <c:pt idx="1">
                  <c:v>21.64</c:v>
                </c:pt>
                <c:pt idx="2">
                  <c:v>29.99</c:v>
                </c:pt>
                <c:pt idx="3">
                  <c:v>32.63</c:v>
                </c:pt>
                <c:pt idx="4">
                  <c:v>19.05</c:v>
                </c:pt>
                <c:pt idx="5">
                  <c:v>14.99</c:v>
                </c:pt>
                <c:pt idx="6">
                  <c:v>23.79</c:v>
                </c:pt>
                <c:pt idx="7">
                  <c:v>34.65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(20,74 – 34,82)</c:v>
                </c:pt>
                <c:pt idx="1">
                  <c:v>Comparables: EV/EBITDA NTM (21,64 – 31,50)</c:v>
                </c:pt>
                <c:pt idx="2">
                  <c:v>Comparables: PER NTM (29,99 – 39,37)</c:v>
                </c:pt>
                <c:pt idx="3">
                  <c:v>Transacciones precedentes (EV/ventas) (32,63 – 53,53)</c:v>
                </c:pt>
                <c:pt idx="4">
                  <c:v>DCF (WACC y g ± 0,5) (19,05 – 24,25)</c:v>
                </c:pt>
                <c:pt idx="5">
                  <c:v>Escenarios (bajista – alcista) (14,99 – 23,81)</c:v>
                </c:pt>
                <c:pt idx="6">
                  <c:v>DCF con la prima implícita del mercado (4,2 %)</c:v>
                </c:pt>
                <c:pt idx="7">
                  <c:v>Precio actual (34,82)</c:v>
                </c:pt>
              </c:strCache>
            </c:strRef>
          </c:cat>
          <c:val>
            <c:numRef>
              <c:f>Hoja1!$C$2:$C$9</c:f>
              <c:numCache>
                <c:formatCode>#,##0.0</c:formatCode>
                <c:ptCount val="8"/>
                <c:pt idx="0">
                  <c:v>14.080000000000002</c:v>
                </c:pt>
                <c:pt idx="1">
                  <c:v>9.86</c:v>
                </c:pt>
                <c:pt idx="2">
                  <c:v>9.379999999999999</c:v>
                </c:pt>
                <c:pt idx="3">
                  <c:v>20.9</c:v>
                </c:pt>
                <c:pt idx="4">
                  <c:v>5.199999999999999</c:v>
                </c:pt>
                <c:pt idx="5">
                  <c:v>8.819999999999999</c:v>
                </c:pt>
                <c:pt idx="6">
                  <c:v>4.41</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