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</w:t>
      </w:r>
      <w:r>
        <w:t xml:space="preserve"> </w:t>
      </w:r>
      <w:r>
        <w:t xml:space="preserve">value:</w:t>
      </w:r>
      <w:r>
        <w:t xml:space="preserve"> </w:t>
      </w:r>
      <w:r>
        <w:t xml:space="preserve">qué</w:t>
      </w:r>
      <w:r>
        <w:t xml:space="preserve"> </w:t>
      </w:r>
      <w:r>
        <w:t xml:space="preserve">lo</w:t>
      </w:r>
      <w:r>
        <w:t xml:space="preserve"> </w:t>
      </w:r>
      <w:r>
        <w:t xml:space="preserve">beneficia</w:t>
      </w:r>
      <w:r>
        <w:t xml:space="preserve"> </w:t>
      </w:r>
      <w:r>
        <w:t xml:space="preserve">y</w:t>
      </w:r>
      <w:r>
        <w:t xml:space="preserve"> </w:t>
      </w:r>
      <w:r>
        <w:t xml:space="preserve">qué</w:t>
      </w:r>
      <w:r>
        <w:t xml:space="preserve"> </w:t>
      </w:r>
      <w:r>
        <w:t xml:space="preserve">lo</w:t>
      </w:r>
      <w:r>
        <w:t xml:space="preserve"> </w:t>
      </w:r>
      <w:r>
        <w:t xml:space="preserve">castiga</w:t>
      </w:r>
    </w:p>
    <w:p>
      <w:pPr>
        <w:pStyle w:val="Subtitle"/>
      </w:pPr>
      <w:r>
        <w:t xml:space="preserve">Explicación</w:t>
      </w:r>
      <w:r>
        <w:t xml:space="preserve"> </w:t>
      </w:r>
      <w:r>
        <w:t xml:space="preserve">del</w:t>
      </w:r>
      <w:r>
        <w:t xml:space="preserve"> </w:t>
      </w:r>
      <w:r>
        <w:t xml:space="preserve">método</w:t>
      </w:r>
      <w:r>
        <w:t xml:space="preserve"> </w:t>
      </w:r>
      <w:r>
        <w:t xml:space="preserve">vigente,</w:t>
      </w:r>
      <w:r>
        <w:t xml:space="preserve"> </w:t>
      </w:r>
      <w:r>
        <w:t xml:space="preserve">pieza</w:t>
      </w:r>
      <w:r>
        <w:t xml:space="preserve"> </w:t>
      </w:r>
      <w:r>
        <w:t xml:space="preserve">por</w:t>
      </w:r>
      <w:r>
        <w:t xml:space="preserve"> </w:t>
      </w:r>
      <w:r>
        <w:t xml:space="preserve">pieza,</w:t>
      </w:r>
      <w:r>
        <w:t xml:space="preserve"> </w:t>
      </w:r>
      <w:r>
        <w:t xml:space="preserve">con</w:t>
      </w:r>
      <w:r>
        <w:t xml:space="preserve"> </w:t>
      </w:r>
      <w:r>
        <w:t xml:space="preserve">ejemplos</w:t>
      </w:r>
      <w:r>
        <w:t xml:space="preserve"> </w:t>
      </w:r>
      <w:r>
        <w:t xml:space="preserve">reales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(precios</w:t>
      </w:r>
      <w:r>
        <w:t xml:space="preserve"> </w:t>
      </w:r>
      <w:r>
        <w:t xml:space="preserve">del</w:t>
      </w:r>
      <w:r>
        <w:t xml:space="preserve"> </w:t>
      </w:r>
      <w:r>
        <w:t xml:space="preserve">cierre</w:t>
      </w:r>
      <w:r>
        <w:t xml:space="preserve"> </w:t>
      </w:r>
      <w:r>
        <w:t xml:space="preserve">del</w:t>
      </w:r>
      <w:r>
        <w:t xml:space="preserve"> </w:t>
      </w:r>
      <w:r>
        <w:t xml:space="preserve">19-oct</w:t>
      </w:r>
      <w:r>
        <w:t xml:space="preserve"> </w:t>
      </w:r>
      <w:r>
        <w:t xml:space="preserve">y</w:t>
      </w:r>
      <w:r>
        <w:t xml:space="preserve"> </w:t>
      </w:r>
      <w:r>
        <w:t xml:space="preserve">sesión</w:t>
      </w:r>
      <w:r>
        <w:t xml:space="preserve"> </w:t>
      </w:r>
      <w:r>
        <w:t xml:space="preserve">en</w:t>
      </w:r>
      <w:r>
        <w:t xml:space="preserve"> </w:t>
      </w:r>
      <w:r>
        <w:t xml:space="preserve">curso</w:t>
      </w:r>
      <w:r>
        <w:t xml:space="preserve"> </w:t>
      </w:r>
      <w:r>
        <w:t xml:space="preserve">del</w:t>
      </w:r>
      <w:r>
        <w:t xml:space="preserve"> </w:t>
      </w:r>
      <w:r>
        <w:t xml:space="preserve">20-oct)</w:t>
      </w:r>
    </w:p>
    <w:bookmarkStart w:id="20" w:name="para-qué-sirve-este-documento"/>
    <w:p>
      <w:pPr>
        <w:pStyle w:val="Heading1"/>
      </w:pPr>
      <w:r>
        <w:t xml:space="preserve">Para qué sirve este documento</w:t>
      </w:r>
    </w:p>
    <w:p>
      <w:pPr>
        <w:pStyle w:val="FirstParagraph"/>
      </w:pPr>
      <w:r>
        <w:t xml:space="preserve">Explica, sin cambiar nada del método, qué hace subir o bajar las tres cifras que deciden en el análisis value:</w:t>
      </w:r>
      <w:r>
        <w:t xml:space="preserve"> </w:t>
      </w:r>
      <w:r>
        <w:rPr>
          <w:bCs/>
          <w:b/>
        </w:rPr>
        <w:t xml:space="preserve">la rentabilidad a 12 meses</w:t>
      </w:r>
      <w:r>
        <w:t xml:space="preserve">,</w:t>
      </w:r>
      <w:r>
        <w:t xml:space="preserve"> </w:t>
      </w:r>
      <w:r>
        <w:rPr>
          <w:bCs/>
          <w:b/>
        </w:rPr>
        <w:t xml:space="preserve">el límite de compra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 valor real</w:t>
      </w:r>
      <w:r>
        <w:t xml:space="preserve">. Todo sale del código que decide hoy (</w:t>
      </w:r>
      <w:r>
        <w:rPr>
          <w:rStyle w:val="VerbatimChar"/>
        </w:rPr>
        <w:t xml:space="preserve">motor/objetivo12m.mjs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motor/calcular-empresa.mjs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herramientas/robustez.mjs</w:t>
      </w:r>
      <w:r>
        <w:t xml:space="preserve">) y de</w:t>
      </w:r>
      <w:r>
        <w:t xml:space="preserve"> </w:t>
      </w:r>
      <w:r>
        <w:rPr>
          <w:rStyle w:val="VerbatimChar"/>
        </w:rPr>
        <w:t xml:space="preserve">METODO-VIGENTE.md</w:t>
      </w:r>
      <w:r>
        <w:t xml:space="preserve">. Los ejemplos son Intuit, Zoetis, Uber, Edenred y TUI, con los precios de hoy y</w:t>
      </w:r>
      <w:r>
        <w:t xml:space="preserve"> </w:t>
      </w:r>
      <w:r>
        <w:rPr>
          <w:rStyle w:val="VerbatimChar"/>
        </w:rPr>
        <w:t xml:space="preserve">robustez.mjs --actual</w:t>
      </w:r>
      <w:r>
        <w:t xml:space="preserve">.</w:t>
      </w:r>
    </w:p>
    <w:bookmarkEnd w:id="20"/>
    <w:bookmarkStart w:id="21" w:name="la-idea-en-una-línea"/>
    <w:p>
      <w:pPr>
        <w:pStyle w:val="Heading1"/>
      </w:pPr>
      <w:r>
        <w:t xml:space="preserve">1. La idea en una línea</w:t>
      </w:r>
    </w:p>
    <w:p>
      <w:pPr>
        <w:pStyle w:val="FirstParagraph"/>
      </w:pPr>
      <w:r>
        <w:t xml:space="preserve">La rentabilidad a 12 meses del caso base es, casi exactamente:</w:t>
      </w:r>
    </w:p>
    <w:p>
      <w:pPr>
        <w:pStyle w:val="BlockText"/>
      </w:pPr>
      <w:r>
        <w:rPr>
          <w:bCs/>
          <w:b/>
        </w:rPr>
        <w:t xml:space="preserve">Rentabilidad del base ≈ (BPA del ejercicio objetivo ÷ BPA del año que viene) × (PER que permite la regla ÷ PER de hoy) − 1 + dividendo</w:t>
      </w:r>
    </w:p>
    <w:p>
      <w:pPr>
        <w:pStyle w:val="FirstParagraph"/>
      </w:pPr>
      <w:r>
        <w:t xml:space="preserve">Es decir, tres motores:</w:t>
      </w:r>
      <w:r>
        <w:t xml:space="preserve"> </w:t>
      </w:r>
      <w:r>
        <w:rPr>
          <w:bCs/>
          <w:b/>
        </w:rPr>
        <w:t xml:space="preserve">cuánto crece el beneficio por acción</w:t>
      </w:r>
      <w:r>
        <w:t xml:space="preserve">,</w:t>
      </w:r>
      <w:r>
        <w:t xml:space="preserve"> </w:t>
      </w:r>
      <w:r>
        <w:rPr>
          <w:bCs/>
          <w:b/>
        </w:rPr>
        <w:t xml:space="preserve">cuánto múltiplo nos deja recuperar (o nos quita) la regla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 dividendo</w:t>
      </w:r>
      <w:r>
        <w:t xml:space="preserve">. Todo lo demás (escenarios, valor real, calidad, pruebas) recorta o filtra, pero no suma.</w:t>
      </w:r>
    </w:p>
    <w:p>
      <w:pPr>
        <w:pStyle w:val="BodyText"/>
      </w:pPr>
      <w:r>
        <w:t xml:space="preserve">Comprobación con los cinco ejemplos (cifras del informe, al precio del informe):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objetivo ÷ BPA año que viene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regla ÷ PER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calculado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del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 ÷ 0,97 =</w:t>
            </w:r>
            <w:r>
              <w:t xml:space="preserve"> </w:t>
            </w:r>
            <w:r>
              <w:rPr>
                <w:bCs/>
                <w:b/>
              </w:rPr>
              <w:t xml:space="preserve">+32 %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 ÷ 6,9 = −2 %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Edenred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2,47 ÷ 2,21 = +12 %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 ÷ 13,6 =</w:t>
            </w:r>
            <w:r>
              <w:t xml:space="preserve"> </w:t>
            </w:r>
            <w:r>
              <w:rPr>
                <w:bCs/>
                <w:b/>
              </w:rPr>
              <w:t xml:space="preserve">+10 %</w:t>
            </w:r>
            <w:r>
              <w:t xml:space="preserve"> </w:t>
            </w:r>
            <w:r>
              <w:t xml:space="preserve">(tope)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4,30 ÷ 3,61 = +19 %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 ÷ 19,8 = 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23,10 ÷ 20,05 = +15 %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15,1 ÷ 15,1 = 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Zoetis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6,01 ÷ 5,80 =</w:t>
            </w:r>
            <w:r>
              <w:t xml:space="preserve"> </w:t>
            </w:r>
            <w:r>
              <w:rPr>
                <w:bCs/>
                <w:b/>
              </w:rPr>
              <w:t xml:space="preserve">+4 %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 ÷ 12,3 = 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+6,6 %</w:t>
            </w:r>
          </w:p>
        </w:tc>
      </w:tr>
    </w:tbl>
    <w:p>
      <w:pPr>
        <w:pStyle w:val="BodyText"/>
      </w:pPr>
      <w:r>
        <w:t xml:space="preserve">Lectura: TUI vive del crecimiento del BPA; Edenred, del múltiplo que recupera más el dividendo; Zoetis apenas tiene motor (BPA casi plano y sin recuperación de múltiplo).</w:t>
      </w:r>
    </w:p>
    <w:bookmarkEnd w:id="21"/>
    <w:bookmarkStart w:id="33" w:name="pieza-por-pieza"/>
    <w:p>
      <w:pPr>
        <w:pStyle w:val="Heading1"/>
      </w:pPr>
      <w:r>
        <w:t xml:space="preserve">2. Pieza por pieza</w:t>
      </w:r>
    </w:p>
    <w:bookmarkStart w:id="22" w:name="X694c07393721eefc2148b30a2de2b4f1a35e265"/>
    <w:p>
      <w:pPr>
        <w:pStyle w:val="Heading2"/>
      </w:pPr>
      <w:r>
        <w:t xml:space="preserve">2.1 El BPA de partida y su crecimiento (el motor que más pesa)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El BPA propio de los tres escenarios para el</w:t>
      </w:r>
      <w:r>
        <w:t xml:space="preserve"> </w:t>
      </w:r>
      <w:r>
        <w:rPr>
          <w:bCs/>
          <w:b/>
        </w:rPr>
        <w:t xml:space="preserve">ejercicio objetivo</w:t>
      </w:r>
      <w:r>
        <w:t xml:space="preserve">: el primero que cierra más de 18 meses después de la fecha del informe. Por eso la rentabilidad «a 12 meses» recoge en realidad</w:t>
      </w:r>
      <w:r>
        <w:t xml:space="preserve"> </w:t>
      </w:r>
      <w:r>
        <w:rPr>
          <w:bCs/>
          <w:b/>
        </w:rPr>
        <w:t xml:space="preserve">unos dos años de crecimiento del BPA</w:t>
      </w:r>
      <w:r>
        <w:t xml:space="preserve"> </w:t>
      </w:r>
      <w:r>
        <w:t xml:space="preserve">(el PER de hoy se mide sobre el BPA del año que viene; el objetivo, sobre el del siguiente).</w:t>
      </w:r>
    </w:p>
    <w:p>
      <w:pPr>
        <w:pStyle w:val="BodyText"/>
      </w:pPr>
      <w:r>
        <w:rPr>
          <w:bCs/>
          <w:b/>
        </w:rPr>
        <w:t xml:space="preserve">Lo sube.</w:t>
      </w:r>
      <w:r>
        <w:t xml:space="preserve"> </w:t>
      </w:r>
      <w:r>
        <w:t xml:space="preserve">Un BPA que crece mucho entre el año que viene y el ejercicio objetivo (TUI +32 %). Recompras de acciones, mejora de márgenes, rebote de un año malo.</w:t>
      </w:r>
    </w:p>
    <w:p>
      <w:pPr>
        <w:pStyle w:val="BodyText"/>
      </w:pPr>
      <w:r>
        <w:rPr>
          <w:bCs/>
          <w:b/>
        </w:rPr>
        <w:t xml:space="preserve">Lo baja.</w:t>
      </w:r>
      <w:r>
        <w:t xml:space="preserve"> </w:t>
      </w:r>
      <w:r>
        <w:t xml:space="preserve">BPA plano (Zoetis +4 %), un BPA propio prudente frente a la calle (Uber: nuestro 4,30 frente a 5,80 del consenso, −26 %), años con partidas fiscales que se normalizan (Uber 2024-2025: el BPA publicado se rebaja con un tipo normal del 25 %).</w:t>
      </w:r>
    </w:p>
    <w:p>
      <w:pPr>
        <w:pStyle w:val="BodyText"/>
      </w:pPr>
      <w:r>
        <w:rPr>
          <w:bCs/>
          <w:b/>
        </w:rPr>
        <w:t xml:space="preserve">Cuánto pesa.</w:t>
      </w:r>
      <w:r>
        <w:t xml:space="preserve"> </w:t>
      </w:r>
      <w:r>
        <w:t xml:space="preserve">Todo: cada punto de BPA mueve el objetivo un punto, en los tres escenarios a la vez. Es lo que mide la prueba del BPA −10 % (punto 2.9).</w:t>
      </w:r>
    </w:p>
    <w:p>
      <w:pPr>
        <w:pStyle w:val="BodyText"/>
      </w:pPr>
      <w:r>
        <w:rPr>
          <w:bCs/>
          <w:b/>
        </w:rPr>
        <w:t xml:space="preserve">Qué lo castiga más.</w:t>
      </w:r>
      <w:r>
        <w:t xml:space="preserve"> </w:t>
      </w:r>
      <w:r>
        <w:t xml:space="preserve">Un BPA que crece por encima del 25 % anual sin ser un rebote: marca</w:t>
      </w:r>
      <w:r>
        <w:t xml:space="preserve"> </w:t>
      </w:r>
      <w:r>
        <w:rPr>
          <w:bCs/>
          <w:b/>
        </w:rPr>
        <w:t xml:space="preserve">D6 CONFIANZA</w:t>
      </w:r>
      <w:r>
        <w:t xml:space="preserve"> </w:t>
      </w:r>
      <w:r>
        <w:t xml:space="preserve">y un Comprar baja a Mantener. Y un BPA propio por encima del consenso más de un 15 %:</w:t>
      </w:r>
      <w:r>
        <w:t xml:space="preserve"> </w:t>
      </w:r>
      <w:r>
        <w:rPr>
          <w:bCs/>
          <w:b/>
        </w:rPr>
        <w:t xml:space="preserve">D7</w:t>
      </w:r>
      <w:r>
        <w:t xml:space="preserve">, la señal tiene que aguantar con el BPA de la calle.</w:t>
      </w:r>
    </w:p>
    <w:bookmarkEnd w:id="22"/>
    <w:bookmarkStart w:id="23" w:name="el-per-de-salida-la-regla-de-múltiplos"/>
    <w:p>
      <w:pPr>
        <w:pStyle w:val="Heading2"/>
      </w:pPr>
      <w:r>
        <w:t xml:space="preserve">2.2 El PER de salida (la regla de múltiplos)</w:t>
      </w:r>
    </w:p>
    <w:p>
      <w:pPr>
        <w:pStyle w:val="FirstParagraph"/>
      </w:pPr>
      <w:r>
        <w:rPr>
          <w:bCs/>
          <w:b/>
        </w:rPr>
        <w:t xml:space="preserve">v3 (la vigente en general).</w:t>
      </w:r>
      <w:r>
        <w:t xml:space="preserve"> </w:t>
      </w:r>
      <w:r>
        <w:t xml:space="preserve">Base = PER de hoy × √(mediana de 5 años ÷ PER de hoy): recorre</w:t>
      </w:r>
      <w:r>
        <w:t xml:space="preserve"> </w:t>
      </w:r>
      <w:r>
        <w:rPr>
          <w:bCs/>
          <w:b/>
        </w:rPr>
        <w:t xml:space="preserve">la mitad del camino</w:t>
      </w:r>
      <w:r>
        <w:t xml:space="preserve"> </w:t>
      </w:r>
      <w:r>
        <w:t xml:space="preserve">hacia su mediana histórica (en PER adelantado), en los dos sentidos,</w:t>
      </w:r>
      <w:r>
        <w:t xml:space="preserve"> </w:t>
      </w:r>
      <w:r>
        <w:rPr>
          <w:bCs/>
          <w:b/>
        </w:rPr>
        <w:t xml:space="preserve">sin alejarse del PER de hoy más de ×1,1 ni menos de ÷1,1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Beneficia:</w:t>
      </w:r>
      <w:r>
        <w:t xml:space="preserve"> </w:t>
      </w:r>
      <w:r>
        <w:t xml:space="preserve">cotizar por debajo de su historia. Pero como mucho</w:t>
      </w:r>
      <w:r>
        <w:t xml:space="preserve"> </w:t>
      </w:r>
      <w:r>
        <w:rPr>
          <w:bCs/>
          <w:b/>
        </w:rPr>
        <w:t xml:space="preserve">+10 %</w:t>
      </w:r>
      <w:r>
        <w:t xml:space="preserve"> </w:t>
      </w:r>
      <w:r>
        <w:t xml:space="preserve">por múltiplo (Edenred: la mitad del camino de 13,6x a 21x sería 16,9x; el tope la deja en 15,0x).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Castiga:</w:t>
      </w:r>
      <w:r>
        <w:t xml:space="preserve"> </w:t>
      </w:r>
      <w:r>
        <w:t xml:space="preserve">cotizar por encima de su historia (le quita hasta un 10 %; TUI pierde un poco porque 6,9x está algo por encima de su mediana de 6,8x).</w:t>
      </w:r>
    </w:p>
    <w:p>
      <w:pPr>
        <w:pStyle w:val="FirstParagraph"/>
      </w:pPr>
      <w:r>
        <w:rPr>
          <w:bCs/>
          <w:b/>
        </w:rPr>
        <w:t xml:space="preserve">El selector de método</w:t>
      </w:r>
      <w:r>
        <w:t xml:space="preserve"> </w:t>
      </w:r>
      <w:r>
        <w:t xml:space="preserve">decide empresa por empresa: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Desrateada</w:t>
      </w:r>
      <w:r>
        <w:t xml:space="preserve"> </w:t>
      </w:r>
      <w:r>
        <w:t xml:space="preserve">(mediana de 5 años ≥ 1,8 veces el PER de hoy) → decide la</w:t>
      </w:r>
      <w:r>
        <w:t xml:space="preserve"> </w:t>
      </w:r>
      <w:r>
        <w:rPr>
          <w:bCs/>
          <w:b/>
        </w:rPr>
        <w:t xml:space="preserve">v2</w:t>
      </w:r>
      <w:r>
        <w:t xml:space="preserve">: base =</w:t>
      </w:r>
      <w:r>
        <w:t xml:space="preserve"> </w:t>
      </w:r>
      <w:r>
        <w:rPr>
          <w:bCs/>
          <w:b/>
        </w:rPr>
        <w:t xml:space="preserve">el PER de hoy</w:t>
      </w:r>
      <w:r>
        <w:t xml:space="preserve">, sin ninguna recuperación. Se supone que la historia es de otro régimen y no vuelve.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Historia de 3 años o menos</w:t>
      </w:r>
      <w:r>
        <w:t xml:space="preserve"> </w:t>
      </w:r>
      <w:r>
        <w:t xml:space="preserve">→ decide</w:t>
      </w:r>
      <w:r>
        <w:t xml:space="preserve"> </w:t>
      </w:r>
      <w:r>
        <w:rPr>
          <w:bCs/>
          <w:b/>
        </w:rPr>
        <w:t xml:space="preserve">la más baja</w:t>
      </w:r>
      <w:r>
        <w:t xml:space="preserve"> </w:t>
      </w:r>
      <w:r>
        <w:t xml:space="preserve">de v3 y v2.</w:t>
      </w:r>
    </w:p>
    <w:p>
      <w:pPr>
        <w:numPr>
          <w:ilvl w:val="0"/>
          <w:numId w:val="1002"/>
        </w:numPr>
        <w:pStyle w:val="Compact"/>
      </w:pPr>
      <w:r>
        <w:t xml:space="preserve">El resto → v3 con tope ×1,1.</w:t>
      </w:r>
    </w:p>
    <w:p>
      <w:pPr>
        <w:pStyle w:val="FirstParagraph"/>
      </w:pPr>
      <w:r>
        <w:rPr>
          <w:bCs/>
          <w:b/>
        </w:rPr>
        <w:t xml:space="preserve">Qué castiga más el selector.</w:t>
      </w:r>
      <w:r>
        <w:t xml:space="preserve"> </w:t>
      </w:r>
      <w:r>
        <w:t xml:space="preserve">A las que han caído mucho de múltiplo.</w:t>
      </w:r>
      <w:r>
        <w:t xml:space="preserve"> </w:t>
      </w:r>
      <w:r>
        <w:rPr>
          <w:bCs/>
          <w:b/>
        </w:rPr>
        <w:t xml:space="preserve">Intuit</w:t>
      </w:r>
      <w:r>
        <w:t xml:space="preserve"> </w:t>
      </w:r>
      <w:r>
        <w:t xml:space="preserve">(mediana 49x frente a 15x hoy, 3,3 veces) y</w:t>
      </w:r>
      <w:r>
        <w:t xml:space="preserve"> </w:t>
      </w:r>
      <w:r>
        <w:rPr>
          <w:bCs/>
          <w:b/>
        </w:rPr>
        <w:t xml:space="preserve">Zoetis</w:t>
      </w:r>
      <w:r>
        <w:t xml:space="preserve"> </w:t>
      </w:r>
      <w:r>
        <w:t xml:space="preserve">(36x frente a 12x) pasan a v2: cero recuperación. Con la v3 sin selector, Intuit daría hoy</w:t>
      </w:r>
      <w:r>
        <w:t xml:space="preserve"> </w:t>
      </w:r>
      <w:r>
        <w:rPr>
          <w:bCs/>
          <w:b/>
        </w:rPr>
        <w:t xml:space="preserve">+17,3 %</w:t>
      </w:r>
      <w:r>
        <w:t xml:space="preserve"> </w:t>
      </w:r>
      <w:r>
        <w:t xml:space="preserve">(Comprar); con la v2 que decide,</w:t>
      </w:r>
      <w:r>
        <w:t xml:space="preserve"> </w:t>
      </w:r>
      <w:r>
        <w:rPr>
          <w:bCs/>
          <w:b/>
        </w:rPr>
        <w:t xml:space="preserve">+6,5 %</w:t>
      </w:r>
      <w:r>
        <w:t xml:space="preserve">. Uber (historia de 3 años) también queda en v2, con un alcista igual al base porque ni su historia útil ni los comparables pagan más.</w:t>
      </w:r>
    </w:p>
    <w:p>
      <w:pPr>
        <w:pStyle w:val="BodyText"/>
      </w:pPr>
      <w:r>
        <w:rPr>
          <w:bCs/>
          <w:b/>
        </w:rPr>
        <w:t xml:space="preserve">Bajista y alcista.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Bajista v3</w:t>
      </w:r>
      <w:r>
        <w:t xml:space="preserve"> </w:t>
      </w:r>
      <w:r>
        <w:t xml:space="preserve">= el menor entre el mínimo de 5 años y base × 0,80.</w:t>
      </w:r>
      <w:r>
        <w:t xml:space="preserve"> </w:t>
      </w:r>
      <w:r>
        <w:rPr>
          <w:bCs/>
          <w:b/>
        </w:rPr>
        <w:t xml:space="preserve">v2</w:t>
      </w:r>
      <w:r>
        <w:t xml:space="preserve">: mínimo de 5 años si es menor, si no base × 0,85.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Alcista v3</w:t>
      </w:r>
      <w:r>
        <w:t xml:space="preserve"> </w:t>
      </w:r>
      <w:r>
        <w:t xml:space="preserve">= el mayor entre media larga, mediana de 5 años y mediana de comparables, con</w:t>
      </w:r>
      <w:r>
        <w:t xml:space="preserve"> </w:t>
      </w:r>
      <w:r>
        <w:rPr>
          <w:bCs/>
          <w:b/>
        </w:rPr>
        <w:t xml:space="preserve">techo base × 1,35</w:t>
      </w:r>
      <w:r>
        <w:t xml:space="preserve"> </w:t>
      </w:r>
      <w:r>
        <w:t xml:space="preserve">(v2: × 1,30). Los comparables</w:t>
      </w:r>
      <w:r>
        <w:t xml:space="preserve"> </w:t>
      </w:r>
      <w:r>
        <w:rPr>
          <w:bCs/>
          <w:b/>
        </w:rPr>
        <w:t xml:space="preserve">solo pueden subir</w:t>
      </w:r>
      <w:r>
        <w:t xml:space="preserve"> </w:t>
      </w:r>
      <w:r>
        <w:t xml:space="preserve">el alcista, nunca bajarlo (Edenred, comparables a 9,5x, no le resta).</w:t>
      </w:r>
    </w:p>
    <w:bookmarkEnd w:id="23"/>
    <w:bookmarkStart w:id="24" w:name="los-escenarios-y-sus-probabilidades"/>
    <w:p>
      <w:pPr>
        <w:pStyle w:val="Heading2"/>
      </w:pPr>
      <w:r>
        <w:t xml:space="preserve">2.3 Los escenarios y sus probabilidades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Objetivo ponderado = probabilidad × (PER del escenario × BPA del escenario), con las probabilidades del propio informe (25/50/25 por defecto).</w:t>
      </w:r>
    </w:p>
    <w:p>
      <w:pPr>
        <w:pStyle w:val="BodyText"/>
      </w:pPr>
      <w:r>
        <w:rPr>
          <w:bCs/>
          <w:b/>
        </w:rPr>
        <w:t xml:space="preserve">Lo baja.</w:t>
      </w:r>
      <w:r>
        <w:t xml:space="preserve"> </w:t>
      </w:r>
      <w:r>
        <w:t xml:space="preserve">El bajista castiga</w:t>
      </w:r>
      <w:r>
        <w:t xml:space="preserve"> </w:t>
      </w:r>
      <w:r>
        <w:rPr>
          <w:bCs/>
          <w:b/>
        </w:rPr>
        <w:t xml:space="preserve">dos veces</w:t>
      </w:r>
      <w:r>
        <w:t xml:space="preserve">: BPA más bajo y PER más bajo a la vez. Por eso la ponderada suele quedar por debajo del base. Y unas probabilidades inclinadas a la baja: Zoetis 30/50/20 e Intuit 25/55/20 (con 25/50/25, Intuit pasaría de 6,5 % a 8,7 %).</w:t>
      </w:r>
    </w:p>
    <w:p>
      <w:pPr>
        <w:pStyle w:val="BodyText"/>
      </w:pPr>
      <w:r>
        <w:rPr>
          <w:bCs/>
          <w:b/>
        </w:rPr>
        <w:t xml:space="preserve">Lo sube.</w:t>
      </w:r>
      <w:r>
        <w:t xml:space="preserve"> </w:t>
      </w:r>
      <w:r>
        <w:t xml:space="preserve">Un alcista con recorrido (TUI: alcista 15,0 EUR, +122 %) y probabilidades simétricas.</w:t>
      </w:r>
    </w:p>
    <w:p>
      <w:pPr>
        <w:pStyle w:val="BodyText"/>
      </w:pPr>
      <w:r>
        <w:rPr>
          <w:bCs/>
          <w:b/>
        </w:rPr>
        <w:t xml:space="preserve">Qué lo castiga más.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doble castigo</w:t>
      </w:r>
      <w:r>
        <w:t xml:space="preserve"> </w:t>
      </w:r>
      <w:r>
        <w:t xml:space="preserve">cuando el BPA bajista ya es un 15 % o más inferior al base y además el PER bajista cae por debajo de base × 0,80. Lo marca</w:t>
      </w:r>
      <w:r>
        <w:t xml:space="preserve"> </w:t>
      </w:r>
      <w:r>
        <w:rPr>
          <w:bCs/>
          <w:b/>
        </w:rPr>
        <w:t xml:space="preserve">M4</w:t>
      </w:r>
      <w:r>
        <w:t xml:space="preserve">: Edenred (BPA −23 % y PER 9,7x) y TUI (BPA −38 % y PER 5,2x). Sin doble castigo, Edenred subiría de 27,7 % a 31,4 %. Es una variante que se enseña, no decide.</w:t>
      </w:r>
    </w:p>
    <w:bookmarkEnd w:id="24"/>
    <w:bookmarkStart w:id="25" w:name="el-objetivo-fijo-y-el-precio-de-hoy"/>
    <w:p>
      <w:pPr>
        <w:pStyle w:val="Heading2"/>
      </w:pPr>
      <w:r>
        <w:t xml:space="preserve">2.4 El objetivo fijo y el precio de hoy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El objetivo se calcula</w:t>
      </w:r>
      <w:r>
        <w:t xml:space="preserve"> </w:t>
      </w:r>
      <w:r>
        <w:rPr>
          <w:bCs/>
          <w:b/>
        </w:rPr>
        <w:t xml:space="preserve">una vez</w:t>
      </w:r>
      <w:r>
        <w:t xml:space="preserve">, al precio del informe, y queda fijo. Con un precio nuevo solo se mueve la rentabilidad: rentabilidad = (objetivo + dividendo) ÷ precio de hoy − 1. Recalcular el objetivo exige una versión nueva del informe.</w:t>
      </w:r>
    </w:p>
    <w:p>
      <w:pPr>
        <w:pStyle w:val="BodyText"/>
      </w:pPr>
      <w:r>
        <w:rPr>
          <w:bCs/>
          <w:b/>
        </w:rPr>
        <w:t xml:space="preserve">Beneficia:</w:t>
      </w:r>
      <w:r>
        <w:t xml:space="preserve"> </w:t>
      </w:r>
      <w:r>
        <w:t xml:space="preserve">que el precio baje después del informe (la rentabilidad sube punto por punto).</w:t>
      </w:r>
      <w:r>
        <w:t xml:space="preserve"> </w:t>
      </w:r>
      <w:r>
        <w:rPr>
          <w:bCs/>
          <w:b/>
        </w:rPr>
        <w:t xml:space="preserve">Castiga:</w:t>
      </w:r>
      <w:r>
        <w:t xml:space="preserve"> </w:t>
      </w:r>
      <w:r>
        <w:t xml:space="preserve">que suba.</w:t>
      </w:r>
    </w:p>
    <w:p>
      <w:pPr>
        <w:pStyle w:val="BodyText"/>
      </w:pPr>
      <w:r>
        <w:rPr>
          <w:bCs/>
          <w:b/>
        </w:rPr>
        <w:t xml:space="preserve">Por qué es así.</w:t>
      </w:r>
      <w:r>
        <w:t xml:space="preserve"> </w:t>
      </w:r>
      <w:r>
        <w:t xml:space="preserve">En la v2 y en la v3 con tope, el base es el PER de hoy (o el de hoy × 1,1). Si se recalculase con cada precio, el objetivo subiría con la cotización y el límite de compra no limitaría nada (caso Nu, que dio pie a la regla). La prueba</w:t>
      </w:r>
      <w:r>
        <w:t xml:space="preserve"> </w:t>
      </w:r>
      <w:r>
        <w:rPr>
          <w:bCs/>
          <w:b/>
        </w:rPr>
        <w:t xml:space="preserve">M6</w:t>
      </w:r>
      <w:r>
        <w:t xml:space="preserve"> </w:t>
      </w:r>
      <w:r>
        <w:t xml:space="preserve">mide esa «elasticidad»: Intuit 1,03, Zoetis 1,00, Uber 0,96, Edenred 0,68, TUI 0,50.</w:t>
      </w:r>
    </w:p>
    <w:p>
      <w:pPr>
        <w:pStyle w:val="BodyText"/>
      </w:pPr>
      <w:r>
        <w:rPr>
          <w:bCs/>
          <w:b/>
        </w:rPr>
        <w:t xml:space="preserve">El sesgo que crea (ver 3.1).</w:t>
      </w:r>
      <w:r>
        <w:t xml:space="preserve"> </w:t>
      </w:r>
      <w:r>
        <w:t xml:space="preserve">En las desrateadas, el objetivo queda anclado al PER del día del informe, que es un día cualquiera.</w:t>
      </w:r>
    </w:p>
    <w:bookmarkEnd w:id="25"/>
    <w:bookmarkStart w:id="26" w:name="el-dividendo"/>
    <w:p>
      <w:pPr>
        <w:pStyle w:val="Heading2"/>
      </w:pPr>
      <w:r>
        <w:t xml:space="preserve">2.5 El dividendo</w:t>
      </w:r>
    </w:p>
    <w:p>
      <w:pPr>
        <w:pStyle w:val="FirstParagraph"/>
      </w:pPr>
      <w:r>
        <w:t xml:space="preserve">Suma su rentabilidad por dividendo del informe (dividendo por acción fijo). Edenred +4,4 puntos, Zoetis +2,9, Intuit +1,6, TUI +1,5, Uber 0. Pesa poco salvo en empresas maduras, pero en Edenred es casi una sexta parte de la rentabilidad.</w:t>
      </w:r>
    </w:p>
    <w:bookmarkEnd w:id="26"/>
    <w:bookmarkStart w:id="27" w:name="las-tres-señales-y-el-límite-de-compra"/>
    <w:p>
      <w:pPr>
        <w:pStyle w:val="Heading2"/>
      </w:pPr>
      <w:r>
        <w:t xml:space="preserve">2.6 Las tres señales y el límite de compra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Comprar:</w:t>
      </w:r>
      <w:r>
        <w:t xml:space="preserve"> </w:t>
      </w:r>
      <w:r>
        <w:t xml:space="preserve">ponderada ≥ 15 %, base ≥ 12 % y valor real ≥ precio.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Mantener (filtro de cartera):</w:t>
      </w:r>
      <w:r>
        <w:t xml:space="preserve"> </w:t>
      </w:r>
      <w:r>
        <w:t xml:space="preserve">ponderada ≥ 10 %, base ≥ 5 % y valor real no más de un 15 % por debajo del precio.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Vender (regla del informe):</w:t>
      </w:r>
      <w:r>
        <w:t xml:space="preserve"> </w:t>
      </w:r>
      <w:r>
        <w:t xml:space="preserve">ponderada ≤ −10 %.</w:t>
      </w:r>
    </w:p>
    <w:p>
      <w:pPr>
        <w:pStyle w:val="FirstParagraph"/>
      </w:pPr>
      <w:r>
        <w:rPr>
          <w:bCs/>
          <w:b/>
        </w:rPr>
        <w:t xml:space="preserve">Límite de compra</w:t>
      </w:r>
      <w:r>
        <w:t xml:space="preserve"> </w:t>
      </w:r>
      <w:r>
        <w:t xml:space="preserve">(con el objetivo fijo) = el menor de: (objetivo ponderado + dividendo) ÷ 1,15; (objetivo base + dividendo) ÷ 1,12; valor real.</w:t>
      </w:r>
      <w:r>
        <w:t xml:space="preserve"> </w:t>
      </w:r>
      <w:r>
        <w:rPr>
          <w:bCs/>
          <w:b/>
        </w:rPr>
        <w:t xml:space="preserve">Límite robusto</w:t>
      </w:r>
      <w:r>
        <w:t xml:space="preserve"> </w:t>
      </w:r>
      <w:r>
        <w:t xml:space="preserve">= el precio más alto al que además pasa la v2 de control y la compra con el BPA un 10 % peor. Ese es el que se usa para comprar a mercado.</w:t>
      </w:r>
    </w:p>
    <w:bookmarkEnd w:id="27"/>
    <w:bookmarkStart w:id="28" w:name="el-valor-real-valor-intrínseco"/>
    <w:p>
      <w:pPr>
        <w:pStyle w:val="Heading2"/>
      </w:pPr>
      <w:r>
        <w:t xml:space="preserve">2.7 El valor real (valor intrínseco)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Una media ponderada de métodos de largo plazo, con los pesos que declara cada informe (no es un 60/40 fijo): DCF 40-55 %, escenarios del DCF 25-35 %, comparables 10-15 %, y a veces transacciones o suma de partes. Ejemplos: Intuit 55/15/5/25 (DCF, comparables, transacciones, escenarios); Edenred 55/10/35; Uber 40/15/30 más 15 de suma de partes.</w:t>
      </w:r>
    </w:p>
    <w:p>
      <w:pPr>
        <w:pStyle w:val="BodyText"/>
      </w:pPr>
      <w:r>
        <w:rPr>
          <w:bCs/>
          <w:b/>
        </w:rPr>
        <w:t xml:space="preserve">Lo sube:</w:t>
      </w:r>
      <w:r>
        <w:t xml:space="preserve"> </w:t>
      </w:r>
      <w:r>
        <w:t xml:space="preserve">WACC bajo, crecimiento a perpetuidad alto, márgenes que suben, comparables caros.</w:t>
      </w:r>
      <w:r>
        <w:t xml:space="preserve"> </w:t>
      </w:r>
      <w:r>
        <w:rPr>
          <w:bCs/>
          <w:b/>
        </w:rPr>
        <w:t xml:space="preserve">Lo baja:</w:t>
      </w:r>
      <w:r>
        <w:t xml:space="preserve"> </w:t>
      </w:r>
      <w:r>
        <w:t xml:space="preserve">WACC alto (Uber 10,7 %), que la prueba de sostenibilidad falle (el DCF rebaja el base), comparables baratos.</w:t>
      </w:r>
    </w:p>
    <w:p>
      <w:pPr>
        <w:pStyle w:val="BodyText"/>
      </w:pPr>
      <w:r>
        <w:rPr>
          <w:bCs/>
          <w:b/>
        </w:rPr>
        <w:t xml:space="preserve">Cuánto pesa.</w:t>
      </w:r>
      <w:r>
        <w:t xml:space="preserve"> </w:t>
      </w:r>
      <w:r>
        <w:rPr>
          <w:bCs/>
          <w:b/>
        </w:rPr>
        <w:t xml:space="preserve">No suma rentabilidad</w:t>
      </w:r>
      <w:r>
        <w:t xml:space="preserve">: solo filtra. Para comprar, valor real ≥ precio; para mantener, ≥ 85 % del precio. Casi nunca muerde: TUI tiene un valor real de 19,26 EUR frente a 6,72 (aviso</w:t>
      </w:r>
      <w:r>
        <w:t xml:space="preserve"> </w:t>
      </w:r>
      <w:r>
        <w:rPr>
          <w:bCs/>
          <w:b/>
        </w:rPr>
        <w:t xml:space="preserve">V2</w:t>
      </w:r>
      <w:r>
        <w:t xml:space="preserve">: el DCF va muy por encima del objetivo a 12 meses, la señal la da el objetivo). Donde más se acerca es en</w:t>
      </w:r>
      <w:r>
        <w:t xml:space="preserve"> </w:t>
      </w:r>
      <w:r>
        <w:rPr>
          <w:bCs/>
          <w:b/>
        </w:rPr>
        <w:t xml:space="preserve">Uber</w:t>
      </w:r>
      <w:r>
        <w:t xml:space="preserve">: 73,59 USD frente a 69,96, a un 5 %.</w:t>
      </w:r>
    </w:p>
    <w:bookmarkEnd w:id="28"/>
    <w:bookmarkStart w:id="29" w:name="la-calidad"/>
    <w:p>
      <w:pPr>
        <w:pStyle w:val="Heading2"/>
      </w:pPr>
      <w:r>
        <w:t xml:space="preserve">2.8 La calidad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ROIC − WACC ≥ 5 puntos</w:t>
      </w:r>
      <w:r>
        <w:t xml:space="preserve"> </w:t>
      </w:r>
      <w:r>
        <w:t xml:space="preserve">para comprar o ampliar (cifras sin redondear). Para vender por calidad, por debajo de 4,5; entre 4,5 y 5 se mantiene sin ampliar.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Sostenibilidad del crecimiento «Sí»</w:t>
      </w:r>
      <w:r>
        <w:t xml:space="preserve"> </w:t>
      </w:r>
      <w:r>
        <w:t xml:space="preserve">para comprar. «En parte» no obliga a vender, pero</w:t>
      </w:r>
      <w:r>
        <w:t xml:space="preserve"> </w:t>
      </w:r>
      <w:r>
        <w:rPr>
          <w:bCs/>
          <w:b/>
        </w:rPr>
        <w:t xml:space="preserve">no se compra ni se amplía</w:t>
      </w:r>
      <w:r>
        <w:t xml:space="preserve">. El motor da «En parte» si el capital nuevo tendría que rendir más de 1,25 veces lo histórico, si la cuota implícita supera 1,5 veces la actual, o si el crecimiento proyectado supera con holgura al histórico.</w:t>
      </w:r>
    </w:p>
    <w:p>
      <w:pPr>
        <w:numPr>
          <w:ilvl w:val="0"/>
          <w:numId w:val="1005"/>
        </w:numPr>
        <w:pStyle w:val="Compact"/>
      </w:pPr>
      <w:r>
        <w:t xml:space="preserve">Excepciones del usuario: LVMH, Fluidra y DSV.</w:t>
      </w:r>
    </w:p>
    <w:p>
      <w:pPr>
        <w:pStyle w:val="FirstParagraph"/>
      </w:pPr>
      <w:r>
        <w:rPr>
          <w:bCs/>
          <w:b/>
        </w:rPr>
        <w:t xml:space="preserve">Cuánto pesa.</w:t>
      </w:r>
      <w:r>
        <w:t xml:space="preserve"> </w:t>
      </w:r>
      <w:r>
        <w:t xml:space="preserve">No cambia la rentabilidad: es un sí o un no.</w:t>
      </w:r>
      <w:r>
        <w:t xml:space="preserve"> </w:t>
      </w:r>
      <w:r>
        <w:rPr>
          <w:bCs/>
          <w:b/>
        </w:rPr>
        <w:t xml:space="preserve">Edenred</w:t>
      </w:r>
      <w:r>
        <w:t xml:space="preserve"> </w:t>
      </w:r>
      <w:r>
        <w:t xml:space="preserve">es el ejemplo: por números da Comprar (27,7 %), pero con sostenibilidad «En parte» la acción robusta baja a Mantener (marca</w:t>
      </w:r>
      <w:r>
        <w:t xml:space="preserve"> </w:t>
      </w:r>
      <w:r>
        <w:rPr>
          <w:bCs/>
          <w:b/>
        </w:rPr>
        <w:t xml:space="preserve">Q1</w:t>
      </w:r>
      <w:r>
        <w:t xml:space="preserve">). Intuit también es «En parte».</w:t>
      </w:r>
    </w:p>
    <w:bookmarkEnd w:id="29"/>
    <w:bookmarkStart w:id="30" w:name="Xe246e66e2590a0567c0d7a9ecde2580b49ec374"/>
    <w:p>
      <w:pPr>
        <w:pStyle w:val="Heading2"/>
      </w:pPr>
      <w:r>
        <w:t xml:space="preserve">2.9 La prueba del BPA −10 % (la que más compras tumba)</w:t>
      </w:r>
    </w:p>
    <w:p>
      <w:pPr>
        <w:pStyle w:val="FirstParagraph"/>
      </w:pPr>
      <w:r>
        <w:rPr>
          <w:bCs/>
          <w:b/>
        </w:rPr>
        <w:t xml:space="preserve">Qué es.</w:t>
      </w:r>
      <w:r>
        <w:t xml:space="preserve"> </w:t>
      </w:r>
      <w:r>
        <w:t xml:space="preserve">Para que una compra sea robusta, tiene que seguir pasando (ponderada ≥ 15 % y base ≥ 12 %) con el BPA de los tres escenarios un 10 % peor.</w:t>
      </w:r>
    </w:p>
    <w:p>
      <w:pPr>
        <w:pStyle w:val="BodyText"/>
      </w:pPr>
      <w:r>
        <w:rPr>
          <w:bCs/>
          <w:b/>
        </w:rPr>
        <w:t xml:space="preserve">La cuenta que conviene recordar.</w:t>
      </w:r>
      <w:r>
        <w:t xml:space="preserve"> </w:t>
      </w:r>
      <w:r>
        <w:t xml:space="preserve">Con el objetivo fijo, quitar un 10 % al BPA quita un 10 % al objetivo. Así que la prueba sube el listón real de compra a:</w:t>
      </w:r>
    </w:p>
    <w:p>
      <w:pPr>
        <w:pStyle w:val="BlockText"/>
      </w:pPr>
      <w:r>
        <w:rPr>
          <w:bCs/>
          <w:b/>
        </w:rPr>
        <w:t xml:space="preserve">ponderada ≥ 27,8 % y base ≥ 24,4 %</w:t>
      </w:r>
      <w:r>
        <w:t xml:space="preserve"> </w:t>
      </w:r>
      <w:r>
        <w:t xml:space="preserve">(porque 1,278 × 0,9 = 1,15 y 1,244 × 0,9 = 1,12; el dividendo ayuda un poco).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BPA −10 %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¿Pasa?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(colchón de BPA del 15 %)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Edenred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por poco (colchón del 11 %)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con un BPA un 10 % peor ni siquiera llegaría al 10 % de mantener (colchón para mantener: 4 %)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castiga.</w:t>
      </w:r>
      <w:r>
        <w:t xml:space="preserve"> </w:t>
      </w:r>
      <w:r>
        <w:t xml:space="preserve">A las de crecimiento modesto y a las que están cerca del umbral.</w:t>
      </w:r>
      <w:r>
        <w:t xml:space="preserve"> </w:t>
      </w:r>
      <w:r>
        <w:rPr>
          <w:bCs/>
          <w:b/>
        </w:rPr>
        <w:t xml:space="preserve">Qué beneficia.</w:t>
      </w:r>
      <w:r>
        <w:t xml:space="preserve"> </w:t>
      </w:r>
      <w:r>
        <w:t xml:space="preserve">A las de BPA que crece mucho, aunque son justo las que más dependen de acertar el BPA.</w:t>
      </w:r>
    </w:p>
    <w:p>
      <w:pPr>
        <w:pStyle w:val="BodyText"/>
      </w:pPr>
      <w:r>
        <w:t xml:space="preserve">La prueba</w:t>
      </w:r>
      <w:r>
        <w:t xml:space="preserve"> </w:t>
      </w:r>
      <w:r>
        <w:rPr>
          <w:bCs/>
          <w:b/>
        </w:rPr>
        <w:t xml:space="preserve">solo se exige para comprar</w:t>
      </w:r>
      <w:r>
        <w:t xml:space="preserve">. Uber pasa el filtro de mantener (13,7 % y 21,7 %) y se queda; no se compraría más.</w:t>
      </w:r>
    </w:p>
    <w:bookmarkEnd w:id="30"/>
    <w:bookmarkStart w:id="31" w:name="las-otras-pruebas-de-robustez"/>
    <w:p>
      <w:pPr>
        <w:pStyle w:val="Heading2"/>
      </w:pPr>
      <w:r>
        <w:t xml:space="preserve">2.10 Las otras pruebas de robustez</w:t>
      </w:r>
    </w:p>
    <w:p>
      <w:pPr>
        <w:pStyle w:val="FirstParagraph"/>
      </w:pPr>
      <w:r>
        <w:t xml:space="preserve">Pasan variantes razonables y se queda</w:t>
      </w:r>
      <w:r>
        <w:t xml:space="preserve"> </w:t>
      </w:r>
      <w:r>
        <w:rPr>
          <w:bCs/>
          <w:b/>
        </w:rPr>
        <w:t xml:space="preserve">la peor</w:t>
      </w:r>
      <w:r>
        <w:t xml:space="preserve">. Las que más pesan: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v2 de control:</w:t>
      </w:r>
      <w:r>
        <w:t xml:space="preserve"> </w:t>
      </w:r>
      <w:r>
        <w:t xml:space="preserve">la compra robusta tiene que pasar con v3 y con v2. Edenred: v3 27,7 %, v2 15,0 %; su límite común lo marca la v2 (29,63 EUR).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Confianza:</w:t>
      </w:r>
      <w:r>
        <w:t xml:space="preserve"> </w:t>
      </w:r>
      <w:r>
        <w:t xml:space="preserve">confianza de datos «Baja» (V3), historia de 3 años o menos (M2; en Uber), BPA que crece más de un 25 % anual (D6) o precio que se ha movido más de un 15 % desde el informe (E3). Cualquiera de estas baja un Comprar a Mantener.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Datos:</w:t>
      </w:r>
      <w:r>
        <w:t xml:space="preserve"> </w:t>
      </w:r>
      <w:r>
        <w:t xml:space="preserve">precio de más de 4 días o en otra divisa (D1-D3, bloquean la señal).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Exclusiones del usuario</w:t>
      </w:r>
      <w:r>
        <w:t xml:space="preserve"> </w:t>
      </w:r>
      <w:r>
        <w:t xml:space="preserve">(X1).</w:t>
      </w:r>
    </w:p>
    <w:bookmarkEnd w:id="31"/>
    <w:bookmarkStart w:id="32" w:name="precio-y-noticias-regla-13"/>
    <w:p>
      <w:pPr>
        <w:pStyle w:val="Heading2"/>
      </w:pPr>
      <w:r>
        <w:t xml:space="preserve">2.11 Precio y noticias (regla 13)</w:t>
      </w:r>
    </w:p>
    <w:p>
      <w:pPr>
        <w:pStyle w:val="FirstParagraph"/>
      </w:pPr>
      <w:r>
        <w:t xml:space="preserve">No toca la rentabilidad ni el objetivo. Da un veredicto:</w:t>
      </w:r>
      <w:r>
        <w:t xml:space="preserve"> </w:t>
      </w:r>
      <w:r>
        <w:rPr>
          <w:bCs/>
          <w:b/>
        </w:rPr>
        <w:t xml:space="preserve">no cambia</w:t>
      </w:r>
      <w:r>
        <w:t xml:space="preserve">,</w:t>
      </w:r>
      <w:r>
        <w:t xml:space="preserve"> </w:t>
      </w:r>
      <w:r>
        <w:rPr>
          <w:bCs/>
          <w:b/>
        </w:rPr>
        <w:t xml:space="preserve">retrasa</w:t>
      </w:r>
      <w:r>
        <w:t xml:space="preserve"> </w:t>
      </w:r>
      <w:r>
        <w:t xml:space="preserve">(solo un hecho pendiente ajeno al análisis que pueda mover el precio más de un 5 % en contra; los resultados cercanos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retrasan) o</w:t>
      </w:r>
      <w:r>
        <w:t xml:space="preserve"> </w:t>
      </w:r>
      <w:r>
        <w:rPr>
          <w:bCs/>
          <w:b/>
        </w:rPr>
        <w:t xml:space="preserve">descarta</w:t>
      </w:r>
      <w:r>
        <w:t xml:space="preserve">. Con «retrasa» la acción robusta pasa a Esperar (C1); con «descarta», a Mantener (C2); sin el bloque, no hay orden (C3). Edenred y TUI: «no cambia». Los avisos de movimiento (P1-P5, por ejemplo Intuit y Zoetis, que cotizan un 18 % y un 22 % bajo su media de 200 sesiones) solo piden explicar la causa.</w:t>
      </w:r>
    </w:p>
    <w:bookmarkEnd w:id="32"/>
    <w:bookmarkEnd w:id="33"/>
    <w:bookmarkStart w:id="42" w:name="sesgos-conocidos"/>
    <w:p>
      <w:pPr>
        <w:pStyle w:val="Heading1"/>
      </w:pPr>
      <w:r>
        <w:t xml:space="preserve">3. Sesgos conocidos</w:t>
      </w:r>
    </w:p>
    <w:bookmarkStart w:id="34" w:name="X118dc6558a71a55900dab80737fdffecad336c3"/>
    <w:p>
      <w:pPr>
        <w:pStyle w:val="Heading2"/>
      </w:pPr>
      <w:r>
        <w:t xml:space="preserve">3.1 Objetivo fijado a un precio viejo: una subida puede dar una señal de venta falsa</w:t>
      </w:r>
    </w:p>
    <w:p>
      <w:pPr>
        <w:pStyle w:val="FirstParagraph"/>
      </w:pPr>
      <w:r>
        <w:t xml:space="preserve">En las desrateadas (v2) el base</w:t>
      </w:r>
      <w:r>
        <w:t xml:space="preserve"> </w:t>
      </w:r>
      <w:r>
        <w:rPr>
          <w:bCs/>
          <w:b/>
        </w:rPr>
        <w:t xml:space="preserve">es</w:t>
      </w:r>
      <w:r>
        <w:t xml:space="preserve"> </w:t>
      </w:r>
      <w:r>
        <w:t xml:space="preserve">el PER del día del informe. Ese día no tiene nada de especial: si el informe se hubiese hecho una semana después, con otro precio, el objetivo sería otro casi en la misma proporción (elasticidad ≈ 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Precio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de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con objetivo 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rehiciera hoy (aprox.)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302,75 USD (10-oct)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325,62 (+7,6 %)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6,5 % → no pasa 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14-15 % → pasaría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Zoetis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71,33 USD (7-oct)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79,59 (+11,6 %)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5 % →</w:t>
            </w:r>
            <w:r>
              <w:t xml:space="preserve"> </w:t>
            </w:r>
            <w:r>
              <w:rPr>
                <w:bCs/>
                <w:b/>
              </w:rPr>
              <w:t xml:space="preserve">tampoco</w:t>
            </w:r>
            <w:r>
              <w:t xml:space="preserve"> </w:t>
            </w:r>
            <w:r>
              <w:t xml:space="preserve">pasaría</w:t>
            </w:r>
          </w:p>
        </w:tc>
      </w:tr>
    </w:tbl>
    <w:p>
      <w:pPr>
        <w:pStyle w:val="BodyText"/>
      </w:pPr>
      <w:r>
        <w:t xml:space="preserve">La columna «si se rehiciera hoy» es una aproximación con la elasticidad de la prueba M6, no una cifra del método.</w:t>
      </w:r>
    </w:p>
    <w:p>
      <w:pPr>
        <w:pStyle w:val="BodyText"/>
      </w:pPr>
      <w:r>
        <w:rPr>
          <w:bCs/>
          <w:b/>
        </w:rPr>
        <w:t xml:space="preserve">Conclusión.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Intuit</w:t>
      </w:r>
      <w:r>
        <w:t xml:space="preserve"> </w:t>
      </w:r>
      <w:r>
        <w:t xml:space="preserve">la señal de «no mantener» sale</w:t>
      </w:r>
      <w:r>
        <w:t xml:space="preserve"> </w:t>
      </w:r>
      <w:r>
        <w:rPr>
          <w:bCs/>
          <w:b/>
        </w:rPr>
        <w:t xml:space="preserve">casi entera del ancla</w:t>
      </w:r>
      <w:r>
        <w:t xml:space="preserve">: el precio ha subido un 7,6 % y la rentabilidad cae 8 puntos (de 14,6 % a 6,5 %), sin que haya cambiado nada del negocio. En</w:t>
      </w:r>
      <w:r>
        <w:t xml:space="preserve"> </w:t>
      </w:r>
      <w:r>
        <w:rPr>
          <w:bCs/>
          <w:b/>
        </w:rPr>
        <w:t xml:space="preserve">Zoetis</w:t>
      </w:r>
      <w:r>
        <w:t xml:space="preserve">, no: ya en el informe daba 5,6 %, por debajo del 10 %, por su BPA casi plano, sin recuperación de múltiplo y con escenarios inclinados a la baja. El método lo deja así a propósito (si no, el límite no limitaría) y la salida prevista es</w:t>
      </w:r>
      <w:r>
        <w:t xml:space="preserve"> </w:t>
      </w:r>
      <w:r>
        <w:rPr>
          <w:bCs/>
          <w:b/>
        </w:rPr>
        <w:t xml:space="preserve">una versión nueva del informe</w:t>
      </w:r>
      <w:r>
        <w:t xml:space="preserve"> </w:t>
      </w:r>
      <w:r>
        <w:t xml:space="preserve">cuando cambian los datos (resultados), no recalcular con el precio. La regla de no tocar lo comprado en 3 meses (regla 12) amortigua este sesgo mientras tanto.</w:t>
      </w:r>
    </w:p>
    <w:p>
      <w:pPr>
        <w:pStyle w:val="BodyText"/>
      </w:pPr>
      <w:r>
        <w:t xml:space="preserve">El efecto contrario también existe: si el precio cae justo después del informe, la rentabilidad sube punto por punto y puede dar una compra que con un informe nuevo sería más floja.</w:t>
      </w:r>
    </w:p>
    <w:bookmarkEnd w:id="34"/>
    <w:bookmarkStart w:id="35" w:name="Xbcdff5ed4390692bfd09a7682b58a8f2a7cc241"/>
    <w:p>
      <w:pPr>
        <w:pStyle w:val="Heading2"/>
      </w:pPr>
      <w:r>
        <w:t xml:space="preserve">3.2 Las desrateadas no recuperan nada de múltiplo</w:t>
      </w:r>
    </w:p>
    <w:p>
      <w:pPr>
        <w:pStyle w:val="FirstParagraph"/>
      </w:pPr>
      <w:r>
        <w:t xml:space="preserve">El selector manda a v2 a las que cotizan a menos de 1/1,8 de su mediana: base = PER de hoy. Es prudente (el backtest de 123 cierres lo apoya, pero esa parte se basa solo en 7 casos) y castiga a las que han caído por algo pasajero. Intuit: 17,3 % con v3 frente a 6,5 % con v2.</w:t>
      </w:r>
    </w:p>
    <w:bookmarkEnd w:id="35"/>
    <w:bookmarkStart w:id="36" w:name="el-tope-de-11-limita-la-recuperación"/>
    <w:p>
      <w:pPr>
        <w:pStyle w:val="Heading2"/>
      </w:pPr>
      <w:r>
        <w:t xml:space="preserve">3.3 El tope de ×1,1 limita la recuperación</w:t>
      </w:r>
    </w:p>
    <w:p>
      <w:pPr>
        <w:pStyle w:val="FirstParagraph"/>
      </w:pPr>
      <w:r>
        <w:t xml:space="preserve">Aunque la historia diga que el múltiplo puede subir un 50 %, la regla solo da un 10 %. Protege de las trampas de valor y deja fuera parte de las recuperaciones de verdad (con el tope antiguo de ×1,3, Edenred daría 37,4 %).</w:t>
      </w:r>
    </w:p>
    <w:bookmarkEnd w:id="36"/>
    <w:bookmarkStart w:id="37" w:name="doble-castigo-en-el-bajista"/>
    <w:p>
      <w:pPr>
        <w:pStyle w:val="Heading2"/>
      </w:pPr>
      <w:r>
        <w:t xml:space="preserve">3.4 Doble castigo en el bajista</w:t>
      </w:r>
    </w:p>
    <w:p>
      <w:pPr>
        <w:pStyle w:val="FirstParagraph"/>
      </w:pPr>
      <w:r>
        <w:t xml:space="preserve">Un bajista con BPA mucho más bajo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PER mínimo cuenta el mismo riesgo dos veces. Baja la ponderada de Edenred unos 4 puntos y algo la de TUI. Se ve como variante (M4), no decide.</w:t>
      </w:r>
    </w:p>
    <w:bookmarkEnd w:id="37"/>
    <w:bookmarkStart w:id="38" w:name="X9bc36f3eaaca385adfb95e28cfcdf34a68cad8b"/>
    <w:p>
      <w:pPr>
        <w:pStyle w:val="Heading2"/>
      </w:pPr>
      <w:r>
        <w:t xml:space="preserve">3.5 La prueba del BPA −10 % sube el listón casi al doble</w:t>
      </w:r>
    </w:p>
    <w:p>
      <w:pPr>
        <w:pStyle w:val="FirstParagraph"/>
      </w:pPr>
      <w:r>
        <w:t xml:space="preserve">Del 15 % que se ve al ≈ 28 % real. Favorece a las de BPA muy creciente (TUI) frente a las estables, aunque las primeras tengan más riesgo de error en el propio BPA.</w:t>
      </w:r>
    </w:p>
    <w:bookmarkEnd w:id="38"/>
    <w:bookmarkStart w:id="39" w:name="X07a000979fff117aaa084be79914ac69b57b21d"/>
    <w:p>
      <w:pPr>
        <w:pStyle w:val="Heading2"/>
      </w:pPr>
      <w:r>
        <w:t xml:space="preserve">3.6 La «rentabilidad a 12 meses» lleva unos dos años de BPA</w:t>
      </w:r>
    </w:p>
    <w:p>
      <w:pPr>
        <w:pStyle w:val="FirstParagraph"/>
      </w:pPr>
      <w:r>
        <w:t xml:space="preserve">Como el ejercicio objetivo cierra más de 18 meses después del informe, beneficia a las que tienen mucho crecimiento por delante y deja la cifra muy expuesta a nuestro BPA propio (D6, D7).</w:t>
      </w:r>
    </w:p>
    <w:bookmarkEnd w:id="39"/>
    <w:bookmarkStart w:id="40" w:name="las-probabilidades-las-pone-el-analista"/>
    <w:p>
      <w:pPr>
        <w:pStyle w:val="Heading2"/>
      </w:pPr>
      <w:r>
        <w:t xml:space="preserve">3.7 Las probabilidades las pone el analista</w:t>
      </w:r>
    </w:p>
    <w:p>
      <w:pPr>
        <w:pStyle w:val="FirstParagraph"/>
      </w:pPr>
      <w:r>
        <w:t xml:space="preserve">Inclinar 5 puntos del alcista al bajista (Zoetis 30/50/20, Intuit 25/55/20) resta 2-3 puntos de ponderada.</w:t>
      </w:r>
    </w:p>
    <w:bookmarkEnd w:id="40"/>
    <w:bookmarkStart w:id="41" w:name="historia-corta"/>
    <w:p>
      <w:pPr>
        <w:pStyle w:val="Heading2"/>
      </w:pPr>
      <w:r>
        <w:t xml:space="preserve">3.8 Historia corta</w:t>
      </w:r>
    </w:p>
    <w:p>
      <w:pPr>
        <w:pStyle w:val="FirstParagraph"/>
      </w:pPr>
      <w:r>
        <w:t xml:space="preserve">Con 3 años o menos manda la más baja de v3 y v2 y además hay marca de confianza (Uber). Castiga a las empresas jóvenes o con años de pérdidas.</w:t>
      </w:r>
    </w:p>
    <w:bookmarkEnd w:id="41"/>
    <w:bookmarkEnd w:id="42"/>
    <w:bookmarkStart w:id="43" w:name="resumen-qué-beneficia-y-qué-castiga"/>
    <w:p>
      <w:pPr>
        <w:pStyle w:val="Heading1"/>
      </w:pPr>
      <w:r>
        <w:t xml:space="preserve">4. Resumen: qué beneficia y qué castiga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 (sube rentabilidad, límite o valor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BPA del ejercicio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que crece mucho en unos 2 años (TUI +32 %); recompras; rebote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plano (Zoetis +4 %); BPA propio por debajo de la calle (Uber −26 %); normalizar impuestos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mayor</w:t>
            </w:r>
            <w:r>
              <w:t xml:space="preserve">: 1 a 1 en el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base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Cotizar por debajo de su mediana (hasta +10 %, Edenred)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Cotizar por encima de su mediana (hasta −10 %)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Alto, con tope ±10 %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limpia de más de 3 años y no desrateada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Desrateada → v2 sin recuperación (Intuit 17,3 % → 6,5 %); historia corta → la más baja (Uber)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 cuando salta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de 5 años cerca del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castigo, BPA y PER a la vez (Edenred, TUI)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(25-30 % de peso)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larga, mediana o comparables altos (techo ×1,35)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historia ni comparables que paguen más: alcista = base (Uber)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25/50/25 o más 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Inclinarlas a la baja (Zoetis 30/50/20)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fijo y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precio baje tras 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suba tras el informe (Intuit +7,6 % → −8 puntos); señal de venta que puede ser falsa en desrateadas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1 en la 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Dividendo alto (Edenred 4,4 %)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dividendo (Uber)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Bajo, salvo en las maduras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WACC bajo, crecimiento terminal alto, márgenes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WACC alto (Uber, valor real solo un 5 % sobre el precio); sostenibilidad que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filtra (≥ precio para comprar, ≥ 85 % para mantener)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 − WACC ≥ 5 y sostenibilidad «Sí» (TUI, Zoetis)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Sostenibilidad «En parte» (Edenred, Intuit): no se compra; ROIC − WACC &lt; 4,5: se vende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o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BPA −10 %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 muy por encima del umbral (TUI 37 %)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 cerca: hace falta ≈ 28 % de ponderada y ≈ 24 % de base (Uber no aguanta)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la compra robusta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las dos reglas coincidan (TUI 37 % y 33 %)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separen: manda la más baja en el límite (Edenred 29,63)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en el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Confianza y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fuente primaria, precio al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Confianza «Baja», historia ≤ 3 años, BPA +25 %/año, precio movido &gt; 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un Comprar a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y noticias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 «no cambia»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«Retrasa» (Esperar) o «descarta»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o no; no toca la cifra</w:t>
            </w:r>
          </w:p>
        </w:tc>
      </w:tr>
    </w:tbl>
    <w:bookmarkEnd w:id="43"/>
    <w:bookmarkStart w:id="44" w:name="las-cinco-empresas-hoy"/>
    <w:p>
      <w:pPr>
        <w:pStyle w:val="Heading1"/>
      </w:pPr>
      <w:r>
        <w:t xml:space="preserve">5. Las cinco empresas hoy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/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la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6,72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37,3 % / 30,9 %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Comprar</w:t>
            </w:r>
            <w:r>
              <w:t xml:space="preserve"> </w:t>
            </w:r>
            <w:r>
              <w:t xml:space="preserve">(límite robusto 7,08)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+32 % hasta FY2028; aguanta BPA −10 % (23,8 %)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Edenred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29,64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27,7 % / 29,5 %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(v2 15,0 %)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los números, pero sostenibilidad «En parte» (Q1); límite común 29,63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69,96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13,7 % / 21,7 %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(historia 3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mantener; con BPA −10 % cae al 2,3 %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325,62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6,5 % / 8,6 %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(desrateada)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pasa 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Ancla del objetivo fijo (+7,6 % desde el informe) y sin recuperación de múltiplo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Zoetis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79,59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−5,4 % / −4,5 %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(desrateada)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pasa 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casi plano, sin recuperación de múltiplo y escenarios 30/50/20; ya fallaba al precio del informe</w:t>
            </w:r>
          </w:p>
        </w:tc>
      </w:tr>
    </w:tbl>
    <w:p>
      <w:pPr>
        <w:pStyle w:val="BodyText"/>
      </w:pPr>
      <w:r>
        <w:rPr>
          <w:iCs/>
          <w:i/>
        </w:rPr>
        <w:t xml:space="preserve">Datos: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robustez.mjs --actual</w:t>
      </w:r>
      <w:r>
        <w:rPr>
          <w:iCs/>
          <w:i/>
        </w:rPr>
        <w:t xml:space="preserve"> </w:t>
      </w:r>
      <w:r>
        <w:rPr>
          <w:iCs/>
          <w:i/>
        </w:rPr>
        <w:t xml:space="preserve">del 20-oct-2026 con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precios.mjs</w:t>
      </w:r>
      <w:r>
        <w:rPr>
          <w:iCs/>
          <w:i/>
        </w:rPr>
        <w:t xml:space="preserve"> </w:t>
      </w:r>
      <w:r>
        <w:rPr>
          <w:iCs/>
          <w:i/>
        </w:rPr>
        <w:t xml:space="preserve">(cierre del 19-oct y sesión en curso del 20-oct en Europa). Los informes son Intuit 10-oct, Zoetis 7-oct, Uber 10-oct, Edenred 19-oct y TUI 19-oct. Este documento explica el método; no lo cambia ni propone órdenes.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value: qué lo beneficia y qué lo castiga</dc:title>
  <dc:creator/>
  <cp:keywords/>
  <dcterms:created xsi:type="dcterms:W3CDTF">2026-10-20T10:03:18Z</dcterms:created>
  <dcterms:modified xsi:type="dcterms:W3CDTF">2026-10-20T10:03:18Z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de octubre de 2026 (precios del cierre del 19-oct y sesión en curso del 20-oct)</vt:lpwstr>
  </property>
  <property fmtid="{D5CDD505-2E9C-101B-9397-08002B2CF9AE}" pid="3" name="subtitle">
    <vt:lpwstr>Explicación del método vigente, pieza por pieza, con ejemplos reales</vt:lpwstr>
  </property>
</Properties>
</file>