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Kering SA</w:t>
      </w:r>
    </w:p>
    <w:p>
      <w:pPr>
        <w:spacing w:after="60"/>
        <w:rPr>
          <w:color w:val="52514E"/>
          <w:sz w:val="22"/>
          <w:szCs w:val="22"/>
        </w:rPr>
      </w:pPr>
      <w:r>
        <w:rPr>
          <w:color w:val="52514E"/>
          <w:sz w:val="22"/>
          <w:szCs w:val="22"/>
        </w:rPr>
        <w:t xml:space="preserve">KER · Euronext París · ISIN FR0000121485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178,12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166,41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-4,9 % (base -6,6 %)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176,07 EUR · mercado 224,16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21.846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Kering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KER / FR0000121485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41.147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https://www.kering.com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178,12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176,46 – 334,65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21.846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33.157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82,6 M EUR/día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166,41 EUR</w:t>
      </w:r>
      <w:r>
        <w:t xml:space="preserve"> frente a 178,12 · Rentabilidad a 12 meses </w:t>
      </w:r>
      <w:r>
        <w:rPr>
          <w:b/>
          <w:bCs/>
        </w:rPr>
        <w:t xml:space="preserve">-4,9 % (base -6,6 %)</w:t>
      </w:r>
      <w:r>
        <w:t xml:space="preserve"> · Valor intrínseco 176,07 EUR · con la prima implícita del mercado: 224,16 (+25,8 %) · Alcista / bajista +27,2 % / -55,1 %</w:t>
      </w:r>
    </w:p>
    <w:p>
      <w:pPr>
        <w:spacing w:after="100"/>
      </w:pPr>
      <w:r>
        <w:rPr>
          <w:b/>
        </w:rPr>
        <w:t xml:space="preserve">La recomendación y por qué.</w:t>
      </w:r>
      <w:r>
        <w:t xml:space="preserve"> Mantener, con convicción baja. El objetivo a 12 meses es de 166,41 € ponderado y 163,36 € en el caso base: una rentabilidad del −4,9 % ponderada y del −6,6 % en el base, con el dividendo. Decide la regla v2 porque la historia limpia del PER adelantado solo tiene tres años (2020-2022) y el selector toma la más baja; con la v3 sin selector la ponderada sería del 17,4 % (base 27,2 %), pero ni así daría Comprar porque el valor intrínseco, 176,07 € (−1,2 %), no llega al precio de 178,12 € (cierre del 23-oct). El objetivo medio de los analistas, 249,72 €, es anterior al 3T [30, 53]. Las dos reglas del valor intrínseco discrepan (Mantener con nuestro WACC del 8,69 %, Comprar con la prima implícita del mercado, que no basta porque con nuestro WACC la rentabilidad total es del 0,5 %), por eso la convicción es baja. Compraríamos por debajo de 147,32 €; venderíamos por encima de 188,24 €.</w:t>
      </w:r>
    </w:p>
    <w:p>
      <w:pPr>
        <w:spacing w:after="100"/>
      </w:pPr>
      <w:r>
        <w:rPr>
          <w:b/>
        </w:rPr>
        <w:t xml:space="preserve">Qué ha cambiado desde el informe del 14-oct.</w:t>
      </w:r>
      <w:r>
        <w:t xml:space="preserve"> El 22-oct Kering publicó un 3T peor de lo esperado en lo que importa: Gucci −6 % comparable y −9 % en tiendas propias, retirada del objetivo de volver a crecer en 2026 y un margen del 2S que no superará el 12,8 % del 1S [1, 12]. La acción cayó un 16,6 % el 23-oct. Hemos rebajado el crecimiento de 2027e del 5 % al 2,5 % y el BPA recurrente de 2028e de 12,33 € a 10,21 €. Además, el análisis se ha rehecho con fuente primaria (documento de registro universal 2025 e informe semestral) y con tres cambios de método: beta reapalancada con la deuda propia (1,44 en vez de 1,2 estimada; WACC del 8,69 % frente al 7,59 %), circulante a su nivel real (16,5 % de las ventas) y un puente completo (minoritarios, 30 % de Valentino y el sobreprecio de su opción de compra, que antes iban a cero) [3, 5]. La señal sigue en Mantener, pero ahora con rentabilidad negativa a 12 meses en lugar del +12 % de antes.</w:t>
      </w:r>
    </w:p>
    <w:p>
      <w:pPr>
        <w:spacing w:after="100"/>
      </w:pPr>
      <w:r>
        <w:rPr>
          <w:b/>
        </w:rPr>
        <w:t xml:space="preserve">El negocio.</w:t>
      </w:r>
      <w:r>
        <w:t xml:space="preserve"> Kering es Gucci más Saint Laurent, Bottega Veneta, joyería y gafas; las ventas cayeron de 20.351 M en 2022 a 14.675 M en 2025 y el margen operativo recurrente, del 27,5 % al 11,1 % [6, 8]. Hoy no crea valor: ROIC del 3,2 % frente a un WACC del 8,69 %, cuando en 2021-2022 era del 19,8 %. Sostenibilidad del crecimiento: </w:t>
      </w:r>
      <w:r>
        <w:rPr>
          <w:b/>
        </w:rPr>
        <w:t xml:space="preserve">En parte</w:t>
      </w:r>
      <w:r>
        <w:t xml:space="preserve">: el 3,3 % anual proyectado apenas necesita capital y deja la cuota en el 4,0 % del mercado, pero depende de que Gucci recupere el deseo, y el 3T dice que aún no.</w:t>
      </w:r>
    </w:p>
    <w:p>
      <w:pPr>
        <w:spacing w:after="100"/>
      </w:pPr>
      <w:r>
        <w:rPr>
          <w:b/>
        </w:rPr>
        <w:t xml:space="preserve">Finanzas.</w:t>
      </w:r>
      <w:r>
        <w:t xml:space="preserve"> La deuda neta bajó a 3.324 M en junio con la venta de Kering Beauté; con arrendamientos es de 9.427 M, 2,6 veces el EBITDA [3]. En 2028-2029 llega la opción de Mayhoola sobre el 70 % de Valentino, unos 4.000 M [3].</w:t>
      </w:r>
    </w:p>
    <w:p>
      <w:pPr>
        <w:spacing w:after="100"/>
      </w:pPr>
      <w:r>
        <w:rPr>
          <w:b/>
        </w:rPr>
        <w:t xml:space="preserve">Valoración.</w:t>
      </w:r>
      <w:r>
        <w:t xml:space="preserve"> El DCF da 170,23 € (−4,4 %); el precio descuenta un crecimiento del 4,7 % anual en 2027-2033 frente al 4,1 % de nuestro base, y una rentabilidad implícita del 8,5 %: está valorada con justicia si la recuperación es la nuestra, sin margen de seguridad. Nuestro BPA de 2028e queda un 14 % por debajo del consenso (11,94 €), que aún no recoge el 3T [30].</w:t>
      </w:r>
    </w:p>
    <w:p>
      <w:pPr>
        <w:spacing w:after="100"/>
      </w:pPr>
      <w:r>
        <w:rPr>
          <w:b/>
        </w:rPr>
        <w:t xml:space="preserve">Riesgos y catalizadores.</w:t>
      </w:r>
      <w:r>
        <w:t xml:space="preserve"> El riesgo principal es que Gucci no vuelva a crecer: el bajista (79,90 € en el DCF, 106,86 € a 12 meses) supone ventas casi planas y 3 puntos menos de margen. Catalizadores: la colección Gucci Core del 4T y los resultados anuales de febrero de 2027. El sentimiento de los particulares está cerca de la capitulación [49], y el de los analistas gira a la prudencia [15].</w:t>
      </w:r>
    </w:p>
    <w:p>
      <w:pPr>
        <w:spacing w:after="100"/>
      </w:pPr>
      <w:r>
        <w:rPr>
          <w:b/>
        </w:rPr>
        <w:t xml:space="preserve">Qué cambiaría la decisión.</w:t>
      </w:r>
      <w:r>
        <w:t xml:space="preserve"> Un precio por debajo de 147,32 € con el base intacto, o un 4T con Gucci mejor que −3 % en tiendas propias y el margen del 2S en el 12,8 %, que subiría el BPA de 2027e y alargaría la historia. Por encima de 188,24 € la regla da Vender.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166,41 EUR</w:t>
      </w:r>
      <w:r>
        <w:t xml:space="preserve"> (rentabilidad -4,9 % (base -6,6 %)) · Valor intrínseco: 176,07 EUR (-1,2 % sobre 178,12) · con la prima implícita del mercado: 224,16 (+25,8 %)</w:t>
      </w:r>
    </w:p>
    <w:p>
      <w:pPr>
        <w:spacing w:after="100"/>
      </w:pPr>
      <w:r>
        <w:t xml:space="preserve">Kering es el cuarto grupo mundial de lujo personal (14.675 M de ventas en 2025) con marcas de primer nivel, pero Gucci perdió más del 40 % de sus ventas en tres años y el margen operativo recurrente cayó del 27,5 % al 11,1 % [6, 8]. La dirección de Luca de Meo ha saneado el balance (deuda neta de 3.324 M tras vender la belleza) y recorta tiendas y existencias, pero el 3T26 enseñó que Gucci sigue cayendo: −6 % comparable y −9 % en tiendas propias [1, 3].</w:t>
      </w:r>
    </w:p>
    <w:p>
      <w:pPr>
        <w:spacing w:after="100"/>
      </w:pPr>
      <w:r>
        <w:t xml:space="preserve">A 178,12 € el precio descuenta un crecimiento del 4,7 % anual hasta 2033 con nuestro margen, algo más que nuestro base, y cotiza a 21,9 veces nuestro BPA de 2027e, en la parte alta de su historia limpia (19-23 veces). No es caro si el margen vuelve al 20 %, pero tampoco hay margen de seguridad: el valor intrínseco es de 176,07 €.</w:t>
      </w:r>
    </w:p>
    <w:p>
      <w:pPr>
        <w:spacing w:after="100"/>
      </w:pPr>
      <w:r>
        <w:t xml:space="preserve">Para invertir hay que creer que la colección Gucci Core del 4T devuelve el crecimiento a la marca en 2027. Las cifras todavía no lo muestran y la empresa ya no lo promete; por eso la tesis es una espera, no una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30/45/25)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 × 6,85 = 106,86 · 16,0x × 10,21 = 163,36 · 19,3x × 12,61 = 243,37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249,72 (nuestro base -34,6 %)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 / -55,1 %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8,7 %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224,16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147,32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147,32 y 188,24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188,24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debajo de 147,32 €, con el caso base intacto, la regla daría Comprar.</w:t>
      </w:r>
    </w:p>
    <w:p>
      <w:pPr>
        <w:pStyle w:val="ListParagraph"/>
        <w:numPr>
          <w:ilvl w:val="0"/>
          <w:numId w:val="2"/>
        </w:numPr>
        <w:spacing w:after="60"/>
      </w:pPr>
      <w:r>
        <w:t xml:space="preserve">Un 4T26 con Gucci mejor que −3 % en tiendas propias y el margen del 2S en el 12,8 % subiría el BPA de 2027e y acercaría el Comprar.</w:t>
      </w:r>
    </w:p>
    <w:p>
      <w:pPr>
        <w:pStyle w:val="ListParagraph"/>
        <w:numPr>
          <w:ilvl w:val="0"/>
          <w:numId w:val="2"/>
        </w:numPr>
        <w:spacing w:after="60"/>
      </w:pPr>
      <w:r>
        <w:t xml:space="preserve">Por encima de 188,24 € la regla da Vender.</w:t>
      </w:r>
    </w:p>
    <w:p>
      <w:pPr>
        <w:pStyle w:val="ListParagraph"/>
        <w:numPr>
          <w:ilvl w:val="0"/>
          <w:numId w:val="2"/>
        </w:numPr>
        <w:spacing w:after="60"/>
      </w:pPr>
      <w:r>
        <w:t xml:space="preserve">Si Mayhoola ejerce la venta de Valentino por encima de 4.000 M, revisaríamos el valor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El precio ya incorpora la caída del 3T (−16,6 % en un día) y una recuperación del margen algo mejor que la de nuestro base; el consenso de analistas, aún sin actualizar, espera un BPA de 11,94 € en 2028 [30].</w:t>
      </w:r>
    </w:p>
    <w:p>
      <w:pPr>
        <w:keepNext/>
        <w:spacing w:after="100"/>
      </w:pPr>
      <w:r>
        <w:rPr>
          <w:b/>
          <w:bCs/>
        </w:rPr>
        <w:t xml:space="preserve">Lo que creemos nosotros.</w:t>
      </w:r>
    </w:p>
    <w:p>
      <w:pPr>
        <w:spacing w:after="100"/>
      </w:pPr>
      <w:r>
        <w:t xml:space="preserve">Somos más prudentes que el consenso en el beneficio (10,21 € en 2028e) y en el múltiplo: con tres años de historia limpia no damos por hecho que vuelva el PER de 22 veces.</w:t>
      </w:r>
    </w:p>
    <w:p>
      <w:pPr>
        <w:keepNext/>
        <w:spacing w:after="100"/>
      </w:pPr>
      <w:r>
        <w:rPr>
          <w:b/>
          <w:bCs/>
        </w:rPr>
        <w:t xml:space="preserve">Por qué podemos tener razón.</w:t>
      </w:r>
    </w:p>
    <w:p>
      <w:pPr>
        <w:spacing w:after="100"/>
      </w:pPr>
      <w:r>
        <w:t xml:space="preserve">El 3T retrasa la recuperación de Gucci al menos medio año y la empresa ha retirado dos objetivos de 2026; los analistas tardarán en recortar sus cifras. No tenemos una visión distinta sobre la marca: la diferencia es de calendario y de múltiplo.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78,1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Balance saneado</w:t>
      </w:r>
      <w:r>
        <w:t xml:space="preserve">: deuda neta de 3.324 M en junio tras vender la belleza por 4.000 M [3].</w:t>
      </w:r>
    </w:p>
    <w:p>
      <w:pPr>
        <w:pStyle w:val="ListParagraph"/>
        <w:numPr>
          <w:ilvl w:val="0"/>
          <w:numId w:val="2"/>
        </w:numPr>
        <w:spacing w:after="60"/>
      </w:pPr>
      <w:r>
        <w:rPr>
          <w:b/>
        </w:rPr>
        <w:t xml:space="preserve">Margen con recorrido</w:t>
      </w:r>
      <w:r>
        <w:t xml:space="preserve">: 11,1 % en 2025 frente al 27,5 % de 2022; el plan pide más del 22 % [6, 17].</w:t>
      </w:r>
    </w:p>
    <w:p>
      <w:pPr>
        <w:pStyle w:val="ListParagraph"/>
        <w:numPr>
          <w:ilvl w:val="0"/>
          <w:numId w:val="2"/>
        </w:numPr>
        <w:spacing w:after="60"/>
      </w:pPr>
      <w:r>
        <w:rPr>
          <w:b/>
        </w:rPr>
        <w:t xml:space="preserve">Joyería y gafas crecen</w:t>
      </w:r>
      <w:r>
        <w:t xml:space="preserve">: +11 % y +4 % comparables en el 3T [1].</w:t>
      </w:r>
    </w:p>
    <w:p>
      <w:pPr>
        <w:pStyle w:val="ListParagraph"/>
        <w:numPr>
          <w:ilvl w:val="0"/>
          <w:numId w:val="2"/>
        </w:numPr>
        <w:spacing w:after="60"/>
      </w:pPr>
      <w:r>
        <w:rPr>
          <w:b/>
        </w:rPr>
        <w:t xml:space="preserve">Sentimiento en capitulación</w:t>
      </w:r>
      <w:r>
        <w:t xml:space="preserve">: −38 % en tres meses y a un 1 % del mínimo de 52 semanas [34].</w:t>
      </w:r>
    </w:p>
    <w:p>
      <w:pPr>
        <w:pStyle w:val="ListParagraph"/>
        <w:numPr>
          <w:ilvl w:val="0"/>
          <w:numId w:val="2"/>
        </w:numPr>
        <w:spacing w:after="60"/>
      </w:pPr>
      <w:r>
        <w:rPr>
          <w:b/>
        </w:rPr>
        <w:t xml:space="preserve">Regalías de la belleza</w:t>
      </w:r>
      <w:r>
        <w:t xml:space="preserve">: la licencia de Gucci pasa a L'Oréal a mediados de 2027 [3].</w:t>
      </w:r>
    </w:p>
    <w:p>
      <w:pPr>
        <w:pStyle w:val="Heading2"/>
      </w:pPr>
      <w:r>
        <w:t xml:space="preserve">En contra</w:t>
      </w:r>
    </w:p>
    <w:p>
      <w:pPr>
        <w:pStyle w:val="ListParagraph"/>
        <w:numPr>
          <w:ilvl w:val="0"/>
          <w:numId w:val="2"/>
        </w:numPr>
        <w:spacing w:after="60"/>
      </w:pPr>
      <w:r>
        <w:rPr>
          <w:b/>
        </w:rPr>
        <w:t xml:space="preserve">Gucci sigue cayendo</w:t>
      </w:r>
      <w:r>
        <w:t xml:space="preserve">: −6 % comparable y −9 % en tiendas propias en el 3T [1].</w:t>
      </w:r>
    </w:p>
    <w:p>
      <w:pPr>
        <w:pStyle w:val="ListParagraph"/>
        <w:numPr>
          <w:ilvl w:val="0"/>
          <w:numId w:val="2"/>
        </w:numPr>
        <w:spacing w:after="60"/>
      </w:pPr>
      <w:r>
        <w:rPr>
          <w:b/>
        </w:rPr>
        <w:t xml:space="preserve">Guía retirada</w:t>
      </w:r>
      <w:r>
        <w:t xml:space="preserve">: ya no promete crecer en 2026 y el margen del 2S no mejorará sobre el 1S [12].</w:t>
      </w:r>
    </w:p>
    <w:p>
      <w:pPr>
        <w:pStyle w:val="ListParagraph"/>
        <w:numPr>
          <w:ilvl w:val="0"/>
          <w:numId w:val="2"/>
        </w:numPr>
        <w:spacing w:after="60"/>
      </w:pPr>
      <w:r>
        <w:rPr>
          <w:b/>
        </w:rPr>
        <w:t xml:space="preserve">No crea valor</w:t>
      </w:r>
      <w:r>
        <w:t xml:space="preserve">: ROIC del 3,2 % frente a un WACC del 8,69 %.</w:t>
      </w:r>
    </w:p>
    <w:p>
      <w:pPr>
        <w:pStyle w:val="ListParagraph"/>
        <w:numPr>
          <w:ilvl w:val="0"/>
          <w:numId w:val="2"/>
        </w:numPr>
        <w:spacing w:after="60"/>
      </w:pPr>
      <w:r>
        <w:rPr>
          <w:b/>
        </w:rPr>
        <w:t xml:space="preserve">Valentino</w:t>
      </w:r>
      <w:r>
        <w:t xml:space="preserve">: posible compra del 70 % por unos 4.000 M en 2028-2029 [3].</w:t>
      </w:r>
    </w:p>
    <w:p>
      <w:pPr>
        <w:pStyle w:val="ListParagraph"/>
        <w:numPr>
          <w:ilvl w:val="0"/>
          <w:numId w:val="2"/>
        </w:numPr>
        <w:spacing w:after="60"/>
      </w:pPr>
      <w:r>
        <w:rPr>
          <w:b/>
        </w:rPr>
        <w:t xml:space="preserve">Directores creativos</w:t>
      </w:r>
      <w:r>
        <w:t xml:space="preserve">: Saint Laurent y McQueen sin director desde octubre [1].</w:t>
      </w:r>
    </w:p>
    <w:p>
      <w:pPr>
        <w:pStyle w:val="Heading2"/>
      </w:pPr>
      <w:r>
        <w:t xml:space="preserve">Qué tiene que pasar para que la tesis funcione</w:t>
      </w:r>
    </w:p>
    <w:p>
      <w:pPr>
        <w:spacing w:after="100"/>
      </w:pPr>
      <w:r>
        <w:t xml:space="preserve">La tesis depende de que Gucci deje de caer en tiendas propias entre el 4T26 y el 2T27, con la colección Gucci Core en tienda. La señal de que no se cumple: dos trimestres más de Gucci por debajo del −5 % en tiendas propias o un margen operativo de 2026 por debajo del 12 %.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Gucci en tiendas propias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comparable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más rentable de Gucci y la que mide el deseo.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un 12,4 % en 2026 y un 15,8 % en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 M antes de Valentino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caja libre sin activos es real.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comparable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supone volumen positivo desde 2027.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9,1x / 8,1x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45,2x / 21,8x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Fundada en 1963 por François Pinault como negocio de madera, se convirtió en el conglomerado de distribución Pinault-Printemps-Redoute, entró en el lujo con Gucci en 1999-2004, se llamó PPR y en 2013 pasó a llamarse Kering tras vender la distribución y Puma [5]. Su década dorada fue la de Gucci con Alessandro Michele (2015-2022): ventas de 20.351 M y margen operativo del 27,5 % en 2022 [5, 8]. Desde 2023 las ventas caen. En septiembre de 2025 Luca de Meo, antiguo consejero delegado de Renault, sustituyó como primer ejecutivo a François-Henri Pinault, que sigue de presidente; vendió la belleza a L'Oréal y presentó el plan ReconKering en abril de 2026 [5,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François Pinault funda el grupo como negocio de madera.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Gucci Group (Gucci, Saint Laurent, Bottega Veneta).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PPR pasa a llamarse Kering y se centra en el lujo.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Alessandro Michele, director creativo de Gucci: empieza el gran crecimiento.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Creed y del 30 % de Valentino; Gucci empieza a caer.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Demna en Gucci; Luca de Meo consejero delegado; multa de la UE de 119,7 M a Gucci; acuerdo de venta de Kering Beauté a L'Oréal.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ReconKering (16-abr), vuelta al crecimiento en el 2T y recaída de Gucci en el 3T (−6 %); salidas de los directores creativos de Saint Laurent y McQueen en octubre.</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Grupo de casas de lujo con cuatro segmentos desde marzo de 2026: Kering Fashion &amp; Leather Goods (80 % de las ventas del 1S26; Gucci sola, el 38 %), Kering Jewelry (7 %), Kering Eyewear (13 %) y Corporate &amp; Other [2, 3]. Vende sobre todo en sus 1.614 tiendas propias (75 % de las ventas del 3T26) y el resto a grandes almacenes, ópticas y en licencias; las gafas se venden casi todas al por mayor [2]. Desde abril de 2026 la belleza es de L'Oréal, que paga a Kering por las licencias de sus marcas [17].</w:t>
      </w:r>
    </w:p>
    <w:p>
      <w:pPr>
        <w:pStyle w:val="Heading2"/>
      </w:pPr>
      <w:r>
        <w:t xml:space="preserve">Cómo gana dinero</w:t>
      </w:r>
    </w:p>
    <w:p>
      <w:pPr>
        <w:spacing w:after="100"/>
      </w:pPr>
      <w:r>
        <w:t xml:space="preserve">Margen bruto del 72,6 % en 2025 y costes de tiendas, personal y publicidad casi fijos: una caída de ventas del 28 % entre 2022 y 2025 llevó el margen operativo recurrente del 27,5 % al 11,1 % [5, 8]. Por la misma razón, cada punto de ventas que vuelva en Gucci (margen recurrente del 17 % en el 1S26 frente a más del 35 % en 2022) sube el margen del grupo más que proporcionalmente [2, 3]. La marroquinería es el 49-53 % de las ventas de las casas de moda [3]. La estacionalidad es baja; el 4T es el trimestre más fuerte.</w:t>
      </w:r>
    </w:p>
    <w:p>
      <w:pPr>
        <w:pStyle w:val="Heading2"/>
      </w:pPr>
      <w:r>
        <w:t xml:space="preserve">Segmentos (1S26)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 Fashion &amp; Leather Goods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 Jewelry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 Eyewear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&amp; Other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1S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 Fashion &amp; Leather Goods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 Jewelry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 Eyewear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&amp; Other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particulares atomizados. El poder de precios de Gucci se agotó: las subidas de 2019-2023 en la marroquinería del sector, del 50-70 %, alejaron al cliente aspiracional [18]. En el 3T26 la empresa dice que suben la conversión, el precio medio y el ticket medio, y que lo que falla es la afluencia a las tiendas [2]: el precio aguanta, el volumen no. Saint Laurent y Bottega Veneta mantienen precio y crecen con los clientes de más gasto (VIC)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del grupo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 fue el primer trimestre de crecimiento en tres años; el 3T vuelve a negativo con base de comparación más exigente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 ventas comparables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Tiendas propias −9 % comparable en el 3T; mayorista +45 % por base baja y pedidos de las colecciones nuevas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dijo el 22-oct que el 2S26 no superará el margen del 1S26 [3,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cierres netos en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 tiendas; 105 cierres netos en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de 2026 elevado de 100 a ≥ 125 cierres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puntos de venta poco rentables, sobre todo en Gucci y McQueen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pedía unos 1.000 M menos de existencias; el circulante liberó 602 M de caja en el 1S26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Joyería, ventas comparables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Boucheron y Pomellato siguen creciendo con base exigente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Bienes personales de lujo en el mundo (marroquinería, calzado, confección, joyería, relojes, gafas y belleza de lujo), el perímetro del estudio Bain-Altagamma. Es el mercado de Kering salvo la belleza, que vendió a L'Oréal en marzo de 2026 [5, 18, 19]. Se usa Bain-Altagamma porque es la única serie anual larga con la misma definición; el contraste es la suma de las ventas publicadas de los grandes grupos, que se movieron en la misma dirección en 2023-2025 (LVMH Moda y Marroquinería −8 % en 2025, Kering −13 %, Hermès creciendo) [16, 17,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Bain preveía en junio +2/+4 % a tipos constantes para 2026 [18,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cliente aspiracional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tenía unos 330 millones de clientes en 2025 frente a 400 millones en 2022, sobre todo aspiracionales [18]; es el cliente que más pesaba en Gucci.</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en la marroquinería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marroquinería de lujo cayó entre un 5 % y un 7 % en 2025 tras subidas del 50-70 % en los bolsos icónicos de 2019 a 2025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3T26 las tiendas propias de Kering cayeron un 8 % comparable en Asia-Pacífico, con China como principal freno [2]; Hermès cayó un 2 % en confección por China en el mismo trimestre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Norteamérica fue la única gran región de Kering en positivo en el 3T26 (+2 % comparable), aunque se frenó desde el +9/+10 % del 1T y 2T en tiendas propias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Petróleo, guerra y turismo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crudo llegó a 115 USD el 23-oct-2026 con la guerra de Irán; Oriente Medio restó 1 punto al crecimiento de Kering en el 2T26 [5,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Joyería y gafas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Jewelry +17 % comparable en 9M26 y Kering Eyewear +7 % [2]; Bain sitúa la joyería entre las categorías que más crecen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suman un 35 % del mercado y solo el 40-45 % de las marcas creció en 2025 [18]; en el 3T26 la moda y marroquinería de LVMH cayó un 5 % orgánico y la de Kering un 3 % [2,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y venta sobre todo en tiendas propias (75 % de las ventas de Kering en el 3T26) [2], pero el cliente aspiracional abandona cuando la marca pierde atractivo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Talleres y curtidurías italianos: el 78 % de los proveedores de Kering está en Italia; los grupos integran fábricas (HModa, Raselli Franco) [5,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tardan décadas en construirse; los nuevos entran por nichos y por la segunda mano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se desplaza a experiencias, que Bain ve crecer más que los bienes personales en 2026 [19].</w:t>
            </w:r>
          </w:p>
        </w:tc>
      </w:tr>
    </w:tbl>
    <w:p>
      <w:pPr>
        <w:spacing w:after="160" w:before="0"/>
      </w:pPr>
    </w:p>
    <w:p>
      <w:pPr>
        <w:pStyle w:val="Heading2"/>
      </w:pPr>
      <w:r>
        <w:t xml:space="preserve">Ciclo</w:t>
      </w:r>
    </w:p>
    <w:p>
      <w:pPr>
        <w:spacing w:after="100"/>
      </w:pPr>
      <w:r>
        <w:t xml:space="preserve">Bain preveía en junio una recuperación del 2-4 % en 2026 [19], pero el 3T26 la desmiente: Hermès creció un 4,3 % a tipos constantes, su peor trimestre en seis años, LVMH Moda y Marroquinería −5 % y Kering −1 % [16, 24]. En 2009 el mercado cayó un 8 % y en 2020 un 23 %, con recuperación completa en uno o dos años; la caída de 2023-2025 es distinta, por precio y pérdida de clientes, y castiga a las marcas aspiracionales como Gucci [18]. Con el petróleo a 115 USD, el ciclo vuelve a contracción.</w:t>
      </w:r>
    </w:p>
    <w:p>
      <w:pPr>
        <w:pStyle w:val="Heading2"/>
      </w:pPr>
      <w:r>
        <w:t xml:space="preserve">Regulación</w:t>
      </w:r>
    </w:p>
    <w:p>
      <w:pPr>
        <w:spacing w:after="100"/>
      </w:pPr>
      <w:r>
        <w:t xml:space="preserve">La Comisión Europea multó a Gucci con 119,7 M el 14-oct-2025 por fijar precios de reventa; está pagada y la investigación cerrada [5]. Aranceles de EE. UU. a las importaciones europeas y menos devoluciones de IVA a turistas en Europa [19]. Normas europeas de diseño ecológico y prohibición de destruir textil no vendido desde 2026, que obligan a gestionar mejor el inventario [18].</w:t>
      </w:r>
    </w:p>
    <w:p>
      <w:pPr>
        <w:pStyle w:val="Heading2"/>
      </w:pPr>
      <w:r>
        <w:t xml:space="preserve">Tendencias y disrupción</w:t>
      </w:r>
    </w:p>
    <w:p>
      <w:pPr>
        <w:spacing w:after="100"/>
      </w:pPr>
      <w:r>
        <w:t xml:space="preserve">Concentración del gasto en el cliente de muy alto patrimonio, más peso de la joyería y del lujo «silencioso», y segunda mano [18]. Kering pierde con la primera (Gucci era la marca aspiracional por excelencia) y gana con la joyería y las gafas, cuyo peso quiere llevar por encima del 20 % de las ventas (criterio del plan de acciones del consejero delegado) [5]. Las gafas inteligentes con Google, previstas para 2027, son una opción de crecimiento sin cifras [17].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Cuarto o quinto grupo mundial de bienes personales de lujo: 14.675 M EUR en 2025, un 4,1 % del mercado, tras LVMH, Richemont, Chanel y casi empatado con Hermès; Gucci sola, unos 6.000 M (1,7 %) [5, 18, 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(Moda y Marroquinería)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y Dior: ventas del segmento −8 % en 2025 con un 35 % de margen; −5 % orgánico en el 3T26 [16,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Compagnie Financière Richemont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mar-2026; la joyería de Cartier y Van Cleef &amp; Arpels gana un 30,5 %, el negocio que Kering intenta construir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19.300 M USD de ingresos en 2025 (+2 %)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vende más que Kering con un margen casi cuatro veces mayor; +4,3 % en el 3T26 [24,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en 2025 por Miu Miu, la marca que ganó al cliente joven que perdió Gucci; compró Versace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 a tipos constantes en 2025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deseo de una marca se contagia, y su pérdida también: Gucci pasó de 10.487 M de ventas en 2022 a 5.992 M en 2025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marca sin coste; el mercado perdió unos 70 millones de clientes desde 2022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Gucci, Saint Laurent y Bottega Veneta son marcas de referencia: L'Oréal firmó una licencia de belleza de Gucci a 50 años y pagó 4.000 M por Kering Beauté [7,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recurrente del 11,1 % en 2025 frente al 35 % de LVMH Moda y Marroquinería y el 41 % de Hermès [3, 8,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 común de compras, logística y clientes en construcción, con ≥ 125 cierres netos de tiendas en 2026 [7, 9].</w:t>
            </w:r>
          </w:p>
        </w:tc>
      </w:tr>
    </w:tbl>
    <w:p>
      <w:pPr>
        <w:spacing w:after="160" w:before="0"/>
      </w:pPr>
    </w:p>
    <w:p>
      <w:pPr>
        <w:pStyle w:val="Heading2"/>
      </w:pPr>
      <w:r>
        <w:t xml:space="preserve">Amenazas</w:t>
      </w:r>
    </w:p>
    <w:p>
      <w:pPr>
        <w:spacing w:after="100"/>
      </w:pPr>
      <w:r>
        <w:t xml:space="preserve">La amenaza principal es que Gucci no recupere al cliente: −22 % en 2025 y −5 % comparable en 9M26, con el 3T peor que el 2T (−6 % frente a −2 %) mientras Louis Vuitton, Prada y Miu Miu mantienen la cuota [2, 5, 23]. Probabilidad alta en 12 meses. La segunda, el relevo creativo: Saint Laurent (Vaccarello, 9-oct) y McQueen (McGirr, 16-oct) se quedaron sin director creativo en octubre de 2026, justo cuando Saint Laurent era el motor del grupo [2]. La tercera, que los grupos más rentables paguen más por talento y ubicaciones.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spacing w:after="100"/>
      </w:pPr>
      <w:r>
        <w:t xml:space="preserve">Crecimiento anual compuesto 2020-2025: ingresos </w:t>
      </w:r>
      <w:r>
        <w:rPr>
          <w:b/>
          <w:bCs/>
        </w:rPr>
        <w:t xml:space="preserve">2,3 %</w:t>
      </w:r>
      <w:r>
        <w:t xml:space="preserve">, EBITDA </w:t>
      </w:r>
      <w:r>
        <w:rPr>
          <w:b/>
          <w:bCs/>
        </w:rPr>
        <w:t xml:space="preserve">-4,3 %</w:t>
      </w:r>
      <w:r>
        <w:t xml:space="preserve">, BPA </w:t>
      </w:r>
      <w:r>
        <w:rPr>
          <w:b/>
          <w:bCs/>
        </w:rPr>
        <w:t xml:space="preserve">-22,8 %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En 2020 la pandemia bajó las ventas un 17,5 % (13.100 M) y el beneficio recurrente a 1.972 M [9]. Las ventas cayeron de 20.351 M en 2022 a 14.675 M en 2025 (−10 % comparable en 2025), casi todo por Gucci, que pasó de 10.487 M en 2022 a 5.992 M en 2025 [5, 7]. El margen operativo recurrente bajó del 27,5 % al 11,1 % en tres años: la caída de ventas dejó sin cubrir unos costes de tiendas y personal que solo bajaron un 9 % entre 2024 y 2025 [5]. En el 1S26 el margen subió al 12,8 % (+0,4 puntos) con ventas −3 % publicadas y +1 % comparables, por recorte de gastos, no por ventas [3]. En el 3T26 las ventas fueron de 3.345 M, estables publicadas y −1 % comparables; Gucci cayó un 6 % comparable y la joyería y las gafas crecieron un 11 % y un 4 % [1]. La dirección mantiene una mejora del margen operativo recurrente en 2026 frente al 11,1 %, pero sin mejora del 2S frente al 1S [1, 12].</w:t>
      </w:r>
    </w:p>
    <w:p>
      <w:pPr>
        <w:pStyle w:val="Heading2"/>
      </w:pPr>
      <w:r>
        <w:t xml:space="preserve">Ajustes y partidas no recurrentes</w:t>
      </w:r>
    </w:p>
    <w:p>
      <w:pPr>
        <w:spacing w:after="100"/>
      </w:pPr>
      <w:r>
        <w:t xml:space="preserve">La cuenta va en la base </w:t>
      </w:r>
      <w:r>
        <w:rPr>
          <w:b/>
        </w:rPr>
        <w:t xml:space="preserve">recurrente</w:t>
      </w:r>
      <w:r>
        <w:t xml:space="preserve"> que publica Kering y usa el consenso: resultado operativo recurrente (sin «otros ingresos y gastos no recurrentes») y beneficio neto de actividades continuadas sin partidas no recurrentes, atribuido al grupo. Los no recurrentes netos fueron +163 M en 2020, −220 M en 2021, −194 M en 2022, −584 M en 2025 y −223 M en el 1S26 (deterioros de tiendas y marcas, reestructuración y la pérdida en la venta del inmueble de via Monte Napoleone) [3, 5, 8, 9]. El beneficio neto publicado fue de 72 M en 2025 (0,59 € por acción) frente a 532 M recurrentes (4,34 €) [5]. Los impuestos de la tabla son la diferencia entre el resultado antes de impuestos recurrente, los minoritarios y el beneficio recurrente (incluye la participación en asociadas). El BPA es el diluido recurrente (básico en 2024 y 2025, donde coinciden).</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1S26 (28-jul) la dirección habló de «vuelta al crecimiento»: ventas +2 % comparables en el 2T, Gucci −2 % con las tiendas propias 7 puntos mejor que en el 1T, margen recurrente del 12,8 % y deuda neta rebajada a 3.324 M con la venta de Kering Beauté; el objetivo del año seguía siendo «volver a crecer y mejorar márgenes» [3, 4]. El 22-oct el tono cambió: ventas −1 % comparables (el consenso esperaba −1,3 %), pero Gucci −6 % frente al −5,4 % esperado y sus tiendas propias −9 % frente al −6 % [1, 15, 16]. La directora financiera confirmó la mejora del margen anual, pero dijo que el margen del 2S no superará el del 1S, que octubre va «en línea con el 3T» y que el mayorista de Gucci será más negativo en el 4T; preguntada por el objetivo de crecer en 2026, se negó a comentarlo y el gráfico de la guía de ventas desapareció de la presentación [12, 13, 15]. Los analistas (Citi, Morgan Stanley, BNP Paribas) preguntaron por la guía retirada, por Europa y por China; la respuesta sobre Europa quedó pendiente («le respondo después») [12]. La colección Gucci Core del 4T, con más ropa de diario, es la prueba que la propia empresa pone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Creed (consolidada desde el 1-nov-2023) y el 30 % de Valentino (noviembre de 2023, por puesta en equivalencia): salto del activo de 33.941 M a 41.367 M [7, 11].; 2024: Cifras de 2024 reexpresadas sin Kering Beauté (operación interrumpida): ventas de 16.874 M frente a los 17.194 M publicados entonces; 2021-2023 incluyen la belleza [5].; 2025: Kering Beauté, en «mantenidos para la venta» al cierre (5.251 M de activo y 325 M de pasivo); vendida a L'Oréal el 31-mar-2026 por 4.000 M [3,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(sin arrendamientos) pasó de 169 M en 2021 a 10.517 M en 2024 por las compras de Creed y del 30 % de Valentino y por 3.300 M de inmuebles en 2023-2024, con un dividendo que se mantuvo alto mientras el beneficio caía [3, 5, 7]. Desde entonces baja: 8.039 M en dic-25 y 3.324 M en jun-26, por la venta de Kering Beauté (4.000 M), la entrada de socios en inmuebles (497 M en el 1S26) y 602 M de circulante liberado [3]. Con arrendamientos, la deuda neta de jun-26 es de 9.427 M, 2,6 veces el EBITDA recurrente de los últimos 12 meses. El circulante comercial (existencias, clientes y proveedores) se movió entre el 14,8 % y el 17,9 % de las ventas en 2021-2025 y bajó en el 1S26 por la reducción de existencias [3,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6.916</w:t>
      </w:r>
      <w:r>
        <w:t xml:space="preserve">, conversión </w:t>
      </w:r>
      <w:r>
        <w:rPr>
          <w:b/>
          <w:bCs/>
        </w:rPr>
        <w:t xml:space="preserve">50 %</w:t>
      </w:r>
      <w:r>
        <w:t xml:space="preserve"> del beneficio neto; adquisiciones 7.637, dividendos 7.645, recompras 1.632.</w:t>
      </w:r>
    </w:p>
    <w:p>
      <w:pPr>
        <w:spacing w:after="100"/>
      </w:pPr>
      <w:r>
        <w:t xml:space="preserve">El capex de 2023 y 2024 está inflado por inmuebles comerciales: 2.201 M de inmuebles estratégicos en 2024 (Fifth Avenue en Nueva York, entre otros) y unos 1.300 M netos en 2023 (diferencia entre el flujo libre con y sin inmuebles); sin ellos, el capex fue de 1.108 M en 2024 (6,6 % de las ventas) [5, 7]. En 2025 entraron 2.158 M por la venta de participaciones en esos inmuebles a socios y 344 M por la venta de The Mall [5]. El capex operativo de 2025 fue de 830 M (5,7 % de las ventas) y en el 1S26 bajó al 3,6 % de las ventas sin inmuebles; el plan fija un 5-6 % [3, 17]. Kering clasifica los intereses pagados (incluidos los de arrendamientos) en financiación. El flujo libre de 2025, tras capex, principal de arrendamientos e intereses, fue de unos 530 M frente a 532 M de beneficio recurrente: conversión cercana a uno con un circulante neutro.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(desde 1994) y PricewaterhouseCoopers Audit (desde 2022)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consolidadas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Dos auditores, uno con 32 años seguidos (Deloitte), lo máximo que permite la regla europea con co-auditoría [5]. Las partidas no recurrentes son grandes y repetidas: −242 M en 2024, −584 M en 2025 y −223 M en el 1S26 (deterioros de tiendas y marcas, reestructuración, minusvalía inmobiliaria) [3, 5]; la base recurrente las excluye y hay que vigilar que no se conviertan en un gasto fijo. El tipo impositivo sobre el resultado recurrente subió al 32,5 % en el 1S26 (29,5 % en el 1S25) [3]. El flujo libre del 1S26 (2.613 M) incluye 497 M de inmuebles y 300 M del acuerdo de belleza de Gucci con L'Oréal: sin ellos, 1.800 M, de los que 602 M salen de bajar existencias, algo que no se repite [3]. Kering ha deteriorado el fondo de comercio de 6.277 M a 3.666 M entre 2024 y 2025, en parte por pasar Kering Beauté a mantenidos para la venta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repetidos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periodos seguidos con más de 200 M de cargos «no recurrentes» [3,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del 1S26 con extraordinarios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797 M de inmuebles y belleza y 602 M de circulante dentro de 2.613 M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Compromiso de Valentino fuera de la deuda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4.000 M en 2028-2029 por el 70 % de una marca que vende 1.120 M y pierde dinero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3.666 M en 2025 (el 16 % del capital invertido medio); ha subido más de un 5 % en 3 de 5 años: comprador en serie. ROIC publicado 3,2 %; sin fondo de comercio, 3,8 %.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-9,9 % · </w:t>
      </w:r>
      <w:r>
        <w:rPr>
          <w:b/>
          <w:bCs/>
        </w:rPr>
        <w:t xml:space="preserve">WACC</w:t>
      </w:r>
      <w:r>
        <w:t xml:space="preserve">: 8,7 %.</w:t>
      </w:r>
    </w:p>
    <w:p>
      <w:pPr>
        <w:spacing w:after="100"/>
      </w:pPr>
      <w:r>
        <w:t xml:space="preserve">Kering no crea valor hoy: el ROIC de 2025 es del 3,2 % (NOPAT de 979 M sobre 31.060 M de capital invertido con arrendamientos) frente a un WACC del 8,69 % [5]. En 2021-2022 era del 19,8 %. La caída viene de los dos lados: el margen operativo pasó del 27,5 % al 11,1 % y la rotación del capital, de 0,63 a 0,35, porque el capital invertido subió un 53 % (Creed, el 30 % de Valentino, 3.300 M de inmuebles) mientras las ventas caían [7, 8]. El ROIC incremental es negativo (−9,9 %). Los comparables con márgenes EBITDA del 27-47 % (LVMH, Hermès, Moncler) tienen rentabilidades muy superiores [37]. Para volver a crear valor necesita un margen operativo de más del 18 %, que nuestro base alcanza en 2030e.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11.727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8.480 M y 3.800 M de líneas comprometidas sin disponer (sindicado de 3.000 M hasta jul-2031 y 800 M bilaterales) a 30-jun-2026, frente a 1.840 M de deuda a menos de un año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perspectiva estable (desde el 7-nov-2025) [3,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Arrendamientos de 6.103 M a jun-26 [3]. Opciones de venta concedidas a minoritarios de 188 M, ya dentro de la deuda bruta [3]. El compromiso fuera de balance más grande es Valentino: Mayhoola puede vender a Kering el 70 % restante en 2028 y 2029; el precio se ajusta a los resultados y perspectivas de Valentino y Kering estima su valor «en torno a 4.000 M» [3]. Valentino vendió 1.120 M en 2025, no pagó dividendo y aporta pérdidas (−26 M a Kering en el 1S26) [3]. A Coty se le pagan unos 400 M USD por adelantar el fin de la licencia de belleza de Gucci (250 M USD en 2026 y hasta 150 M USD en 2027) [4]. Pensiones: 100 M de provisiones [5].</w:t>
      </w:r>
    </w:p>
    <w:p>
      <w:pPr>
        <w:pStyle w:val="Heading1"/>
      </w:pPr>
      <w:r>
        <w:t xml:space="preserve">12. Asignación de capital</w:t>
      </w:r>
    </w:p>
    <w:p>
      <w:pPr>
        <w:pStyle w:val="Confianza"/>
        <w:spacing w:after="100"/>
      </w:pPr>
      <w:r>
        <w:t xml:space="preserve">Confianza: Alta</w:t>
      </w:r>
    </w:p>
    <w:p>
      <w:pPr>
        <w:spacing w:after="100"/>
      </w:pPr>
      <w:r>
        <w:t xml:space="preserve">ReconKering (16-abr-2026) fija un reparto de alrededor del 50 % del beneficio neto recurrente, dividendo que crece con los resultados, capex del 5-6 % de las ventas y solo compras pequeñas para integrar la cadena de suministro [17]. Para 2025 se pagaron 3,00 € ordinarios (1,25 € a cuenta en enero y 1,75 € en junio) y 1,00 € extraordinario por la venta de la belleza [4, 5]. No hay recompra en marcha; el programa aprobado en mayo de 2026 es solo una autorización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Maui Jim (gafas)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Kering Eyewear, que tiene el mayor margen del grupo (23 % en el 1S26)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Creed (perfumes)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Pagada con la emisión de bonos de 2023; vendida en 2026 dentro de Kering Beauté, con las licencias de belleza, por 4.000 M [4,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 de Valentino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contable de 1.655 M a jun-26 y pérdidas; obliga a comprar el 70 % restante por unos 4.000 M en 2028-2029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Inmuebles comerciales en Milán, París y Nueva York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Vendidas mayorías a socios en 2025-2026 (2.158 M y 497 M de entrada de caja), con minusvalía en Milán [3,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 de Raselli Franco (joyería)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Camino a la propiedad total en 2032 [6].</w:t>
            </w:r>
          </w:p>
        </w:tc>
      </w:tr>
    </w:tbl>
    <w:p>
      <w:pPr>
        <w:spacing w:after="160" w:before="0"/>
      </w:pPr>
    </w:p>
    <w:p>
      <w:pPr>
        <w:spacing w:after="100"/>
      </w:pPr>
      <w:r>
        <w:t xml:space="preserve">La asignación de capital de 2022-2024 restó valor: se compraron belleza, Valentino e inmuebles por unos 8.600 M (5.093 M de compras de sociedades en 2023 y unos 3.500 M de inmuebles en 2023-2024) con deuda mientras Gucci perdía la mitad de sus ventas, y el dividendo se mantuvo en 14 € hasta 2023 con un beneficio en caída [3, 5, 7]. La nueva dirección ha deshecho buena parte: vendió la belleza y la mayoría de los inmuebles y bajó la deuda neta en 7.200 M en 18 meses [3]. Queda la opción de Valentino, el uso de capital más grande y menos controlable de los próximos tres años.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Luca de Meo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Renault de julio de 2020 a 2025 y antes de SEAT; 30 años en automoción y ninguno en lujo [5]. En Kering desde el 15-sep-2025: vendió la belleza a L'Oréal, recortó tiendas y deuda y presentó ReconKering; las ventas comparables de Gucci siguen cayendo (−5 % en 9M26) [1,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François-Henri Pinault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2005 a 2025: convirtió PPR en un grupo de lujo puro y llevó las ventas a 20.351 M en 2022, y también decidió las compras de 2023 y la dependencia de Gucci. Su participación es la de Artémis, la sociedad familiar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Armelle Poulou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Llevó la reducción de la deuda neta de 10.517 M (dic-24) a 3.324 M (jun-26) con ventas de activos; es quien dio la guía del 2S26 el 22-oct [3,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Jean-Marc Duplaix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operaciones y consejero delegado de Kering Jewelry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director financiero del grupo; desde 2026 dirige la plataforma común y la joyería, que crece un 17 % comparable en 9M26 [1,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Francesca Bellettini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y consejera delegada de Gucci</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consejera delegada de Saint Laurent y número dos de Kering; en Gucci desde el 17-sep-2025, con ventas comparables de −8 %, −2 % y −6 % en los tres trimestres de 2026 [1, 5, 12].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menos 100 cierres netos de tiendas propias (ReconKering, abril)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 cierres netos en 9M26; objetivo elevado a ≥ 125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Volver a crecer en 2026 (comunicado del 1S, 28-jul)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comparables 0 % en 9M26; el objetivo desaparece de la presentación del 3T y la directora financiera no lo confirma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recurrente del 2S26 superior al del 1S26 (pre-close call de junio)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Retirado el 22-oct: el 2S no superará el 12,8 % del 1S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Mejorar el margen operativo recurrente de 2026 frente al 11,1 %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Confirmado el 22-oct; 12,8 %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Reducir la deuda con la venta de Kering Beauté e inmuebles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8.039 M a 3.324 M entre dic-25 y jun-26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casi nuevo: consejero delegado desde septiembre de 2025, consejera delegada de Gucci desde la misma fecha y nuevos responsables en Bottega Veneta (1-sep-2026), Pomellato, DoDo y McQueen [1, 4]. Cumple lo que controla (tiendas, deuda, costes) y falla en lo que no controla del todo, la demanda: en tres meses ha retirado dos objetivos (crecer en 2026 y mejorar el margen del 2S) [1, 12, 15]. Falta además el director creativo de Saint Laurent y de McQueen tras las salidas de octubre [1]. La sucesión está pensada (Pinault separó los cargos en 2025), pero la credibilidad del plan a 2030 depende de Gucci en el 4T26 y en 2027.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François-Henri Pinault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Luca de Meo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Véronique Weill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una comisión; miembro de otras dos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Dominique D'Hinnin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comisión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Serge Weinberg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una comisión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Giovanna Melandri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una comisión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Maureen Chiquet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Yonca Dervisoglu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Rachel Duan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Baudouin Prot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Marie-Hélène Chenut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Laurent Kleitman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Concetta Battaglia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Vincent Schaal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comisión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Baudouin Prot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consolidadas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0,02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Artémis (familia Pinault)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2023; 59,34 % de los votos efectivos por el voto doble; 7,3 millones de acciones (5,9 % del capital) pignoradas a bancos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802.427 acciones a jun-26; 769.450 sin voto a 15-oct-2026 [3, 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y consejeros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195.710 acciones a dic-25 [5].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Luca de Meo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Laurent Kleitman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Luca de Meo en 2025 (desde el 15-sep) suma 22,65 M: 0,65 M de fijo prorrateado, 1,21 M de variable anual, 15 M en efectivo y 5,78 M en acciones de rendimiento como prima de entrada, para compensar lo que dejó en Renault [5]. La política se aprobó el 9-sep-2025 con un 89,7 % a favor, un apoyo bajo para una empresa en la que Artémis tiene el 59 % de los votos: entre los votos libres el rechazo fue mucho mayor [5]. El variable anual de 2026 depende en un 60 % de cifras (resultado operativo recurrente frente al presupuesto y flujo de caja) y en un 40 % de objetivos estratégicos (organización, índice de valor de marca e igualdad salarial) [5]. Las acciones de rendimiento de 2026 piden resultado operativo y flujo de caja frente al presupuesto (25 % cada uno), TSR por encima de la mediana de un panel de lujo (20 %), emisiones (10 %) y que la joyería y las gafas pasen del 18-20 % de las ventas (20 %) [5]. Medir contra un presupuesto que fija el propio consejo es más fácil que medir contra el ROCE del 20 % que promete el plan.</w:t>
      </w:r>
    </w:p>
    <w:p>
      <w:pPr>
        <w:pStyle w:val="Heading2"/>
      </w:pPr>
      <w:r>
        <w:t xml:space="preserve">Operaciones vinculadas, estructura de control y defensas</w:t>
      </w:r>
    </w:p>
    <w:p>
      <w:pPr>
        <w:spacing w:after="100"/>
      </w:pPr>
      <w:r>
        <w:t xml:space="preserve">Artémis tiene el 42,34 % del capital y el 59,34 % de los votos efectivos por el voto doble de las acciones nominativas con más de dos años: decide la junta y quién dirige [5]. Preside François-Henri Pinault, cabeza de la familia. Hay acuerdos con Artémis (un convenio de apoyo y asesoramiento aprobado por la junta) y coinversiones; Artémis tiene pignorado un 5,9 % del capital, lo que en una caída fuerte podría obligar a aportar garantías [5]. La opción de venta de Mayhoola sobre el 70 % de Valentino (unos 4.000 M en 2028-2029) se negoció entre el grupo y un socio con el que Kering comparte inversiones [3]. El 64 % del consejo es independiente y las cuatro comisiones las presiden independientes [5, 28].</w:t>
      </w:r>
    </w:p>
    <w:p>
      <w:pPr>
        <w:pStyle w:val="Heading2"/>
      </w:pPr>
      <w:r>
        <w:t xml:space="preserve">Señales de alerta</w:t>
      </w:r>
    </w:p>
    <w:p>
      <w:pPr>
        <w:pStyle w:val="ListParagraph"/>
        <w:numPr>
          <w:ilvl w:val="0"/>
          <w:numId w:val="2"/>
        </w:numPr>
        <w:spacing w:after="60"/>
      </w:pPr>
      <w:r>
        <w:t xml:space="preserve">Voto doble: el 42,34 % del capital da el 59,34 % de los votos [5].</w:t>
      </w:r>
    </w:p>
    <w:p>
      <w:pPr>
        <w:pStyle w:val="ListParagraph"/>
        <w:numPr>
          <w:ilvl w:val="0"/>
          <w:numId w:val="2"/>
        </w:numPr>
        <w:spacing w:after="60"/>
      </w:pPr>
      <w:r>
        <w:t xml:space="preserve">Prima de entrada de 20 M al consejero delegado y política de remuneración aprobada con solo un 89,7 % a favor pese al control familiar [5].</w:t>
      </w:r>
    </w:p>
    <w:p>
      <w:pPr>
        <w:pStyle w:val="ListParagraph"/>
        <w:numPr>
          <w:ilvl w:val="0"/>
          <w:numId w:val="2"/>
        </w:numPr>
        <w:spacing w:after="60"/>
      </w:pPr>
      <w:r>
        <w:t xml:space="preserve">Compromiso de compra del 70 % de Valentino por unos 4.000 M en 2028-2029, fuera de la deuda [3].</w:t>
      </w:r>
    </w:p>
    <w:p>
      <w:pPr>
        <w:pStyle w:val="ListParagraph"/>
        <w:numPr>
          <w:ilvl w:val="0"/>
          <w:numId w:val="2"/>
        </w:numPr>
        <w:spacing w:after="60"/>
      </w:pPr>
      <w:r>
        <w:t xml:space="preserve">Dos objetivos retirados en tres meses (crecimiento de 2026 y margen del 2S) [12, 15].</w:t>
      </w:r>
    </w:p>
    <w:p>
      <w:pPr>
        <w:pStyle w:val="ListParagraph"/>
        <w:numPr>
          <w:ilvl w:val="0"/>
          <w:numId w:val="2"/>
        </w:numPr>
        <w:spacing w:after="60"/>
      </w:pPr>
      <w:r>
        <w:t xml:space="preserve">Salida de los directores creativos de Saint Laurent (9-oct) y McQueen (16-oct)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Kering no da cifras anuales. Para 2026, el 22-oct confirmó una mejora del margen operativo recurrente frente al 11,1 % de 2025, pero el 2S no superará el 12,8 % del 1S; el objetivo de «volver a crecer» en 2026, repetido el 28-jul, ya no aparece [1, 4, 12]. A medio plazo (ReconKering, 16-abr-2026): crecer más que el mercado, más que duplicar el margen operativo recurrente de 2025 (más del 22 %), ROCE por encima del 20 %, capex del 5-6 % de las ventas y reparto del 50 % del beneficio recurrente, en tres fases: reajuste hasta 2026, reconstrucción hasta 2028 y liderazgo en 2030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estimaciones leídas el 26-oct-2026, anteriores al 3T (beneficio neto de 631 M)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16 /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175,00 – 340,00</w:t>
            </w:r>
          </w:p>
        </w:tc>
      </w:tr>
    </w:tbl>
    <w:p>
      <w:pPr>
        <w:spacing w:after="160" w:before="0"/>
      </w:pPr>
    </w:p>
    <w:p>
      <w:pPr>
        <w:pStyle w:val="Heading2"/>
      </w:pPr>
      <w:r>
        <w:t xml:space="preserve">Revisiones de estimaciones</w:t>
      </w:r>
    </w:p>
    <w:p>
      <w:pPr>
        <w:spacing w:after="100"/>
      </w:pPr>
      <w:r>
        <w:t xml:space="preserve">Las estimaciones de MarketScreener aún no recogen el 3T: su EBITDA de 2025 (3.675 M) es el recurrente publicado y su BPA mezcla bases (0,59 € publicado en 2025) [30]. Antes del 3T ya hubo recortes: Oddo BHF bajó su EBIT un 7 % para 2026 y un 8 % para 2027 tras el pre-close call de junio, y JPMorgan bajó su objetivo de 235 a 215 € el 1-oct [14, 31]. Tras el 3T, UBS pone en duda el crecimiento del BPA de alrededor del 50 % en 2027 que da el consenso, Bernstein es «menos optimista» y RBC remite al 4T [15]. El objetivo medio (249,72 €, 26 analistas, Investing.com y MarketScreener coinciden) incluye objetivos anteriores al 22-oct; la tendencia de 3 meses es de recortes [32, 33].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Kering pierde un 40,8 % en 2026 frente al −4,5 % del CAC 40 y el −9,5 % del ETF de lujo mundial (GLUX), y un 76,7 % desde el máximo de enero de 2022 [34]. La caída relativa empieza en 2022 con Gucci y se acelera en 2024 (−40 %). En 2025 subió un 26 % con la llegada de Luca de Meo y la venta de la belleza, y en 2026 lo ha perdido: −9,3 % el 15-abr tras el día del inversor, +16,9 % el 29-jul con el 1S, y −16,6 % el 23-oct con el 3T, su peor día según Reuters [24, 34]. La beta mensual de 5 años frente al CAC es de 1,48 (1,32 ajustada) y la volatilidad de un año del 44 %, el doble que el sector [34].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 / -38,4 % / -22,5 % / -44,7 %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-43,9 % / +1,2 %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15-abr tras el 1T (Gucci −8 % comparable) y la víspera del día del inversor, que dio objetivos de margen sin cifras para Gucci ni plazo [10,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30-jun: el pre-close call del 1S dejó una recuperación «muy moderada»; Oddo BHF recortó su EBIT un 7-8 %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29-jul: +16,9 % con el 1S (Gucci −2 % en el 2T, margen del 12,8 % y deuda neta de 3.324 M) [4,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292,85 € (29-jul) a 213,50 € (22-oct) antes del 3T: venta del sector (Hermès −40 % en el año, LVMH en mínimos de 10 años en valoración), petróleo al alza y recortes de objetivos en el pre-close call del 1-oct (JPMorgan a 215 €) [31,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23-oct: Gucci −6 % comparable en el 3T (−5,4 % esperado), tiendas propias −9 % (−6 % esperado), retirada del objetivo de crecer en 2026 y margen del 2S sin mejora sobre el 1S [15, 16, 35]. Es un recorte de guía: este informe lo recoge en el caso base.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 JPMorgan (infraponderar) ve la mejora de marca «en sus inicios», UBS duda del BPA de 2027 del consenso, Bernstein menos optimista, RBC espera al 4T [15,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el director creativo de McQueen, Seán McGirr; el 9-oct salió el de Saint Laurent, Anthony Vaccarello; los sustitutos se anunciarán «pronto»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JPMorgan baja su objetivo de 235 a 215 € y espera −3 % de ventas en el 3T; Bernstein mantiene 270 €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entregas de acciones de rendimiento (Pinault, Duplaix, Poulou, Bellettini) y compras estatutarias de 50 acciones (De Meo en febrero, Kleitman en junio); ninguna venta declarada a la AMF en 2026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Artémis mantiene el 42,34 % y tiene 7,3 millones de acciones (5,9 % del capital) pignoradas; no hay colocación anunciada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Opciones de venta de Mayhoola sobre el 70 % de Valentino en 2028 y 2029, unos 4.000 M: fuera del horizonte de 12 meses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belleza de Gucci a L'Oréal por 50 años desde mediados de 2027; Coty recibe unos 400 M USD por adelantar el fin de la suya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anuales de 2026 en febrero de 2027 (fecha sin publicar en el calendario de Kering; 10-feb en 2026)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cae un 38 % en tres meses y está en mínimos de 52 semanas, un 28 % bajo la media de 200 sesiones. La causa está identificada y es fundamental: la recaída de Gucci en el 3T y la retirada de dos objetivos de 2026, sobre un sector a la baja por China, el petróleo y la guerra. Este informe la incorpora (caso base rebajado), así que no es una causa ajena a la tesis. No hay colocaciones, ampliaciones, ventas de directivos ni ofertas pendientes en 12 meses; los resultados anuales de febrero no retrasan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PER de los últimos 12 meses de 2024 y 2025 no sirven (beneficio recurrente un 87 % por debajo del de 2022) y 2020 es el año de la pandemia: se excluyen. Con el PER adelantado (cierre ÷ BPA recurrente del año siguiente), Kering cotizó a 22,0x (2020), 23,3x (2021) y 19,0x (2022), y a 40,5x en 2023 y 54,9x en 2024, cuando el mercado pagaba una recuperación que no llegó [7, 34]. Hoy cotiza a unas 22-23 veces nuestro BPA de los próximos 12 meses, en la parte alta de su historia limpia, con un beneficio a la mitad del de 2023. Lo estructural: el margen ya no es el del ciclo de Gucci y la deuda con arrendamientos es 2,6 veces el EBITDA, frente a casi cero en 2021.</w:t>
      </w:r>
    </w:p>
    <w:p>
      <w:pPr>
        <w:pStyle w:val="Heading1"/>
      </w:pPr>
      <w:r>
        <w:t xml:space="preserve">18. Comparables cotizados</w:t>
      </w:r>
    </w:p>
    <w:p>
      <w:pPr>
        <w:pStyle w:val="Confianza"/>
        <w:spacing w:after="100"/>
      </w:pPr>
      <w:r>
        <w:t xml:space="preserve">Confianza: Media</w:t>
      </w:r>
    </w:p>
    <w:p>
      <w:pPr>
        <w:spacing w:after="100"/>
      </w:pPr>
      <w:r>
        <w:t xml:space="preserve">Seis grupos europeos de lujo en NIIF con venta directa mayoritaria: LVMH, Hermès, Richemont, Moncler, Prada y Brunello Cucinelli. Estimaciones de MarketScreener leídas el 21-oct-2026 para los análisis de Moncler y Hermès de este repositorio, llevadas al cierre del 23-oct con la variación de precio de cada uno (Hermès −8,7 % y Richemont −8,1 % en dos sesiones; valor empresa movido con la capitalización) [37, 38, 39]. Fuera L'Oréal (belleza, ya no es negocio de Kering) y las marcas accesibles (Tapestry, Capri). Ninguno está en una recuperación de margen como Kering: los múltiplos sobre el beneficio actual la penalizan, y la mediana del PER (19,2x) va en la base de BPA ajustado de MarketScreener, cercana al recurrente de Kering.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 / 10,4x / 13,0x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 / 11,9x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 / 19,2x / 25,0x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 / 3,7x / 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454,96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8,2 + 0,33 × crecimiento; R² = 0,11. El crecimiento explica poco los múltiplos de estos comparables (R² &lt; 0,3): la regresión no se usa en la valoración.</w:t>
      </w:r>
    </w:p>
    <w:p>
      <w:pPr>
        <w:spacing w:after="100"/>
      </w:pPr>
      <w:r>
        <w:t xml:space="preserve">Kering cotiza a 9,1 veces el EBITDA de los últimos 12 meses, por encima de LVMH (8,4), Moncler (7,9) y Prada (6,9) y muy por debajo de Hermès (16,0) y Richemont (15,4), con un margen EBITDA del 25,3 % frente al 27-47 % del grupo [37, 39]. Por PER de los próximos 12 meses (21,8 veces) es más cara que LVMH (16,3) o Prada (13,6) porque su beneficio está en el suelo. Ninguno de los comparables está en una recuperación de margen como la de Kering, así que los múltiplos sobre el beneficio actual la penalizan y los de EBITDA la favorecen: la media de los dos (206,62 €) pesa un 25 % en la síntesis.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a 131,50 USD por acción [40].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Hoteles y trenes de lujo; EBITDA ajustado de 140 M USD [41].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Mitad en caja y mitad en acciones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llegó a cerrarse y era moda accesible [43].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una marca en pérdidas, la referencia más cercana para Valentino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de belleza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en caja, cerrada el 31-mar-2026 [4,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TOM FORD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2.800 M USD por la marca [46].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295,55 – 495,92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marcas de lujo con margen alto se han pagado a 3,8-5,6 veces ventas y 17-23 veces EBITDA (Tiffany, Belmond, Stone Island); las marcas en pérdidas, a 1,5-1,7 veces ventas (Versace, Capri) [40, 41, 42, 43, 44]. Kering cotiza a unas 1,9 veces ventas con arrendamientos, más cerca de las segundas. No es opable: Artémis tiene el 59 % de los votos y no hay señal de que quiera vender, así que las transacciones solo sirven de referencia y no pesan en el valor [5].</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−2,0 %: 10.565 M en nueve meses (1T 3.568, 2T 3.652 y 3T 3.345 M) y un 4T de unos 3.830 M (−2 % frente a 3.905 M), porque octubre va como el 3T y el mayorista de Gucci será más negativo [1, 12]. Después, 2,5 % en 2027e (antes 5 %: el 3T retrasa la vuelta de Gucci), 4,5-5 % en 2028-2030 y convergencia al 3 % en 2033e, algo por encima del mercado (3,5 %) porque parte de una base hundida: las ventas de 2028e (15.404 M) siguen un 24 % por debajo de 2022 [8, 19]. El consenso previo al 3T esperaba 15.493 M en 2027 y 16.488 M en 2028 [30].</w:t>
      </w:r>
    </w:p>
    <w:p>
      <w:pPr>
        <w:keepNext/>
        <w:spacing w:after="100"/>
      </w:pPr>
      <w:r>
        <w:rPr>
          <w:b/>
          <w:bCs/>
        </w:rPr>
        <w:t xml:space="preserve">Márgenes.</w:t>
      </w:r>
    </w:p>
    <w:p>
      <w:pPr>
        <w:spacing w:after="100"/>
      </w:pPr>
      <w:r>
        <w:t xml:space="preserve">Margen EBITDA (con NIIF 16) del 26,3 % en 2026e (margen operativo del 12,4 %: mejora sobre el 11,1 % de 2025 sin superar el 12,8 % del 1S en el 2S, como dijo la empresa [1]), 29,0 % en 2028e y 32,0 % desde 2031e. La amortización baja del 13,9 % al 11,5 % de las ventas porque las tiendas y los derechos de uso no crecen con las ventas (era el 8,2 % en 2022) [8]: el margen operativo final es del 20,5 %, por debajo del «más del 22 %» del plan ReconKering y del 27,5 % de 2022 [8, 17].</w:t>
      </w:r>
    </w:p>
    <w:p>
      <w:pPr>
        <w:keepNext/>
        <w:spacing w:after="100"/>
      </w:pPr>
      <w:r>
        <w:rPr>
          <w:b/>
          <w:bCs/>
        </w:rPr>
        <w:t xml:space="preserve">Inversión y circulante.</w:t>
      </w:r>
    </w:p>
    <w:p>
      <w:pPr>
        <w:spacing w:after="100"/>
      </w:pPr>
      <w:r>
        <w:t xml:space="preserve">Capex del 12,5 % de las ventas (12,0 % desde 2031e): el operativo (5-6 % según el plan) más los pagos de arrendamientos (7,3 % en 2025), porque los arrendamientos están en el puente [5, 17]; en 2021-2022, con más ventas, el total era del 9,5 %. Circulante del 16,5 % de las ventas, su nivel real (existencias, clientes y proveedores: 14,8-17,9 % en 2021-2025 y 16,3 % en junio de 2026) [3, 5].</w:t>
      </w:r>
    </w:p>
    <w:p>
      <w:pPr>
        <w:keepNext/>
        <w:spacing w:after="100"/>
      </w:pPr>
      <w:r>
        <w:rPr>
          <w:b/>
          <w:bCs/>
        </w:rPr>
        <w:t xml:space="preserve">Coste del capital.</w:t>
      </w:r>
    </w:p>
    <w:p>
      <w:pPr>
        <w:spacing w:after="100"/>
      </w:pPr>
      <w:r>
        <w:t xml:space="preserve">Bund a 10 años del 3,39 % (23-oct) [48]. Beta reapalancada con la deuda propia: la ajustada de 5 años (1,32) [34] se desapalanca con la deuda neta media con arrendamientos sobre capitalización de 2021-2025 (28 %) hasta 1,10 y se reapalanca con la de hoy (9.427 M sobre 21.846 M, 43 %): 1,44. Prima de mercado del 5,5 % y coste de los fondos propios del 11,31 %. Coste de la deuda del 3,6 % antes de impuestos (bonos BBB+) con un 30 % de deuda: WACC del 8,69 %. Con la prima implícita del mercado (4,2 %), el WACC baja al 7,38 % y el DCF sube a 236,08 €.</w:t>
      </w:r>
    </w:p>
    <w:p>
      <w:pPr>
        <w:keepNext/>
        <w:spacing w:after="100"/>
      </w:pPr>
      <w:r>
        <w:rPr>
          <w:b/>
          <w:bCs/>
        </w:rPr>
        <w:t xml:space="preserve">Valor terminal.</w:t>
      </w:r>
    </w:p>
    <w:p>
      <w:pPr>
        <w:spacing w:after="100"/>
      </w:pPr>
      <w:r>
        <w:t xml:space="preserve">Gordon con un crecimiento del 2,0 %, la inflación en euros, por debajo de la tasa libre. El valor terminal pesa el 66 % y su múltiplo implícito es de 6,4 veces el EBITDA, por debajo de los comparables (7-16 veces) [37].</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226,55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(reinvierte el 102 %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 (histórico: -9,9 %)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frente al 3,3 %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 (hoy: 4,1 %)</w:t>
            </w:r>
          </w:p>
        </w:tc>
      </w:tr>
    </w:tbl>
    <w:p>
      <w:pPr>
        <w:spacing w:after="160" w:before="0"/>
      </w:pPr>
    </w:p>
    <w:p>
      <w:pPr>
        <w:spacing w:after="100"/>
      </w:pPr>
      <w:r>
        <w:t xml:space="preserve">La proyección apenas necesita inversión neta de la amortización (reinversión acumulada de 163 M, el 1 % del NOPAT, con un capex bruto medio del 12,3 % de las ventas). En un negocio de activos ligeros, el crecimiento medio del 3,3 % tiene que salir de subir precios y de ganar volumen sin capital nuevo, y la prueba es el poder de precios y la cuota (4,0 % del mercado en 2033e, frente al 4,1 %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(Gucci −6 % comparable en el 3T y al menos 125 cierres netos de tiendas), precio +2 % y divisas −1,5 % (el 3T publicado fue +0 % con −1 % comparable)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Gucci aún en negativo el primer semestre y Saint Laurent con director creativo nuevo; precio +2 % [1,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en la fase de «reconstrucción» del plan; precio +2 %; mezcla de joyería y gafas +0,5 %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precio +2 % y mezcla +0,5 %: recuperación de parte del cliente aspiracional perdido en 2023-2025 [19].</w:t>
            </w:r>
          </w:p>
        </w:tc>
      </w:tr>
    </w:tbl>
    <w:p>
      <w:pPr>
        <w:spacing w:after="160" w:before="0"/>
      </w:pPr>
    </w:p>
    <w:p>
      <w:pPr>
        <w:spacing w:after="100"/>
      </w:pPr>
      <w:r>
        <w:t xml:space="preserve">Ninguna prueba cuantitativa falla: la proyección apenas necesita inversión neta (reinversión del 1 % del NOPAT), el crecimiento medio del 3,3 % es inferior al de un mercado que crece un 3,5 % y la cuota baja del 4,1 % al 4,0 % en 2033e. Pero el crecimiento no sale de un foso que funcione hoy: Gucci perdió más del 40 % de sus ventas en tres años, el ROIC (3,2 %) está por debajo del WACC y el ROIC incremental es negativo (−9,9 %). Por eso «En parte»: financiable, pero dependiente de que la marca recupere el deseo, algo que el 3T todavía no muestra [1].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 (base: 32,0 %)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8,7 %)</w:t>
            </w:r>
          </w:p>
        </w:tc>
      </w:tr>
    </w:tbl>
    <w:p>
      <w:pPr>
        <w:spacing w:after="160" w:before="0"/>
      </w:pPr>
    </w:p>
    <w:p>
      <w:pPr>
        <w:spacing w:after="100"/>
      </w:pPr>
      <w:r>
        <w:t xml:space="preserve">El DCF da 170,23 € por acción, un 4,4 % por debajo del precio, con un WACC del 8,69 % y un valor terminal que pesa el 66 %. El DCF inverso dice que el precio descuenta un crecimiento del 4,7 % anual en 2027-2033 con nuestro margen, frente al 4,1 % de nuestro base, y una rentabilidad implícita del 8,5 %, algo menos que el WACC: el precio ya paga una recuperación un poco mejor que la nuestra. Con WACC y crecimiento ± 0,5 puntos el valor va de 140,62 € a 210,09 €. Con la prima implícita del mercado sube a 236,08 €: la diferencia es la beta de 1,44, reapalancada con la deuda de hoy, que incluye 6.103 M de arrendamientos.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Gucci no recupera al cliente con Demna, como pasó con Sabato De Sarno en 2023-2024: ventas casi planas en 2027-2028 y margen EBITDA 3 puntos por debajo (operativo del 13 % en 2028). Saint Laurent pierde tracción con el cambio de director creativo y la compra de Valentino en 2028 vuelve a subir la deuda.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Gucci deja de caer en 2027 y crece desde 2028; Saint Laurent, Bottega Veneta, joyería y gafas crecen con el mercado. El margen operativo sube del 12,4 % de 2026 al 15,8 % en 2028 y al 20,5 % al final, por debajo del objetivo del plan.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colección Gucci Core del 4T amplía la clientela y Gucci vuelve a crecer en 2027: ventas +4,5 % y +6,5 % en 2027-2028 y margen operativo del 17,8 % en 2028, camino del 22 % del plan.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78,1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157,21 EUR (-11,7 %).</w:t>
      </w:r>
    </w:p>
    <w:p>
      <w:pPr>
        <w:spacing w:after="100"/>
      </w:pPr>
      <w:r>
        <w:t xml:space="preserve">En el DCF el alcista gana un 27,2 % y el bajista pierde un 55,1 %: asimetría de 0,49. A 12 meses, con la regla v2, el alcista da 243,37 € y el bajista 106,86 €, una asimetría de 0,92. El bajista es verosímil porque ya ocurrió en 2023-2025 con otro director creativo, y el 3T lo ha acercado. No compensa entrar a este precio sin ver antes la vuelta de Gucci.</w:t>
      </w:r>
    </w:p>
    <w:p>
      <w:pPr>
        <w:pStyle w:val="Heading1"/>
      </w:pPr>
      <w:r>
        <w:t xml:space="preserve">22. Suma de partes</w:t>
      </w:r>
    </w:p>
    <w:p>
      <w:pPr>
        <w:pStyle w:val="Confianza"/>
        <w:spacing w:after="100"/>
      </w:pPr>
      <w:r>
        <w:t xml:space="preserve">Confianza: Media</w:t>
      </w:r>
    </w:p>
    <w:p>
      <w:pPr>
        <w:spacing w:after="100"/>
      </w:pPr>
      <w:r>
        <w:t xml:space="preserve">No aplica: las marcas comparten tiendas, logística y costes centrales. Kering solo publica cuentas por marca de forma parcial (Gucci, Saint Laurent, Bottega Veneta, otras marcas y gafas) [3]; las gafas serían la única parte separable.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78,1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176,07 EUR (-1,2 % sobre 178,12).</w:t>
      </w:r>
    </w:p>
    <w:p>
      <w:pPr>
        <w:spacing w:after="100"/>
      </w:pPr>
      <w:r>
        <w:t xml:space="preserve">Pesos: DCF 50 %, comparables 25 % y escenarios 25 %. El DCF es el método más fiable para una empresa en recuperación porque recoge la vuelta del margen; los comparables por PER la castigan (156,60 €) y por EV/EBITDA la premian (256,63 €). Sin transacciones (Artémis controla el 59,3 % de los votos) ni suma de partes. Puente a 30-jun-2026: deuda bruta de 11.804 M, caja de 8.480 M y arrendamientos de 6.103 M; minoritarios (880 M) y pensiones (100 M) restan; el 30 % de Valentino y otras participadas suman 1.296 M; el sobreprecio estimado de la opción sobre el 70 % de Valentino (unos 4.000 M en 2028-2029 por una marca que pierde dinero) resta 2.200 M, 18 € por acción [3].</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243,37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r>
    </w:tbl>
    <w:p>
      <w:pPr>
        <w:spacing w:after="160" w:before="0"/>
      </w:pPr>
    </w:p>
    <w:p>
      <w:pPr>
        <w:spacing w:after="100"/>
      </w:pPr>
      <w:r>
        <w:rPr>
          <w:b/>
          <w:bCs/>
        </w:rPr>
        <w:t xml:space="preserve">Objetivo a 12 meses (ponderado):</w:t>
      </w:r>
      <w:r>
        <w:t xml:space="preserve"> 166,41 EUR · rentabilidad -4,9 % (base -6,6 %) · señal Mantener.</w:t>
      </w:r>
    </w:p>
    <w:p>
      <w:pPr>
        <w:spacing w:after="100"/>
      </w:pPr>
      <w:r>
        <w:t xml:space="preserve">Para comparar, con la regla v2 (historia al cierre, mismo precio): 15,6x / 16,0x / 19,3x, -4,9 % Mantener; con el tope anterior del base (×1,3, 14-oct mediodía): 17,4 % Mantener; con la v3 sin el selector (tope ×1,1): 17,4 % Mantener.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Nuestro BPA de 2028e (10,21 €) queda un 14 % por debajo del consenso (11,94 €) y el de 2027e (8,13 €) un 8 % por debajo (8,85 €), porque el consenso es anterior al 3T [30]. El objetivo base (163,36 €) queda un 34,6 % por debajo del objetivo medio de los analistas (249,72 €); la mayor parte de la diferencia está en el múltiplo: la regla v2 usa la mediana del PER al cierre de 2021-2023 (16,0x), mientras los analistas siguen pagando la recuperación.</w:t>
      </w:r>
    </w:p>
    <w:p>
      <w:pPr>
        <w:keepNext/>
        <w:spacing w:after="100"/>
      </w:pPr>
      <w:r>
        <w:rPr>
          <w:b/>
          <w:bCs/>
        </w:rPr>
        <w:t xml:space="preserve">Del valor intrínseco al objetivo a 12 meses.</w:t>
      </w:r>
    </w:p>
    <w:p>
      <w:pPr>
        <w:spacing w:after="100"/>
      </w:pPr>
      <w:r>
        <w:t xml:space="preserve">El objetivo a 12 meses ponderado (166,41 €) queda un 5,5 % por debajo del valor intrínseco (176,07 €) y los dos por debajo del precio. El BPA base de 2028e supone crecer un 33 % anual desde los 4,34 € de 2025, pero casi todo es margen y tipo impositivo: 2025 tuvo un margen operativo del 11,1 % y un tipo del 42 %; con el margen de 2026 ya confirmado por encima del 11,1 % y el tipo normal, 2026e ronda los 6,3 € (6,14 € del consenso de S&amp;P Global) [53], y de ahí a 2028e el crecimiento es del 27 % anual con ventas que solo suben un 7 % en dos años. Con la v3 la ponderada sería del 17,4 %, pero la historia limpia es de tres años y el selector toma la más baja.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los directores creativos de Saint Laurent y McQueen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o ruptura en la marca que más margen aporta tras Gucci</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dividendo y primera lectura de Gucci Core (4T)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 caja libre sin inmuebles y tendencia de Gucci en tiendas propias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Gucci frente a una base débil; primera prueba de la guía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licencia de belleza de Gucci pasa a L'Oréal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Regalías nuevas desde mediados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Ventana de la opción de Mayhoola sobre el 70 % de Valentino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unos 4.000 M de inversión en una marca con pérdidas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 no recupera al cliente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−55 %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Joyería (+11 % en el 3T) y gafas crecen; Bottega Veneta resiste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Gucci en tiendas propias por debajo del −5 % en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recupera por costes fijos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−15 % del DCF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menos 125 cierres netos de tiendas y menos existencias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recurrente de 2026 por debajo del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directores creativos en Saint Laurent y McQueen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si Saint Laurent pierde tracción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vendía bien con equipos estables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Saint Laurent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Valentino en 2028-2029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por acción ya en el puente; más si se paga por encima de 4.000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ligado a los resultados de Valentino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Valentino y comunicaciones de Mayhoola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Europa y el turismo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Norteamérica y Japón aguantan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Asia-Pacífico y Europa Occidental del 4T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de la familia Pinault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Descuento de control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independiente de la familia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Artémis o más acciones pignoradas</w:t>
            </w:r>
          </w:p>
        </w:tc>
      </w:tr>
    </w:tbl>
    <w:p>
      <w:pPr>
        <w:spacing w:after="160" w:before="0"/>
      </w:pPr>
    </w:p>
    <w:p>
      <w:pPr>
        <w:pStyle w:val="Heading2"/>
      </w:pPr>
      <w:r>
        <w:t xml:space="preserve">Pre-mortem</w:t>
      </w:r>
    </w:p>
    <w:p>
      <w:pPr>
        <w:spacing w:after="100"/>
      </w:pPr>
      <w:r>
        <w:t xml:space="preserve">Octubre de 2029: la acción vale 110 €. Gucci Core gustó en las críticas, pero las tiendas propias siguieron cayendo un 3-6 % al año porque el cliente aspiracional no volvió y el rico prefirió el lujo discreto. Saint Laurent perdió tracción con su nuevo director creativo y el grupo dejó de tener una marca que creciera. Los cierres de tiendas sostuvieron el margen operativo en el 12-13 %, lejos del 15,8 % previsto para 2028. En 2028 Mayhoola ejerció la venta del 70 % de Valentino y Kering pagó cerca de 4.000 M con deuda cuando el beneficio no crecía; el dividendo se recortó. Las señales estaban en el 3T26: Gucci −9 % en tiendas propias y la retirada del objetivo de crecer.</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w:t>
      </w:r>
    </w:p>
    <w:p>
      <w:pPr>
        <w:spacing w:after="100"/>
      </w:pPr>
      <w:r>
        <w:t xml:space="preserve">El lujo vende artesanía, escasez y deseo, que la IA no sustituye: la parte de las ventas expuesta es pequeña. La IA toca sobre todo costes y procesos: previsión de demanda y de existencias (Kering quiere bajar 1.000 M de existencias), personalización del marketing, atención al cliente y diseño de producto. Del lado de las ventas hay una oportunidad acotada: las gafas conectadas con Google, previstas para 2027, sin cifras todavía [17]. El riesgo es indirecto: que los agentes de compra y las búsquedas con IA resten tráfico a las tiendas propias o abaraten las marcas aspiracionales. Señal: ventas de las gafas conectadas y peso del canal digital en las tiendas propias.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(clima, agua y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en las tres (Triple A, tercer año seguido)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Lo que más pesa en las cifras es la cadena de suministro: el 87 % de los proveedores está en Europa y el 78 % en Italia, con miles de talleres subcontratados cuyo control laboral y de trazabilidad recae en la marca; Kering responde integrando fábricas (joint venture con HModa, Raselli Franco) [5, 17]. El objetivo climático (−12 % de emisiones absolutas de alcance 1-3 en 2028, verificado por SBTi) entra con un 10 % en las acciones de rendimiento del consejero delegado [5].</w:t>
      </w:r>
    </w:p>
    <w:p>
      <w:pPr>
        <w:pStyle w:val="Heading2"/>
      </w:pPr>
      <w:r>
        <w:t xml:space="preserve">Controversias</w:t>
      </w:r>
    </w:p>
    <w:p>
      <w:pPr>
        <w:spacing w:after="100"/>
      </w:pPr>
      <w:r>
        <w:t xml:space="preserve">Multa de 119,7 M de la Comisión Europea a Gucci (14-oct-2025) por fijar precios de reventa a sus distribuidores entre 2015 y 2023; pagada en 2025 [5]. No hay otras sanciones relevantes en el documento de registro de 2025.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y qué ventas espera para Gucci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no da cifras de Gucci y de ese supuesto depende casi todo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2026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desapareció el objetivo de volver a crecer en 2026 y qué espera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segundo objetivo retirado del año; la credibilidad de la guía cuenta en 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Valentino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calculará el precio del 70 % en 2028 y cómo se pagará?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4.000 M pueden devolver la deuda neta a 7.000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Saint Laurent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continuidad tendrá el estilo de Saint Laurent con el nuevo director creativo?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marca que más aporta al margen después de Gucci.</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bajan los pagos de arrendamientos con los 125 cierres netos de tiendas?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unos 1.076 M al año y la caja libre publicada no los resta.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explica la evolución de Europa Occidental en el 3T y qué espera para el turismo?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respuesta en la conferencia quedó pendiente.</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Kering: hilo «Comme pour Hermès hier, c'est très exagéré cette baisse»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exagerada la caída del −16,6 % y esperan comprar más abajo (181 €, incluso 150 €); otros sostienen que el lujo ha cambiado de paradigma y que un PER de 30x para una empresa que no crece no se justifica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 «Pris une première ligne à 178,92»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Pequeños partícipes entran con prudencia a ≈179 € y ya en pérdidas; el cierre por debajo de 180 € y los cierres de tiendas se leen como señal de que la situación «es muy grave» y de que los 200 € no volverán en 2026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 «Gucci est ringard en Europe» y portada del foro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Críticas a la estética de Gucci («barroca», poco deseable en Europa) y títulos de hilos que van del entusiasmo de verano («le titre s'envole») al desencanto de octubre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de autores independientes,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abril y agosto los titulares pasan de «aún no basta» y «la recuperación tiene que demostrarse» (abr-jun) a «el reinicio de Gucci se convierte en recuperación del beneficio» (13-ago); no hay artículo nuevo tras el 3T [50].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francesa (ABC Bourse/AFP y Zonebourse vía Fortuneo) con reacciones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«Gucci pone a prueba la paciencia de los inversores»: Bernstein, UBS y JPMorgan ven lejana la inflexión de Gucci; el 4T, con la colección más amplia, se presenta como prueba [15]. En julio ya se castigó que el plan dependiera de recortes y no de la demanda [51].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 ¿vuelve el deseo con Demna?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les dan razón a corto plazo: Gucci −6 % comparable en el 3T26 y −9 % en tiendas propias (el mercado esperaba −6 %), tras −2 % en el 2T; el mayorista sube por reposición, no por demanda final [1, 15].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«de tecnológica» para una empresa que no crece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sobre el BPA deprimido de 2026e (≈5 €; ≈35x), pero sobre un BPA de 2028e con margen a medio camino del objetivo el PER baja a ≈15-18x. La gente mira el beneficio de suelo; la tesis depende de que el margen se recupere.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paradigma del lujo: PER de 16-17x como techo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nuestra prudencia: la mediana de los comparables está en ≈19x adelantado y la historia limpia de Kering en ≈22x; usamos el PER actual con un acercamiento parcial a la mediana, no la vuelta a 25-30x.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Sobrerreacción y oportunidad de compra escalonada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está a +1 % del mínimo de 52 semanas y a −76 % del máximo de 5 años; el balance aguanta (deuda neta 3.324 M a junio, BBB+), pero la opción sobre Valentino (≈4.000 M en 2028-2029) pesa y no aparece en el foro [52].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Cierres de tiendas y salidas de directores creativos (Saint Laurent, McQueen)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cierres (≥125 netos en 2026) son parte del plan de rentabilidad y reducen ventas de poca calidad; la salida de Vaccarello sí es un riesgo para la marca que más margen aporta tras Gucci [1].</w:t>
            </w:r>
          </w:p>
        </w:tc>
      </w:tr>
    </w:tbl>
    <w:p>
      <w:pPr>
        <w:spacing w:after="160" w:before="0"/>
      </w:pPr>
    </w:p>
    <w:p>
      <w:pPr>
        <w:spacing w:after="100"/>
      </w:pPr>
      <w:r>
        <w:t xml:space="preserve">El sentimiento del particular está cerca de la capitulación tras el −16,6 % del 23-oct: los hilos combinan compras tímidas a ≈179 € con la idea de que el lujo ya no merece su PER histórico. No contradice al consenso de analistas, que también ha girado a la prudencia (Bernstein, UBS, JPMorgan) y probablemente recortará BPA tras el 3T. Para la decisión aporta dos cosas: confirma que el mercado ya no paga por la promesa del plan ReconKering sin crecimiento de Gucci, y que nadie habla del pasivo de Valentino, que el informe sí recoge. Un sentimiento tan malo es condición necesaria, no suficiente, para una entrada: falta el catalizador, que sería un 4T con Gucci en tiendas propias mejor que −5 %.</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24 controles correctos y 6 explicados. Fuentes: 53 (29 primarias); citas distintas en el texto: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42,1 %: explica la causa (créditos fiscales, regularizaciones, mezcla de países) y no lo proyectes en el DCF. Explicación: El 42,1 % de 2025 recoge la contribución excepcional sobre el beneficio de las grandes empresas francesas y pérdidas sin crédito fiscal en marcas pequeñas; en el 1S26 el tipo sobre el resultado recurrente fue del 32,5 % [3]. No se proyecta: el DCF y los BPA usan el 30 %, entre el 28 % de 2021-2023 y el del 1S26.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4,0 % en 2033e frente al 4,1 %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16,5 % frente a 17,7 % real: genera una variación de circulante de -230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1.640 M de flujo libre medio en sus tres primeros años, frente a 286 M de media real en los tres últimos: justifica el salto (circulante, inversión, márgenes) o ajusta los supuestos. Explicación: La media real de 2023-2025 está hundida por 3.300 M de inmuebles comprados en 2023-2024 y por las compras de Creed y Valentino [5, 7]. Sin inmuebles ni compras, 2025 dejó 1.194 M (flujo operativo de 3.100 M − capex de 830 M − arrendamientos de 1.076 M) [5]. El DCF de 2026e (1.680 M) suma 230 M de circulante liberado, en línea con el plan de bajar 1.000 M de existencias y los 602 M liberados en el 1S26 [3, 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0,11: el crecimiento no explica los múltiplos de estos comparables; no uses el valor de la regresión. Explicación: En el lujo el múltiplo lo explica la calidad de la marca (Hermès) más que el crecimiento; el valor de la regresión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8,6x a 12,2x según qué comparable se quite (196,25 a 317,01 por acción): la muestra es frágil; explícalo y no le des mucho peso. Explicación: Hermès y Richemont cotizan a 15-16 veces el EBITDA y el resto a 7-9: la mediana depende de quién se quite. Por eso los comparables pesan un 25 % y se promedian EV/EBITDA y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256,63 y PER 156,60 por acción: si la empresa amortiza mucho más que sus comparables (licencias, intangibles adquiridos) el EBITDA la favorece; usa EV/EBIT o EV/(EBITDA − capex) y explícalo. Explicación: Kering amortiza el 13,9 % de sus ventas (con los derechos de uso de tiendas) frente a un 8 % en 2022: el EBITDA la favorece (256,63 €) y el PER sobre un beneficio en el suelo la castiga (156,60 €). Se usa la media de los dos con peso del 25 %; el DCF, que proyecta la vuelta del margen, pesa el 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(10,21) supone un 33,0 % anual desde 4,34 (2025): explícalo en valoracion.objetivo_12m.comentario o la confianza es baja. Explicación: El BPA de 2025 (4,34 €) está deprimido por un margen del 11,1 % y un tipo impositivo del 42 %; con el margen ya confirmado por encima del 11,1 % y el tipo normal, 2026e queda en torno a 6,3 € (consenso de S&amp;P Global: 6,14 €) [53]. De ahí a 10,21 € en 2028e es recuperación de margen (del 12,4 % al 15,8 % operativo), no volumen. Se explica en el objetivo a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(29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de 2021-2025 en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nota 3 (segmentación antigua: Gucci, Saint Laurent, Bottega Veneta, otras casas, gafas y corporativo); 2) informe semestral 1S26 (solo reexpresa el 1S25); 3) comunicados del 1T y 3T26 (solo ventas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 conferencia del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Kering (solo grabación); 2) Seeking Alpha (de pago); 3) prensa del pre-close call de junio y del 28-jul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de MSCI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cita CDP); 2) web de Kering (sostenibilidad, sin cifras de agencias); 3) búsqueda reservada a núcleo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en contra de la remuneración en la junta de mayo de 2026 y sobre el capital libre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la junta del 28-may-2026 (solo «todas aprobadas»); 2) URD 2025 (voto de la junta de sep-2025: 89,7 %); 3) web de la junta (actas no localizadas)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la remuneración del consejero delegado sobre el salario 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§5.1.4 (ratios anualizados sin identificar el cargo de cada fila en el texto extraído); 2) cálculo directo (distorsionado por la prima de entrada de 20 M);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AMF (no consultado: presupuesto); 2) Stock Analysis (sin dato para Euronext);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proximos_resultados (fecha exacta)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calendario financiero de kering.com (sin fechas de 2027 en el texto); 2) carta a los accionistas de agosto (solo el 22-oct); 3) MFN (calendario hasta 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posteriores al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(sin actualizar el 26-oct); 2) Investing.com (sin estimaciones en la página); 3) prensa (solo comentarios cualitativos de UBS, Bernstein, RBC y JPMorgan)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JSON de Reddit (403 desde este entorno); 2) API pública de Stocktwits de $PPRUY: 12 mensajes, solo 2 en los últimos tres meses y sin debate (no cuenta); 3) comentarios de lectores en ABC Bourse (exigen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lectura sale de Boursorama, Seeking Alpha y prensa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Revenue for the third quarter of 2026 (comunicado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https://www.kering.com/api/download-file/?path=20261022_Kering_Q3_26_Press_release_12bc3645e3.pdf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Q3 2026 Revenue (presentación a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https://www.kering.com/api/download-file/?path=20261022_Kering_Q3_26_Presentation_88a2b4f753.pdf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First-Half Report (informe financiero semestral)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https://ml-eu.globenewswire.com/Resource/Download/1859979e-9146-47d5-9934-b17411caea8b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 half results: back to growth, performance improvement &amp; strategy execution on track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https://www.kering.com/api/download-file/?path=Kering_H1_26_Press_Release_28_07_26_719df26bd0.pdf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https://www.kering.com/api/download-file/?path=02_Universal_Registration_Document_2025_EN_216d1c494b.pdf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 2023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https://mfn.se/one/a/kering/kering-press-release-2023-annual-results-9aec89a1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 2022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(depósito en la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https://echanges.dila.gouv.fr/OPENDATA/AMF/MKW/2023/02/FCMKW112751_20230215.pdf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FY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(depósito en la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https://echanges.dila.gouv.fr/OPENDATA/AMF/MKW/2022/02/FCMKW115387_20220217.pdf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first-quarter revenue: gradual improvement and focus on execution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https://ml-eu.globenewswire.com/Resource/Download/fcc64dde-2db3-4b9b-9cee-c9798ed70442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financieros anuales ESEF 2021-2023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https://filings.xbrl.org/549300VGEJKB7SVUZR78/2021-12-31/ESEF/FR/0/549300VGEJKB7SVUZR78-2021-12-31-fr.json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Kering Q3 2026 shares sink as Gucci recovery lags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https://www.investing.com/news/transcripts/earnings-call-transcript-kering-q3-2026-shares-sink-as-gucci-recovery-lags-93CH-4967112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turnaround hopes hit by drop in Gucci sales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Manila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https://www.manilatimes.net/2026/10/24/business/foreign-business/kering-turnaround-hopes-hit-by-drop-in-gucci-sales/2452753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suscite les inquiétudes du marché avant ses résultats (pre-close call del 1S)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vía Fortuneo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https://bourse.fortuneo.fr/actualites/kering-suscite-les-inquietudes-du-marche-avant-ses-resultats-7046000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Gucci met la patience des investisseurs à rude épreuve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Agefi-Dow Jones vía 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https://www.abcbourse.com/marches/kering-gucci-met-la-patience-des-investisseurs-a-rude-epreuve_704834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Group Q3 earnings 2026: revenues flat as Gucci misses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https://wwd.com/business-news/financial/kering-q3-revenues-flat-gucci-organic-sales-down-6-percent-1239380710/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ReconKering – True Luxury. Next Luxury (comunicado del Capital Markets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https://ml-eu.globenewswire.com/Resource/Download/49814d51-41dd-4a37-af75-e7618e2104bb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Luxury Study,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Gucci owner Kering drops 16% as luxury braces for tough winter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Banking &amp; Finance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https://www.globalbankingandfinance.com/kering-shares-drop-11-gucci-sales-slide/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2026 Half-year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https://mfn.se/all/a/hermes/hermes-international-2026-half-year-results-be9f20c4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Monthly statement on the total number of shares and voting rights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https://ml-eu.globenewswire.com/Resource/Download/4bed5f0f-7a7e-4c2a-96d2-e665e9929989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May 28, 2026: approval of all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https://ml-eu.globenewswire.com/Resource/Download/7d4ff160-1133-4aaf-ab58-99ac7ba6a5d8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operaciones de directivos de Kering (BDIF, 2026DD1095878, 2026DD1121996 y 2026DD1143093-1143128)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https://bdif.amf-france.org/back/api/v1/informations?RechercheTexte=KERING&amp;TypesInformation=DD&amp;From=0&amp;Size=40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estimaciones financieras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https://www.marketscreener.com/quote/stock/KERING-437276/finances/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recule après des commentaires prudents d'analystes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Agefi-Dow Jones vía 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https://www.abcbourse.com/marches/kering-recule-apres-des-commentaires-prudents-d-analystes_703607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https://ca.investing.com/equities/kering-consensus-estimates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Analysts'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https://uk.marketscreener.com/quote/stock/KERING-437276/consensus/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KER.PA, ^FCHI y GLUX.PA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https://finance.yahoo.com/quote/KER.PA/history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dévisse après un recul plus fort que prévu des ventes de Gucci au 3e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Agefi-Dow Jones vía 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https://www.abcbourse.com/marches/kering-devisse-apres-un-recul-plus-fort-que-prevu-des-ventes-de-gucci-au-3e-trim_704794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https://www.kering.com/en/finance/financial-calendar/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lujo de MarketScreener del 21-oct-2026 (análisis de Moncler de este repositorio: LVMH, Hermès, Richemont, Prada y Brunello Cucinelli)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informes/moncler-2026-10-21)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estimaciones financieras (análisis de Hermès del 22-oct-2026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informes/hermes-2026-10-22)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21 y 23-oct-2026 de MC.PA, RMS.PA, CFR.SW, MONC.MI, 1913.HK y BC.MI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https://query1.finance.yahoo.com/v8/finance/chart/MC.PA?range=10d&amp;interval=1d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documento de registro universal 2023 (nota 2.3 sobre Tiffany)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alliance in beauty and wellness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federal alemán a 10 años (serie diaria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KERING: «Comme pour Hermès hier, c'est très exagéré cette baisse mais»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https://www.boursorama.com/bourse/forum/1rPKER/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 artículos y análisis (RSS): «The Gucci Reset Is Becoming An Earnings Recovery» (13-ago), «Recovery Still Needs To Be Proven» (24-jun), «Still Not Enough» (20-abr)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https://seekingalpha.com/api/sa/combined/PPRUY.xml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suscite les inquiétudes du marché avant ses résultats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vía Fortuneo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https://bourse.fortuneo.fr/actualites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Rapport financier semestriel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https://www.kering.com/en/finance/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(EPA:KER) Stock Forecast: price target, ratings and EPS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https://stockanalysis.com/quote/epa/KER/forecast/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90,7 %</w:t>
      </w:r>
      <w:r>
        <w:t xml:space="preserve"> · Secciones con menos del 60 % de campos cubiertos: </w:t>
      </w:r>
      <w:r>
        <w:rPr>
          <w:b/>
          <w:bCs/>
        </w:rPr>
        <w:t xml:space="preserve">ninguna</w:t>
      </w:r>
      <w:r>
        <w:t xml:space="preserve"> · Generado el 26 oct 2026.</w:t>
      </w:r>
    </w:p>
    <w:p>
      <w:pPr>
        <w:pStyle w:val="Nota"/>
        <w:spacing w:after="100"/>
      </w:pPr>
      <w:r>
        <w:t xml:space="preserve">Cuenta en base recurrente (la de la empresa) en todo el informe: historia del PER y BPA de los escenarios en la misma base. 2021-2023 del XBRL del regulador (ESEF) y de los comunicados anuales; 2024-2025 del documento de registro universal 2025 (2024 reexpresado sin Kering Beauté; el ESEF de 2024-2025 no está en filings.xbrl.org). Precio: cierre del 23-oct-2026 (178,12 €); la sesión del 26-oct no había cerrado al terminar. El consenso de BPA (MarketScreener) y el objetivo medio (Stock Analysis/S&amp;P Global) son anteriores al 3T: tras el recorte de guía, el consenso bajará. Comparables al cierre del 23-oct con estimaciones de MarketScreener del 21-oct. La participación del 30 % en Valentino y el sobreprecio de la opción sobre el 70 % restante son estimaciones propias. Reddit no es accesible desde este entorno.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Kering SA (KER)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178,12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(176,46 – 334,65)</c:v>
                </c:pt>
                <c:pt idx="1">
                  <c:v>Precio objetivo de los analistas (175,00 – 340,00)</c:v>
                </c:pt>
                <c:pt idx="2">
                  <c:v>Comparables: EV/EBITDA NTM (161,03 – 344,69)</c:v>
                </c:pt>
                <c:pt idx="3">
                  <c:v>Comparables: PER NTM (134,17 – 204,11)</c:v>
                </c:pt>
                <c:pt idx="4">
                  <c:v>DCF (WACC y g ± 0,5) (140,62 – 210,09)</c:v>
                </c:pt>
                <c:pt idx="5">
                  <c:v>Escenarios (bajista – alcista) (79,90 – 226,55)</c:v>
                </c:pt>
                <c:pt idx="6">
                  <c:v>DCF con la prima implícita del mercado (4,2 %)</c:v>
                </c:pt>
                <c:pt idx="7">
                  <c:v>Precio actual (178,12)</c:v>
                </c:pt>
              </c:strCache>
            </c:strRef>
          </c:cat>
          <c:val>
            <c:numRef>
              <c:f>Hoja1!$B$2:$B$9</c:f>
              <c:numCache>
                <c:formatCode>#,##0</c:formatCode>
                <c:ptCount val="8"/>
                <c:pt idx="0">
                  <c:v>176.46</c:v>
                </c:pt>
                <c:pt idx="1">
                  <c:v>175</c:v>
                </c:pt>
                <c:pt idx="2">
                  <c:v>161.03</c:v>
                </c:pt>
                <c:pt idx="3">
                  <c:v>134.17</c:v>
                </c:pt>
                <c:pt idx="4">
                  <c:v>140.62</c:v>
                </c:pt>
                <c:pt idx="5">
                  <c:v>79.9</c:v>
                </c:pt>
                <c:pt idx="6">
                  <c:v>207.46</c:v>
                </c:pt>
                <c:pt idx="7">
                  <c:v>177.23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(176,46 – 334,65)</c:v>
                </c:pt>
                <c:pt idx="1">
                  <c:v>Precio objetivo de los analistas (175,00 – 340,00)</c:v>
                </c:pt>
                <c:pt idx="2">
                  <c:v>Comparables: EV/EBITDA NTM (161,03 – 344,69)</c:v>
                </c:pt>
                <c:pt idx="3">
                  <c:v>Comparables: PER NTM (134,17 – 204,11)</c:v>
                </c:pt>
                <c:pt idx="4">
                  <c:v>DCF (WACC y g ± 0,5) (140,62 – 210,09)</c:v>
                </c:pt>
                <c:pt idx="5">
                  <c:v>Escenarios (bajista – alcista) (79,90 – 226,55)</c:v>
                </c:pt>
                <c:pt idx="6">
                  <c:v>DCF con la prima implícita del mercado (4,2 %)</c:v>
                </c:pt>
                <c:pt idx="7">
                  <c:v>Precio actual (178,12)</c:v>
                </c:pt>
              </c:strCache>
            </c:strRef>
          </c:cat>
          <c:val>
            <c:numRef>
              <c:f>Hoja1!$C$2:$C$9</c:f>
              <c:numCache>
                <c:formatCode>#,##0</c:formatCode>
                <c:ptCount val="8"/>
                <c:pt idx="0">
                  <c:v>158.18999999999997</c:v>
                </c:pt>
                <c:pt idx="1">
                  <c:v>165</c:v>
                </c:pt>
                <c:pt idx="2">
                  <c:v>183.66</c:v>
                </c:pt>
                <c:pt idx="3">
                  <c:v>69.94000000000003</c:v>
                </c:pt>
                <c:pt idx="4">
                  <c:v>69.47</c:v>
                </c:pt>
                <c:pt idx="5">
                  <c:v>146.65</c:v>
                </c:pt>
                <c:pt idx="6">
                  <c:v>63.16</c:v>
                </c:pt>
                <c:pt idx="7">
                  <c:v>1.7800000000000011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Kering Fashion &amp; Leather Goods</c:v>
                </c:pt>
              </c:strCache>
            </c:strRef>
          </c:tx>
          <c:spPr>
            <a:solidFill>
              <a:srgbClr val="2A78D6"/>
            </a:solidFill>
            <a:ln w="12700">
              <a:solidFill>
                <a:srgbClr val="FFFFFF"/>
              </a:solidFill>
            </a:ln>
          </c:spPr>
          <c:invertIfNegative val="0"/>
          <c:cat>
            <c:strRef>
              <c:f>Hoja1!$A$2:$A$3</c:f>
              <c:strCache>
                <c:ptCount val="2"/>
                <c:pt idx="0">
                  <c:v>1S25</c:v>
                </c:pt>
                <c:pt idx="1">
                  <c:v>1S26</c:v>
                </c:pt>
              </c:strCache>
            </c:strRef>
          </c:cat>
          <c:val>
            <c:numRef>
              <c:f>Hoja1!$B$2:$B$3</c:f>
              <c:numCache>
                <c:formatCode>#,##0</c:formatCode>
                <c:ptCount val="2"/>
                <c:pt idx="0">
                  <c:v>6115</c:v>
                </c:pt>
                <c:pt idx="1">
                  <c:v>5800</c:v>
                </c:pt>
              </c:numCache>
            </c:numRef>
          </c:val>
        </c:ser>
        <c:ser>
          <c:idx val="1"/>
          <c:order val="1"/>
          <c:tx>
            <c:strRef>
              <c:f>Hoja1!$C$1</c:f>
              <c:strCache>
                <c:ptCount val="1"/>
                <c:pt idx="0">
                  <c:v>Kering Jewelry</c:v>
                </c:pt>
              </c:strCache>
            </c:strRef>
          </c:tx>
          <c:spPr>
            <a:solidFill>
              <a:srgbClr val="EB6834"/>
            </a:solidFill>
            <a:ln w="12700">
              <a:solidFill>
                <a:srgbClr val="FFFFFF"/>
              </a:solidFill>
            </a:ln>
          </c:spPr>
          <c:invertIfNegative val="0"/>
          <c:cat>
            <c:strRef>
              <c:f>Hoja1!$A$2:$A$3</c:f>
              <c:strCache>
                <c:ptCount val="2"/>
                <c:pt idx="0">
                  <c:v>1S25</c:v>
                </c:pt>
                <c:pt idx="1">
                  <c:v>1S26</c:v>
                </c:pt>
              </c:strCache>
            </c:strRef>
          </c:cat>
          <c:val>
            <c:numRef>
              <c:f>Hoja1!$C$2:$C$3</c:f>
              <c:numCache>
                <c:formatCode>#,##0</c:formatCode>
                <c:ptCount val="2"/>
                <c:pt idx="0">
                  <c:v>455</c:v>
                </c:pt>
                <c:pt idx="1">
                  <c:v>521</c:v>
                </c:pt>
              </c:numCache>
            </c:numRef>
          </c:val>
        </c:ser>
        <c:ser>
          <c:idx val="2"/>
          <c:order val="2"/>
          <c:tx>
            <c:strRef>
              <c:f>Hoja1!$D$1</c:f>
              <c:strCache>
                <c:ptCount val="1"/>
                <c:pt idx="0">
                  <c:v>Kering Eyewear</c:v>
                </c:pt>
              </c:strCache>
            </c:strRef>
          </c:tx>
          <c:spPr>
            <a:solidFill>
              <a:srgbClr val="1BAF7A"/>
            </a:solidFill>
            <a:ln w="12700">
              <a:solidFill>
                <a:srgbClr val="FFFFFF"/>
              </a:solidFill>
            </a:ln>
          </c:spPr>
          <c:invertIfNegative val="0"/>
          <c:cat>
            <c:strRef>
              <c:f>Hoja1!$A$2:$A$3</c:f>
              <c:strCache>
                <c:ptCount val="2"/>
                <c:pt idx="0">
                  <c:v>1S25</c:v>
                </c:pt>
                <c:pt idx="1">
                  <c:v>1S26</c:v>
                </c:pt>
              </c:strCache>
            </c:strRef>
          </c:cat>
          <c:val>
            <c:numRef>
              <c:f>Hoja1!$D$2:$D$3</c:f>
              <c:numCache>
                <c:formatCode>#,##0</c:formatCode>
                <c:ptCount val="2"/>
                <c:pt idx="0">
                  <c:v>921</c:v>
                </c:pt>
                <c:pt idx="1">
                  <c:v>965</c:v>
                </c:pt>
              </c:numCache>
            </c:numRef>
          </c:val>
        </c:ser>
        <c:ser>
          <c:idx val="3"/>
          <c:order val="3"/>
          <c:tx>
            <c:strRef>
              <c:f>Hoja1!$E$1</c:f>
              <c:strCache>
                <c:ptCount val="1"/>
                <c:pt idx="0">
                  <c:v>Corporate &amp; Other</c:v>
                </c:pt>
              </c:strCache>
            </c:strRef>
          </c:tx>
          <c:spPr>
            <a:solidFill>
              <a:srgbClr val="EDA100"/>
            </a:solidFill>
            <a:ln w="12700">
              <a:solidFill>
                <a:srgbClr val="FFFFFF"/>
              </a:solidFill>
            </a:ln>
          </c:spPr>
          <c:invertIfNegative val="0"/>
          <c:cat>
            <c:strRef>
              <c:f>Hoja1!$A$2:$A$3</c:f>
              <c:strCache>
                <c:ptCount val="2"/>
                <c:pt idx="0">
                  <c:v>1S25</c:v>
                </c:pt>
                <c:pt idx="1">
                  <c:v>1S26</c:v>
                </c:pt>
              </c:strCache>
            </c:strRef>
          </c:cat>
          <c:val>
            <c:numRef>
              <c:f>Hoja1!$E$2:$E$3</c:f>
              <c:numCache>
                <c:formatCode>#,##0</c:formatCode>
                <c:ptCount val="2"/>
                <c:pt idx="0">
                  <c:v>71</c:v>
                </c:pt>
                <c:pt idx="1">
                  <c:v>65</c:v>
                </c:pt>
              </c:numCache>
            </c:numRef>
          </c:val>
        </c:ser>
        <c:ser>
          <c:idx val="4"/>
          <c:order val="4"/>
          <c:tx>
            <c:strRef>
              <c:f>Hoja1!$F$1</c:f>
              <c:strCache>
                <c:ptCount val="1"/>
                <c:pt idx="0">
                  <c:v>Eliminaciones</c:v>
                </c:pt>
              </c:strCache>
            </c:strRef>
          </c:tx>
          <c:spPr>
            <a:solidFill>
              <a:srgbClr val="E87BA4"/>
            </a:solidFill>
            <a:ln w="12700">
              <a:solidFill>
                <a:srgbClr val="FFFFFF"/>
              </a:solidFill>
            </a:ln>
          </c:spPr>
          <c:invertIfNegative val="0"/>
          <c:cat>
            <c:strRef>
              <c:f>Hoja1!$A$2:$A$3</c:f>
              <c:strCache>
                <c:ptCount val="2"/>
                <c:pt idx="0">
                  <c:v>1S25</c:v>
                </c:pt>
                <c:pt idx="1">
                  <c:v>1S26</c:v>
                </c:pt>
              </c:strCache>
            </c:strRef>
          </c:cat>
          <c:val>
            <c:numRef>
              <c:f>Hoja1!$F$2:$F$3</c:f>
              <c:numCache>
                <c:formatCode>#,##0</c:formatCode>
                <c:ptCount val="2"/>
                <c:pt idx="0">
                  <c:v>-123</c:v>
                </c:pt>
                <c:pt idx="1">
                  <c:v>-131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(1S26)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Kering Fashion &amp; Leather Goods</c:v>
                </c:pt>
                <c:pt idx="1">
                  <c:v>Kering Jewelry</c:v>
                </c:pt>
                <c:pt idx="2">
                  <c:v>Kering Eyewear</c:v>
                </c:pt>
                <c:pt idx="3">
                  <c:v>Corporate &amp; Other</c:v>
                </c:pt>
                <c:pt idx="4">
                  <c:v>Eliminaciones</c:v>
                </c:pt>
              </c:strCache>
            </c:strRef>
          </c:cat>
          <c:val>
            <c:numRef>
              <c:f>Hoja1!$B$2:$B$6</c:f>
              <c:numCache>
                <c:formatCode>General</c:formatCode>
                <c:ptCount val="5"/>
                <c:pt idx="0">
                  <c:v>80.3</c:v>
                </c:pt>
                <c:pt idx="1">
                  <c:v>7.2</c:v>
                </c:pt>
                <c:pt idx="2">
                  <c:v>13.4</c:v>
                </c:pt>
                <c:pt idx="3">
                  <c:v>0.9</c:v>
                </c:pt>
                <c:pt idx="4">
                  <c:v>-1.8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Europa Occidental</c:v>
                </c:pt>
                <c:pt idx="1">
                  <c:v>Asia-Pacífico (sin Japón)</c:v>
                </c:pt>
                <c:pt idx="2">
                  <c:v>Norteamérica</c:v>
                </c:pt>
                <c:pt idx="3">
                  <c:v>Japón</c:v>
                </c:pt>
                <c:pt idx="4">
                  <c:v>Resto del mundo</c:v>
                </c:pt>
              </c:strCache>
            </c:strRef>
          </c:cat>
          <c:val>
            <c:numRef>
              <c:f>Hoja1!$B$2:$B$6</c:f>
              <c:numCache>
                <c:formatCode>0"%"</c:formatCode>
                <c:ptCount val="5"/>
                <c:pt idx="0">
                  <c:v>30.1</c:v>
                </c:pt>
                <c:pt idx="1">
                  <c:v>28.6</c:v>
                </c:pt>
                <c:pt idx="2">
                  <c:v>24.2</c:v>
                </c:pt>
                <c:pt idx="3">
                  <c:v>7.9</c:v>
                </c:pt>
                <c:pt idx="4">
                  <c:v>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Kering</c:v>
                </c:pt>
                <c:pt idx="1">
                  <c:v>LVMH (Moda y Marroquinería)</c:v>
                </c:pt>
                <c:pt idx="2">
                  <c:v>Compagnie Financière Richemont</c:v>
                </c:pt>
                <c:pt idx="3">
                  <c:v>Chanel</c:v>
                </c:pt>
                <c:pt idx="4">
                  <c:v>Hermès</c:v>
                </c:pt>
                <c:pt idx="5">
                  <c:v>Prada</c:v>
                </c:pt>
                <c:pt idx="6">
                  <c:v>Moncler</c:v>
                </c:pt>
              </c:strCache>
            </c:strRef>
          </c:cat>
          <c:val>
            <c:numRef>
              <c:f>Hoja1!$B$2:$B$8</c:f>
              <c:numCache>
                <c:formatCode>0.0"%"</c:formatCode>
                <c:ptCount val="7"/>
                <c:pt idx="0">
                  <c:v>11.1</c:v>
                </c:pt>
                <c:pt idx="1">
                  <c:v>35</c:v>
                </c:pt>
                <c:pt idx="2">
                  <c:v>20</c:v>
                </c:pt>
                <c:pt idx="3">
                  <c:v>24.4</c:v>
                </c:pt>
                <c:pt idx="4">
                  <c:v>41.1</c:v>
                </c:pt>
                <c:pt idx="5">
                  <c:v>22.7</c:v>
                </c:pt>
                <c:pt idx="6">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0</c:v>
                </c:pt>
                <c:pt idx="2">
                  <c:v>4</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13100</c:v>
                </c:pt>
                <c:pt idx="1">
                  <c:v>17645</c:v>
                </c:pt>
                <c:pt idx="2">
                  <c:v>20351</c:v>
                </c:pt>
                <c:pt idx="3">
                  <c:v>19566</c:v>
                </c:pt>
                <c:pt idx="4">
                  <c:v>16874</c:v>
                </c:pt>
                <c:pt idx="5">
                  <c:v>14675</c:v>
                </c:pt>
                <c:pt idx="6">
                  <c:v>14382</c:v>
                </c:pt>
                <c:pt idx="7">
                  <c:v>14741</c:v>
                </c:pt>
                <c:pt idx="8">
                  <c:v>15404</c:v>
                </c:pt>
                <c:pt idx="9">
                  <c:v>16175</c:v>
                </c:pt>
                <c:pt idx="10">
                  <c:v>16983</c:v>
                </c:pt>
                <c:pt idx="11">
                  <c:v>17748</c:v>
                </c:pt>
                <c:pt idx="12">
                  <c:v>18457</c:v>
                </c:pt>
                <c:pt idx="13">
                  <c:v>19011</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4574</c:v>
                </c:pt>
                <c:pt idx="1">
                  <c:v>6470</c:v>
                </c:pt>
                <c:pt idx="2">
                  <c:v>7255</c:v>
                </c:pt>
                <c:pt idx="3">
                  <c:v>6569</c:v>
                </c:pt>
                <c:pt idx="4">
                  <c:v>4546</c:v>
                </c:pt>
                <c:pt idx="5">
                  <c:v>3675</c:v>
                </c:pt>
                <c:pt idx="6">
                  <c:v>3782</c:v>
                </c:pt>
                <c:pt idx="7">
                  <c:v>4054</c:v>
                </c:pt>
                <c:pt idx="8">
                  <c:v>4467</c:v>
                </c:pt>
                <c:pt idx="9">
                  <c:v>4933</c:v>
                </c:pt>
                <c:pt idx="10">
                  <c:v>5350</c:v>
                </c:pt>
                <c:pt idx="11">
                  <c:v>5679</c:v>
                </c:pt>
                <c:pt idx="12">
                  <c:v>5906</c:v>
                </c:pt>
                <c:pt idx="13">
                  <c:v>6084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72.6</c:v>
                </c:pt>
                <c:pt idx="1">
                  <c:v>74.1</c:v>
                </c:pt>
                <c:pt idx="2">
                  <c:v>74.7</c:v>
                </c:pt>
                <c:pt idx="3">
                  <c:v>76.3</c:v>
                </c:pt>
                <c:pt idx="4">
                  <c:v>73.5</c:v>
                </c:pt>
                <c:pt idx="5">
                  <c:v>72.6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34.9</c:v>
                </c:pt>
                <c:pt idx="1">
                  <c:v>36.7</c:v>
                </c:pt>
                <c:pt idx="2">
                  <c:v>35.6</c:v>
                </c:pt>
                <c:pt idx="3">
                  <c:v>33.6</c:v>
                </c:pt>
                <c:pt idx="4">
                  <c:v>26.9</c:v>
                </c:pt>
                <c:pt idx="5">
                  <c:v>25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23.9</c:v>
                </c:pt>
                <c:pt idx="1">
                  <c:v>28.4</c:v>
                </c:pt>
                <c:pt idx="2">
                  <c:v>27.5</c:v>
                </c:pt>
                <c:pt idx="3">
                  <c:v>24.3</c:v>
                </c:pt>
                <c:pt idx="4">
                  <c:v>14.5</c:v>
                </c:pt>
                <c:pt idx="5">
                  <c:v>11.1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15.1</c:v>
                </c:pt>
                <c:pt idx="1">
                  <c:v>19</c:v>
                </c:pt>
                <c:pt idx="2">
                  <c:v>18.4</c:v>
                </c:pt>
                <c:pt idx="3">
                  <c:v>15.6</c:v>
                </c:pt>
                <c:pt idx="4">
                  <c:v>7.1</c:v>
                </c:pt>
                <c:pt idx="5">
                  <c:v>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0">
                  <c:v>-14</c:v>
                </c:pt>
                <c:pt idx="1">
                  <c:v>-18</c:v>
                </c:pt>
                <c:pt idx="2">
                  <c:v>-10</c:v>
                </c:pt>
                <c:pt idx="3">
                  <c:v>-9</c:v>
                </c:pt>
                <c:pt idx="4">
                  <c:v>-6</c:v>
                </c:pt>
                <c:pt idx="5">
                  <c:v>1</c:v>
                </c:pt>
                <c:pt idx="6">
                  <c:v>0</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Hoja1!$C$2:$C$8</c:f>
              <c:numCache>
                <c:formatCode>0.0"%"</c:formatCode>
                <c:ptCount val="7"/>
                <c:pt idx="0">
                  <c:v>-15</c:v>
                </c:pt>
                <c:pt idx="1">
                  <c:v>-16</c:v>
                </c:pt>
                <c:pt idx="2">
                  <c:v>-6</c:v>
                </c:pt>
                <c:pt idx="3">
                  <c:v>-3</c:v>
                </c:pt>
                <c:pt idx="4">
                  <c:v>0</c:v>
                </c:pt>
                <c:pt idx="5">
                  <c:v>2</c:v>
                </c:pt>
                <c:pt idx="6">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25</c:v>
                </c:pt>
                <c:pt idx="1">
                  <c:v>20</c:v>
                </c:pt>
                <c:pt idx="2">
                  <c:v>21</c:v>
                </c:pt>
                <c:pt idx="3">
                  <c:v>21</c:v>
                </c:pt>
                <c:pt idx="4">
                  <c:v>22</c:v>
                </c:pt>
                <c:pt idx="5">
                  <c:v>20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289</c:v>
                </c:pt>
                <c:pt idx="1">
                  <c:v>269</c:v>
                </c:pt>
                <c:pt idx="2">
                  <c:v>316</c:v>
                </c:pt>
                <c:pt idx="3">
                  <c:v>358</c:v>
                </c:pt>
                <c:pt idx="4">
                  <c:v>325</c:v>
                </c:pt>
                <c:pt idx="5">
                  <c:v>334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151</c:v>
                </c:pt>
                <c:pt idx="1">
                  <c:v>139</c:v>
                </c:pt>
                <c:pt idx="2">
                  <c:v>160</c:v>
                </c:pt>
                <c:pt idx="3">
                  <c:v>173</c:v>
                </c:pt>
                <c:pt idx="4">
                  <c:v>171</c:v>
                </c:pt>
                <c:pt idx="5">
                  <c:v>173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1028</c:v>
                </c:pt>
                <c:pt idx="1">
                  <c:v>2944</c:v>
                </c:pt>
                <c:pt idx="2">
                  <c:v>2085</c:v>
                </c:pt>
                <c:pt idx="3">
                  <c:v>591</c:v>
                </c:pt>
                <c:pt idx="4">
                  <c:v>-259</c:v>
                </c:pt>
                <c:pt idx="5">
                  <c:v>527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1972</c:v>
                </c:pt>
                <c:pt idx="1">
                  <c:v>3361</c:v>
                </c:pt>
                <c:pt idx="2">
                  <c:v>3747</c:v>
                </c:pt>
                <c:pt idx="3">
                  <c:v>3061</c:v>
                </c:pt>
                <c:pt idx="4">
                  <c:v>1206</c:v>
                </c:pt>
                <c:pt idx="5">
                  <c:v>532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12.3</c:v>
                </c:pt>
                <c:pt idx="1">
                  <c:v>19.8</c:v>
                </c:pt>
                <c:pt idx="2">
                  <c:v>19.8</c:v>
                </c:pt>
                <c:pt idx="3">
                  <c:v>13.2</c:v>
                </c:pt>
                <c:pt idx="4">
                  <c:v>5.6</c:v>
                </c:pt>
                <c:pt idx="5">
                  <c:v>3.2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8.7</c:v>
                </c:pt>
                <c:pt idx="1">
                  <c:v>8.7</c:v>
                </c:pt>
                <c:pt idx="2">
                  <c:v>8.7</c:v>
                </c:pt>
                <c:pt idx="3">
                  <c:v>8.7</c:v>
                </c:pt>
                <c:pt idx="4">
                  <c:v>8.7</c:v>
                </c:pt>
                <c:pt idx="5">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16.7</c:v>
                </c:pt>
                <c:pt idx="1">
                  <c:v>26.7</c:v>
                </c:pt>
                <c:pt idx="2">
                  <c:v>27.4</c:v>
                </c:pt>
                <c:pt idx="3">
                  <c:v>21</c:v>
                </c:pt>
                <c:pt idx="4">
                  <c:v>8</c:v>
                </c:pt>
                <c:pt idx="5">
                  <c:v>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1.36</c:v>
                </c:pt>
                <c:pt idx="1">
                  <c:v>0.72</c:v>
                </c:pt>
                <c:pt idx="2">
                  <c:v>1.04</c:v>
                </c:pt>
                <c:pt idx="3">
                  <c:v>2.12</c:v>
                </c:pt>
                <c:pt idx="4">
                  <c:v>3.66</c:v>
                </c:pt>
                <c:pt idx="5">
                  <c:v>3.88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jul-26 a jun-27</c:v>
                </c:pt>
                <c:pt idx="1">
                  <c:v>2028</c:v>
                </c:pt>
                <c:pt idx="2">
                  <c:v>2029</c:v>
                </c:pt>
                <c:pt idx="3">
                  <c:v>2030</c:v>
                </c:pt>
                <c:pt idx="4">
                  <c:v>2031</c:v>
                </c:pt>
                <c:pt idx="5">
                  <c:v>2032+</c:v>
                </c:pt>
              </c:strCache>
            </c:strRef>
          </c:cat>
          <c:val>
            <c:numRef>
              <c:f>Hoja1!$B$2:$B$7</c:f>
              <c:numCache>
                <c:formatCode>#,##0</c:formatCode>
                <c:ptCount val="6"/>
                <c:pt idx="0">
                  <c:v>1840</c:v>
                </c:pt>
                <c:pt idx="1">
                  <c:v>1474</c:v>
                </c:pt>
                <c:pt idx="2">
                  <c:v>840</c:v>
                </c:pt>
                <c:pt idx="3">
                  <c:v>1550</c:v>
                </c:pt>
                <c:pt idx="4">
                  <c:v>78</c:v>
                </c:pt>
                <c:pt idx="5">
                  <c:v>6021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466</c:v>
                </c:pt>
                <c:pt idx="2">
                  <c:v>1565</c:v>
                </c:pt>
                <c:pt idx="3">
                  <c:v>5093</c:v>
                </c:pt>
                <c:pt idx="4">
                  <c:v>35</c:v>
                </c:pt>
                <c:pt idx="5">
                  <c:v>478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1000</c:v>
                </c:pt>
                <c:pt idx="1">
                  <c:v>998</c:v>
                </c:pt>
                <c:pt idx="2">
                  <c:v>1483</c:v>
                </c:pt>
                <c:pt idx="3">
                  <c:v>1712</c:v>
                </c:pt>
                <c:pt idx="4">
                  <c:v>1716</c:v>
                </c:pt>
                <c:pt idx="5">
                  <c:v>736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54</c:v>
                </c:pt>
                <c:pt idx="1">
                  <c:v>538</c:v>
                </c:pt>
                <c:pt idx="2">
                  <c:v>1030</c:v>
                </c:pt>
                <c:pt idx="3">
                  <c:v>10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Dominical</c:v>
                </c:pt>
                <c:pt idx="1">
                  <c:v>Ejecutivo</c:v>
                </c:pt>
                <c:pt idx="2">
                  <c:v>Independiente</c:v>
                </c:pt>
                <c:pt idx="3">
                  <c:v>Otro externo</c:v>
                </c:pt>
              </c:strCache>
            </c:strRef>
          </c:cat>
          <c:val>
            <c:numRef>
              <c:f>Hoja1!$B$2:$B$5</c:f>
              <c:numCache>
                <c:formatCode>0</c:formatCode>
                <c:ptCount val="4"/>
                <c:pt idx="0">
                  <c:v>1</c:v>
                </c:pt>
                <c:pt idx="1">
                  <c:v>1</c:v>
                </c:pt>
                <c:pt idx="2">
                  <c:v>9</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Artémis (familia Pinault)</c:v>
                </c:pt>
                <c:pt idx="1">
                  <c:v>Autocartera</c:v>
                </c:pt>
                <c:pt idx="2">
                  <c:v>Empleados y consejeros</c:v>
                </c:pt>
              </c:strCache>
            </c:strRef>
          </c:cat>
          <c:val>
            <c:numRef>
              <c:f>Hoja1!$B$2:$B$4</c:f>
              <c:numCache>
                <c:formatCode>0.0"%"</c:formatCode>
                <c:ptCount val="3"/>
                <c:pt idx="0">
                  <c:v>42.34</c:v>
                </c:pt>
                <c:pt idx="1">
                  <c:v>0.65</c:v>
                </c:pt>
                <c:pt idx="2">
                  <c:v>0.16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32.9</c:v>
                </c:pt>
                <c:pt idx="1">
                  <c:v>84.2</c:v>
                </c:pt>
                <c:pt idx="2">
                  <c:v>12.7</c:v>
                </c:pt>
                <c:pt idx="3">
                  <c:v>42.2</c:v>
                </c:pt>
                <c:pt idx="4">
                  <c:v>1.6</c:v>
                </c:pt>
                <c:pt idx="5">
                  <c:v>18.9</c:v>
                </c:pt>
                <c:pt idx="6">
                  <c:v>-32.7</c:v>
                </c:pt>
                <c:pt idx="7">
                  <c:v>-16.1</c:v>
                </c:pt>
                <c:pt idx="8">
                  <c:v>-40.3</c:v>
                </c:pt>
                <c:pt idx="9">
                  <c:v>26.3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17.7</c:v>
                </c:pt>
                <c:pt idx="1">
                  <c:v>14.4</c:v>
                </c:pt>
                <c:pt idx="2">
                  <c:v>9.2</c:v>
                </c:pt>
                <c:pt idx="3">
                  <c:v>9.7</c:v>
                </c:pt>
                <c:pt idx="4">
                  <c:v>10.3</c:v>
                </c:pt>
                <c:pt idx="5">
                  <c:v>14.1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9.7</c:v>
                </c:pt>
                <c:pt idx="1">
                  <c:v>9.7</c:v>
                </c:pt>
                <c:pt idx="2">
                  <c:v>9.7</c:v>
                </c:pt>
                <c:pt idx="3">
                  <c:v>9.7</c:v>
                </c:pt>
                <c:pt idx="4">
                  <c:v>9.7</c:v>
                </c:pt>
                <c:pt idx="5">
                  <c:v>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Kering</c:v>
                </c:pt>
                <c:pt idx="1">
                  <c:v>LVMH</c:v>
                </c:pt>
                <c:pt idx="2">
                  <c:v>Hermès</c:v>
                </c:pt>
                <c:pt idx="3">
                  <c:v>Richemont</c:v>
                </c:pt>
                <c:pt idx="4">
                  <c:v>Moncler</c:v>
                </c:pt>
                <c:pt idx="5">
                  <c:v>Prada</c:v>
                </c:pt>
                <c:pt idx="6">
                  <c:v>Brunello Cucinelli</c:v>
                </c:pt>
              </c:strCache>
            </c:strRef>
          </c:cat>
          <c:val>
            <c:numRef>
              <c:f>Hoja1!$B$2:$B$8</c:f>
              <c:numCache>
                <c:formatCode>0.0"x"</c:formatCode>
                <c:ptCount val="7"/>
                <c:pt idx="0">
                  <c:v>8.1</c:v>
                </c:pt>
                <c:pt idx="1">
                  <c:v>8.6</c:v>
                </c:pt>
                <c:pt idx="2">
                  <c:v>15</c:v>
                </c:pt>
                <c:pt idx="3">
                  <c:v>12.2</c:v>
                </c:pt>
                <c:pt idx="4">
                  <c:v>7.2</c:v>
                </c:pt>
                <c:pt idx="5">
                  <c:v>6.5</c:v>
                </c:pt>
                <c:pt idx="6">
                  <c:v>13.3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Kering</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4.5</c:v>
                </c:pt>
              </c:numCache>
            </c:numRef>
          </c:xVal>
          <c:yVal>
            <c:numRef>
              <c:f>Hoja1!$C$2</c:f>
              <c:numCache>
                <c:formatCode>0.0"x"</c:formatCode>
                <c:ptCount val="1"/>
                <c:pt idx="0">
                  <c:v>8.1</c:v>
                </c:pt>
              </c:numCache>
            </c:numRef>
          </c:yVal>
          <c:smooth val="0"/>
        </c:ser>
        <c:ser>
          <c:idx val="1"/>
          <c:order val="1"/>
          <c:tx>
            <c:strRef>
              <c:f>Hoja1!$A$3</c:f>
              <c:strCache>
                <c:ptCount val="1"/>
                <c:pt idx="0">
                  <c:v>LVMH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1.9</c:v>
                </c:pt>
              </c:numCache>
            </c:numRef>
          </c:xVal>
          <c:yVal>
            <c:numRef>
              <c:f>Hoja1!$C$3</c:f>
              <c:numCache>
                <c:formatCode>0.0"x"</c:formatCode>
                <c:ptCount val="1"/>
                <c:pt idx="0">
                  <c:v>8.6</c:v>
                </c:pt>
              </c:numCache>
            </c:numRef>
          </c:yVal>
          <c:smooth val="0"/>
        </c:ser>
        <c:ser>
          <c:idx val="2"/>
          <c:order val="2"/>
          <c:tx>
            <c:strRef>
              <c:f>Hoja1!$A$4</c:f>
              <c:strCache>
                <c:ptCount val="1"/>
                <c:pt idx="0">
                  <c:v>Hermès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5.7</c:v>
                </c:pt>
              </c:numCache>
            </c:numRef>
          </c:xVal>
          <c:yVal>
            <c:numRef>
              <c:f>Hoja1!$C$4</c:f>
              <c:numCache>
                <c:formatCode>0.0"x"</c:formatCode>
                <c:ptCount val="1"/>
                <c:pt idx="0">
                  <c:v>15</c:v>
                </c:pt>
              </c:numCache>
            </c:numRef>
          </c:yVal>
          <c:smooth val="0"/>
        </c:ser>
        <c:ser>
          <c:idx val="3"/>
          <c:order val="3"/>
          <c:tx>
            <c:strRef>
              <c:f>Hoja1!$A$5</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10.8</c:v>
                </c:pt>
              </c:numCache>
            </c:numRef>
          </c:xVal>
          <c:yVal>
            <c:numRef>
              <c:f>Hoja1!$C$5</c:f>
              <c:numCache>
                <c:formatCode>0.0"x"</c:formatCode>
                <c:ptCount val="1"/>
                <c:pt idx="0">
                  <c:v>12.2</c:v>
                </c:pt>
              </c:numCache>
            </c:numRef>
          </c:yVal>
          <c:smooth val="0"/>
        </c:ser>
        <c:ser>
          <c:idx val="4"/>
          <c:order val="4"/>
          <c:tx>
            <c:strRef>
              <c:f>Hoja1!$A$6</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7.2</c:v>
                </c:pt>
              </c:numCache>
            </c:numRef>
          </c:yVal>
          <c:smooth val="0"/>
        </c:ser>
        <c:ser>
          <c:idx val="5"/>
          <c:order val="5"/>
          <c:tx>
            <c:strRef>
              <c:f>Hoja1!$A$7</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8.7</c:v>
                </c:pt>
              </c:numCache>
            </c:numRef>
          </c:xVal>
          <c:yVal>
            <c:numRef>
              <c:f>Hoja1!$C$7</c:f>
              <c:numCache>
                <c:formatCode>0.0"x"</c:formatCode>
                <c:ptCount val="1"/>
                <c:pt idx="0">
                  <c:v>6.5</c:v>
                </c:pt>
              </c:numCache>
            </c:numRef>
          </c:yVal>
          <c:smooth val="0"/>
        </c:ser>
        <c:ser>
          <c:idx val="6"/>
          <c:order val="6"/>
          <c:tx>
            <c:strRef>
              <c:f>Hoja1!$A$8</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10.5</c:v>
                </c:pt>
              </c:numCache>
            </c:numRef>
          </c:xVal>
          <c:yVal>
            <c:numRef>
              <c:f>Hoja1!$C$8</c:f>
              <c:numCache>
                <c:formatCode>0.0"x"</c:formatCode>
                <c:ptCount val="1"/>
                <c:pt idx="0">
                  <c:v>13.3</c:v>
                </c:pt>
              </c:numCache>
            </c:numRef>
          </c:yVal>
          <c:smooth val="0"/>
        </c:ser>
        <c:axId val="10"/>
        <c:axId val="20"/>
      </c:scatterChart>
      <c:valAx>
        <c:axId val="10"/>
        <c:scaling>
          <c:orientation val="minMax"/>
          <c:max val="1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Tiffany &amp; Co.</c:v>
                </c:pt>
                <c:pt idx="1">
                  <c:v>Belmond</c:v>
                </c:pt>
                <c:pt idx="2">
                  <c:v>Stone Island</c:v>
                </c:pt>
                <c:pt idx="3">
                  <c:v>Capri Holdings</c:v>
                </c:pt>
                <c:pt idx="4">
                  <c:v>Versace</c:v>
                </c:pt>
                <c:pt idx="5">
                  <c:v>Kering Beauté (Creed) y licencias de belleza de Gucci, Bottega Veneta y Balenciaga</c:v>
                </c:pt>
                <c:pt idx="6">
                  <c:v>Marca TOM FORD</c:v>
                </c:pt>
              </c:strCache>
            </c:strRef>
          </c:cat>
          <c:val>
            <c:numRef>
              <c:f>Hoja1!$B$2:$B$8</c:f>
              <c:numCache>
                <c:formatCode>0.0"x"</c:formatCode>
                <c:ptCount val="7"/>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1680</c:v>
                </c:pt>
                <c:pt idx="1">
                  <c:v>1537</c:v>
                </c:pt>
                <c:pt idx="2">
                  <c:v>1702</c:v>
                </c:pt>
                <c:pt idx="3">
                  <c:v>1925</c:v>
                </c:pt>
                <c:pt idx="4">
                  <c:v>2120</c:v>
                </c:pt>
                <c:pt idx="5">
                  <c:v>2359</c:v>
                </c:pt>
                <c:pt idx="6">
                  <c:v>2456</c:v>
                </c:pt>
                <c:pt idx="7">
                  <c:v>2542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10909</c:v>
                </c:pt>
                <c:pt idx="1">
                  <c:v>21280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178,12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79.9</c:v>
                </c:pt>
                <c:pt idx="1">
                  <c:v>170.23</c:v>
                </c:pt>
                <c:pt idx="2">
                  <c:v>226.55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178,12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(176,46 – 334,65)</c:v>
                </c:pt>
                <c:pt idx="1">
                  <c:v>Precio objetivo de los analistas (175,00 – 340,00)</c:v>
                </c:pt>
                <c:pt idx="2">
                  <c:v>Comparables: EV/EBITDA NTM (161,03 – 344,69)</c:v>
                </c:pt>
                <c:pt idx="3">
                  <c:v>Comparables: PER NTM (134,17 – 204,11)</c:v>
                </c:pt>
                <c:pt idx="4">
                  <c:v>DCF (WACC y g ± 0,5) (140,62 – 210,09)</c:v>
                </c:pt>
                <c:pt idx="5">
                  <c:v>Escenarios (bajista – alcista) (79,90 – 226,55)</c:v>
                </c:pt>
                <c:pt idx="6">
                  <c:v>DCF con la prima implícita del mercado (4,2 %)</c:v>
                </c:pt>
                <c:pt idx="7">
                  <c:v>Precio actual (178,12)</c:v>
                </c:pt>
              </c:strCache>
            </c:strRef>
          </c:cat>
          <c:val>
            <c:numRef>
              <c:f>Hoja1!$B$2:$B$9</c:f>
              <c:numCache>
                <c:formatCode>#,##0</c:formatCode>
                <c:ptCount val="8"/>
                <c:pt idx="0">
                  <c:v>176.46</c:v>
                </c:pt>
                <c:pt idx="1">
                  <c:v>175</c:v>
                </c:pt>
                <c:pt idx="2">
                  <c:v>161.03</c:v>
                </c:pt>
                <c:pt idx="3">
                  <c:v>134.17</c:v>
                </c:pt>
                <c:pt idx="4">
                  <c:v>140.62</c:v>
                </c:pt>
                <c:pt idx="5">
                  <c:v>79.9</c:v>
                </c:pt>
                <c:pt idx="6">
                  <c:v>207.46</c:v>
                </c:pt>
                <c:pt idx="7">
                  <c:v>177.23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(176,46 – 334,65)</c:v>
                </c:pt>
                <c:pt idx="1">
                  <c:v>Precio objetivo de los analistas (175,00 – 340,00)</c:v>
                </c:pt>
                <c:pt idx="2">
                  <c:v>Comparables: EV/EBITDA NTM (161,03 – 344,69)</c:v>
                </c:pt>
                <c:pt idx="3">
                  <c:v>Comparables: PER NTM (134,17 – 204,11)</c:v>
                </c:pt>
                <c:pt idx="4">
                  <c:v>DCF (WACC y g ± 0,5) (140,62 – 210,09)</c:v>
                </c:pt>
                <c:pt idx="5">
                  <c:v>Escenarios (bajista – alcista) (79,90 – 226,55)</c:v>
                </c:pt>
                <c:pt idx="6">
                  <c:v>DCF con la prima implícita del mercado (4,2 %)</c:v>
                </c:pt>
                <c:pt idx="7">
                  <c:v>Precio actual (178,12)</c:v>
                </c:pt>
              </c:strCache>
            </c:strRef>
          </c:cat>
          <c:val>
            <c:numRef>
              <c:f>Hoja1!$C$2:$C$9</c:f>
              <c:numCache>
                <c:formatCode>#,##0</c:formatCode>
                <c:ptCount val="8"/>
                <c:pt idx="0">
                  <c:v>158.18999999999997</c:v>
                </c:pt>
                <c:pt idx="1">
                  <c:v>165</c:v>
                </c:pt>
                <c:pt idx="2">
                  <c:v>183.66</c:v>
                </c:pt>
                <c:pt idx="3">
                  <c:v>69.94000000000003</c:v>
                </c:pt>
                <c:pt idx="4">
                  <c:v>69.47</c:v>
                </c:pt>
                <c:pt idx="5">
                  <c:v>146.65</c:v>
                </c:pt>
                <c:pt idx="6">
                  <c:v>63.16</c:v>
                </c:pt>
                <c:pt idx="7">
                  <c:v>1.7800000000000011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