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Taiwan Semiconductor (TSMC)</w:t>
      </w:r>
    </w:p>
    <w:p>
      <w:pPr>
        <w:spacing w:after="60"/>
        <w:rPr>
          <w:color w:val="52514E"/>
          <w:sz w:val="22"/>
          <w:szCs w:val="22"/>
        </w:rPr>
      </w:pPr>
      <w:r>
        <w:rPr>
          <w:color w:val="52514E"/>
          <w:sz w:val="22"/>
          <w:szCs w:val="22"/>
        </w:rPr>
        <w:t xml:space="preserve">2330.TW · Bolsa de Taiwán (TWSE); ADR en la NYSE (TSM, 1 ADR = 5 acciones) · ISIN TW0002330008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2.550,00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2.804,63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+11,0 % (base +13,4 %)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2.142,85 TWD · mercado 2.503,56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66.129.150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Taiwan Semiconductor (TSMC)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2330.TW / TW0002330008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 ADR en la NYSE (TSM, 1 ADR = 5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(fabricación por encargo)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Hsinchu (Taiwán)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www.tsmc.com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2.550,00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2.585,00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25.933,0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66.129.150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63.604.294 M TWD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2.804,63 TWD</w:t>
      </w:r>
      <w:r>
        <w:t xml:space="preserve"> frente a 2.550,00 · Rentabilidad a 12 meses </w:t>
      </w:r>
      <w:r>
        <w:rPr>
          <w:b/>
          <w:bCs/>
        </w:rPr>
        <w:t xml:space="preserve">+11,0 % (base +13,4 %)</w:t>
      </w:r>
      <w:r>
        <w:t xml:space="preserve"> · Valor intrínseco 2.142,85 TWD · con la prima implícita del mercado: 2.503,56 (-1,8 %) · Alcista / bajista -3,6 % / -54,3 %</w:t>
      </w:r>
    </w:p>
    <w:p>
      <w:pPr>
        <w:spacing w:after="100"/>
      </w:pPr>
      <w:r>
        <w:rPr>
          <w:b/>
        </w:rPr>
        <w:t xml:space="preserve">La recomendación y por qué.</w:t>
      </w:r>
      <w:r>
        <w:t xml:space="preserve"> Mantener, con convicción media. Con nuestro BPA y nuestro PER, el objetivo a 12 meses es de 2.804,63 TWD frente a 2.550 TWD de cierre del 8 de octubre (561 USD por ADR de cinco acciones al cambio de 32,3, sin la prima del ADR): +11,0 % con el dividendo, y +13,4 % en el caso base. No llega al umbral de compra (15 % ponderada) y el valor intrínseco, 2.142,85 TWD, queda un 16,0 % por debajo del precio. El objetivo medio de las cuatro casas localizadas (3.700 TWD) queda fuera de nuestro rango por arriba [30]. La asimetría a 12 meses es de 1,34x: el bajista (11,4x, el PER de 2022) pierde un 45 %. La convicción es media porque las dos reglas coinciden y las cifras salen de extractos de búsqueda; subiría con un margen bruto del 4T26 por encima del 66 % y una guía de 2027 de más del 25 %, y bajaría si las ventas mensuales crecen menos del 20 %.</w:t>
      </w:r>
    </w:p>
    <w:p>
      <w:pPr>
        <w:spacing w:after="100"/>
      </w:pPr>
      <w:r>
        <w:rPr>
          <w:b/>
        </w:rPr>
        <w:t xml:space="preserve">El negocio.</w:t>
      </w:r>
      <w:r>
        <w:t xml:space="preserve"> Es el mejor negocio de fabricación del mundo: 72,5 % de los ingresos de los diez mayores fabricantes por encargo [15], margen bruto récord del 67,7 % y operativo del 60,3 % en el 2T26 [2], y ROIC del 50,5 % frente a un WACC del 9,58 % (41 puntos de diferencia). La calidad sí sostiene el crecimiento que proyectamos (14,1 % anual medio, la mitad del histórico): con un capex del 37-40 % de las ventas en 2026-27 la reinversión lo financia y la cuota final baja ligeramente.</w:t>
      </w:r>
    </w:p>
    <w:p>
      <w:pPr>
        <w:spacing w:after="100"/>
      </w:pPr>
      <w:r>
        <w:rPr>
          <w:b/>
        </w:rPr>
        <w:t xml:space="preserve">Finanzas.</w:t>
      </w:r>
      <w:r>
        <w:t xml:space="preserve"> Ventas de 3,81 billones TWD en 2025 (+31,6 %) y +41,1 % en enero-septiembre de 2026 [1, 4]; BPA de 66,25 TWD en 2025 y 49,33 en el 1S26 [2, 3, 12]. Caja neta de ≈2,5 billones TWD [5, 6]. El flujo libre (≈1 billón en 2025) [9] es menor que el beneficio porque el capex sube a 60.000-64.000 M USD en 2026 [23].</w:t>
      </w:r>
    </w:p>
    <w:p>
      <w:pPr>
        <w:spacing w:after="100"/>
      </w:pPr>
      <w:r>
        <w:rPr>
          <w:b/>
        </w:rPr>
        <w:t xml:space="preserve">Equipo y gobierno.</w:t>
      </w:r>
      <w:r>
        <w:t xml:space="preserve"> Suma: la guía se ha superado trimestre a trimestre y no hay accionista de control; resta que C. C. Wei acumule presidencia y dirección desde 2024 [21] y la influencia de Taiwán y EE. UU. en dónde invierte [18].</w:t>
      </w:r>
    </w:p>
    <w:p>
      <w:pPr>
        <w:spacing w:after="100"/>
      </w:pPr>
      <w:r>
        <w:rPr>
          <w:b/>
        </w:rPr>
        <w:t xml:space="preserve">Valoración.</w:t>
      </w:r>
      <w:r>
        <w:t xml:space="preserve"> El DCF (1.853,18 TWD) dice que el precio descuenta un crecimiento del 16,0 % anual de 2027e a 2035e frente al 10,8 % de nuestro base, o una rentabilidad del 7,5 %, dos puntos por debajo del WACC. Con la prima implícita del mercado (4,2 %) el valor sube a 2.503,56 TWD, cerca del precio: está cara frente a su coste de capital, no frente al mercado. Los comparables (mediana de 25,5x) la valoran por encima. A 12 meses manda el beneficio: nuestro BPA de 2028e (146,90 TWD) coincide en lo esencial con el consenso; la diferencia con los analistas está en el múltiplo (19,5x frente a ≈25x).</w:t>
      </w:r>
    </w:p>
    <w:p>
      <w:pPr>
        <w:spacing w:after="100"/>
      </w:pPr>
      <w:r>
        <w:rPr>
          <w:b/>
        </w:rPr>
        <w:t xml:space="preserve">Riesgos y catalizadores.</w:t>
      </w:r>
      <w:r>
        <w:t xml:space="preserve"> El mayor riesgo es un frenazo del gasto en IA en 2027 justo cuando entra la capacidad del capex récord (escenario bajista del DCF, −37 % frente al base); el segundo, la salida de una operación que los gestores ven como la más concurrida [48], que llevaría el PER a mínimos. Aranceles de la Sección 232 y Taiwán completan la lista [18]. Catalizadores: resultados del 3T26 el 15 de octubre, guía de 2027 en enero y ventas mensuales cada día 10. Los foros son positivos sin euforia [44, 45].</w:t>
      </w:r>
    </w:p>
    <w:p>
      <w:pPr>
        <w:spacing w:after="100"/>
      </w:pPr>
      <w:r>
        <w:rPr>
          <w:b/>
        </w:rPr>
        <w:t xml:space="preserve">Qué cambiaría la decisión.</w:t>
      </w:r>
      <w:r>
        <w:t xml:space="preserve"> Compraríamos por debajo de 2.142,85 TWD; venderíamos por encima de 3.145,14 TWD. Pasaríamos a Comprar si la guía de 2027 apunta a más del 30 % de crecimiento con margen bruto por encima del 65 % (sube el BPA de 2028e por encima de 165 TWD), y a Vender si las ventas mensuales crecen menos del 15 % interanual tres meses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2.804,63 TWD</w:t>
      </w:r>
      <w:r>
        <w:t xml:space="preserve"> (rentabilidad +11,0 % (base +13,4 %)) · Valor intrínseco: 2.142,85 TWD (-16,0 % sobre 2.550,00) · con la prima implícita del mercado: 2.503,56 (-1,8 %)</w:t>
      </w:r>
    </w:p>
    <w:p>
      <w:pPr>
        <w:spacing w:after="100"/>
      </w:pPr>
      <w:r>
        <w:t xml:space="preserve">TSMC es el fabricante casi único de los chips más avanzados del mundo: 72,5 % de los ingresos de la fundición [15], el 77 % de sus ingresos por obleas en nodos de 7 nm o menos [2] y un margen operativo del 60,3 % en el 2T26. La IA ha llevado sus ventas de 2,16 a 3,81 billones TWD en dos años [4] y en 2026 crecerán algo más del 40 % en USD [23].</w:t>
      </w:r>
    </w:p>
    <w:p>
      <w:pPr>
        <w:spacing w:after="100"/>
      </w:pPr>
      <w:r>
        <w:t xml:space="preserve">El precio (2.550 TWD) descuenta un crecimiento del 16,0 % anual durante nueve años más o una rentabilidad del 7,5 %: exigente frente a nuestro WACC (9,58 %), razonable frente a lo que pide el mercado. A 19,5x nuestro BPA de 2027e cotiza por debajo de su mediana adelantada de cinco años (21x) [33] y de los diseñadores de chips (24-31x) [34].</w:t>
      </w:r>
    </w:p>
    <w:p>
      <w:pPr>
        <w:spacing w:after="100"/>
      </w:pPr>
      <w:r>
        <w:t xml:space="preserve">El mercado acierta en la calidad y puede acertar en el crecimiento, pero no deja margen: para invertir hay que creer que el gasto en IA no se frena en 2027-2028 y que el múltiplo no vuelve al de 2022 (11,4x) [32]. Vemos un 11,0 % a 12 meses: mantener, no ampliar.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2.804,63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123,70 = 1.410,18 · 19,5x × 146,90 = 2.864,55 · 25,4x × 160,60 = 4.079,24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3.699,50 (nuestro base -22,6 %)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2.142,85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 -54,3 %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9,6 %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2.503,56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(14,1 % anual proyectado; financiable al ROIC actual: 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2.142,85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2.142,85 y 3.145,14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3.145,14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2.142,85 TWD, pasaríamos a Comprar (ponderada ≥ 15 % y valor intrínseco ≥ precio).</w:t>
      </w:r>
    </w:p>
    <w:p>
      <w:pPr>
        <w:pStyle w:val="ListParagraph"/>
        <w:numPr>
          <w:ilvl w:val="0"/>
          <w:numId w:val="2"/>
        </w:numPr>
        <w:spacing w:after="60"/>
      </w:pPr>
      <w:r>
        <w:t xml:space="preserve">Si la guía de 2027 (enero) apunta a más del 30 % de crecimiento con margen bruto ≥ 65 %, revisaríamos el BPA de 2028e por encima de 165 TWD y la recomendación al alza.</w:t>
      </w:r>
    </w:p>
    <w:p>
      <w:pPr>
        <w:pStyle w:val="ListParagraph"/>
        <w:numPr>
          <w:ilvl w:val="0"/>
          <w:numId w:val="2"/>
        </w:numPr>
        <w:spacing w:after="60"/>
      </w:pPr>
      <w:r>
        <w:t xml:space="preserve">Si las ventas mensuales crecen menos del 15 % interanual tres meses seguidos, pasaríamos a Vender.</w:t>
      </w:r>
    </w:p>
    <w:p>
      <w:pPr>
        <w:pStyle w:val="ListParagraph"/>
        <w:numPr>
          <w:ilvl w:val="0"/>
          <w:numId w:val="2"/>
        </w:numPr>
        <w:spacing w:after="60"/>
      </w:pPr>
      <w:r>
        <w:t xml:space="preserve">Si el precio supera 3.145,14 TWD sin cambio de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mantiene el crecimiento de TSMC por encima del 15 % anual durante una década y que el margen se queda cerca del récord actual, con un PER de 19,5x el beneficio de 2027e y objetivos de analistas de 3.088-4.410 TWD [30].</w:t>
      </w:r>
    </w:p>
    <w:p>
      <w:pPr>
        <w:keepNext/>
        <w:spacing w:after="100"/>
      </w:pPr>
      <w:r>
        <w:rPr>
          <w:b/>
          <w:bCs/>
        </w:rPr>
        <w:t xml:space="preserve">Lo que creemos nosotros.</w:t>
      </w:r>
    </w:p>
    <w:p>
      <w:pPr>
        <w:spacing w:after="100"/>
      </w:pPr>
      <w:r>
        <w:t xml:space="preserve">Compartimos el beneficio de 2026-2027 (BPA de 106,6 y 130,6 TWD, en línea con el consenso), pero proyectamos una desaceleración más rápida a partir de 2028 y un margen que baja al 68 % con la producción en el extranjero.</w:t>
      </w:r>
    </w:p>
    <w:p>
      <w:pPr>
        <w:keepNext/>
        <w:spacing w:after="100"/>
      </w:pPr>
      <w:r>
        <w:rPr>
          <w:b/>
          <w:bCs/>
        </w:rPr>
        <w:t xml:space="preserve">Por qué podemos tener razón.</w:t>
      </w:r>
    </w:p>
    <w:p>
      <w:pPr>
        <w:spacing w:after="100"/>
      </w:pPr>
      <w:r>
        <w:t xml:space="preserve">Los ciclos de inversión de la tecnología acaban con exceso de capacidad, y TSMC está invirtiendo 60.000-98.000 M USD al año [23, 43]; con el 40 % del TAIEX y la operación más concurrida del mercado [48], el múltiplo no tiene colchón.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2.5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Cuasi monopolio en nodos punteros</w:t>
      </w:r>
      <w:r>
        <w:t xml:space="preserve">: 72,5 % de la fundición y prácticamente el único en 2-3 nm [15].</w:t>
      </w:r>
    </w:p>
    <w:p>
      <w:pPr>
        <w:pStyle w:val="ListParagraph"/>
        <w:numPr>
          <w:ilvl w:val="0"/>
          <w:numId w:val="2"/>
        </w:numPr>
        <w:spacing w:after="60"/>
      </w:pPr>
      <w:r>
        <w:rPr>
          <w:b/>
        </w:rPr>
        <w:t xml:space="preserve">Poder de precios</w:t>
      </w:r>
      <w:r>
        <w:t xml:space="preserve">: margen bruto del 59,9 % en 2025 al 67,7 % en el 2T26 [2, 12].</w:t>
      </w:r>
    </w:p>
    <w:p>
      <w:pPr>
        <w:pStyle w:val="ListParagraph"/>
        <w:numPr>
          <w:ilvl w:val="0"/>
          <w:numId w:val="2"/>
        </w:numPr>
        <w:spacing w:after="60"/>
      </w:pPr>
      <w:r>
        <w:rPr>
          <w:b/>
        </w:rPr>
        <w:t xml:space="preserve">Crecimiento visible</w:t>
      </w:r>
      <w:r>
        <w:t xml:space="preserve">: +41,1 % en enero-septiembre y 3T26 por encima del techo de la guía [1].</w:t>
      </w:r>
    </w:p>
    <w:p>
      <w:pPr>
        <w:pStyle w:val="ListParagraph"/>
        <w:numPr>
          <w:ilvl w:val="0"/>
          <w:numId w:val="2"/>
        </w:numPr>
        <w:spacing w:after="60"/>
      </w:pPr>
      <w:r>
        <w:rPr>
          <w:b/>
        </w:rPr>
        <w:t xml:space="preserve">Balance</w:t>
      </w:r>
      <w:r>
        <w:t xml:space="preserve">: caja e inversiones de 3,52 billones TWD frente a 0,99 billones de deuda [5, 6].</w:t>
      </w:r>
    </w:p>
    <w:p>
      <w:pPr>
        <w:pStyle w:val="ListParagraph"/>
        <w:numPr>
          <w:ilvl w:val="0"/>
          <w:numId w:val="2"/>
        </w:numPr>
        <w:spacing w:after="60"/>
      </w:pPr>
      <w:r>
        <w:rPr>
          <w:b/>
        </w:rPr>
        <w:t xml:space="preserve">ROIC del 50,5 %</w:t>
      </w:r>
      <w:r>
        <w:t xml:space="preserve">, 41 puntos por encima del WACC.</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2.142,85 TWD, un 16,0 % menos.</w:t>
      </w:r>
    </w:p>
    <w:p>
      <w:pPr>
        <w:pStyle w:val="ListParagraph"/>
        <w:numPr>
          <w:ilvl w:val="0"/>
          <w:numId w:val="2"/>
        </w:numPr>
        <w:spacing w:after="60"/>
      </w:pPr>
      <w:r>
        <w:rPr>
          <w:b/>
        </w:rPr>
        <w:t xml:space="preserve">El precio pide un 16,0 % de crecimiento anual hasta 2035</w:t>
      </w:r>
      <w:r>
        <w:t xml:space="preserve">, frente al 10,8 % de nuestro base.</w:t>
      </w:r>
    </w:p>
    <w:p>
      <w:pPr>
        <w:pStyle w:val="ListParagraph"/>
        <w:numPr>
          <w:ilvl w:val="0"/>
          <w:numId w:val="2"/>
        </w:numPr>
        <w:spacing w:after="60"/>
      </w:pPr>
      <w:r>
        <w:rPr>
          <w:b/>
        </w:rPr>
        <w:t xml:space="preserve">Capex récord</w:t>
      </w:r>
      <w:r>
        <w:t xml:space="preserve"> (60.000-64.000 M USD en 2026) en un pico de ciclo [23].</w:t>
      </w:r>
    </w:p>
    <w:p>
      <w:pPr>
        <w:pStyle w:val="ListParagraph"/>
        <w:numPr>
          <w:ilvl w:val="0"/>
          <w:numId w:val="2"/>
        </w:numPr>
        <w:spacing w:after="60"/>
      </w:pPr>
      <w:r>
        <w:rPr>
          <w:b/>
        </w:rPr>
        <w:t xml:space="preserve">Operación concurrida</w:t>
      </w:r>
      <w:r>
        <w:t xml:space="preserve">: bajista a 12 meses con el PER de 2022 (11,4x), −45 % [32, 48].</w:t>
      </w:r>
    </w:p>
    <w:p>
      <w:pPr>
        <w:pStyle w:val="ListParagraph"/>
        <w:numPr>
          <w:ilvl w:val="0"/>
          <w:numId w:val="2"/>
        </w:numPr>
        <w:spacing w:after="60"/>
      </w:pPr>
      <w:r>
        <w:rPr>
          <w:b/>
        </w:rPr>
        <w:t xml:space="preserve">Riesgo de Taiwán y aranceles</w:t>
      </w:r>
      <w:r>
        <w:t xml:space="preserve"> sin cobertura completa [18].</w:t>
      </w:r>
    </w:p>
    <w:p>
      <w:pPr>
        <w:pStyle w:val="Heading2"/>
      </w:pPr>
      <w:r>
        <w:t xml:space="preserve">Qué tiene que pasar para que la tesis funcione</w:t>
      </w:r>
    </w:p>
    <w:p>
      <w:pPr>
        <w:spacing w:after="100"/>
      </w:pPr>
      <w:r>
        <w:t xml:space="preserve">La tesis depende de que el gasto en IA siga creciendo en 2027 al menos un 25 %. La señal de que no se cumple sería un crecimiento de las ventas mensuales por debajo del 20 % interanual o una guía de 2027 con un margen bruto por debajo del 62 %.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las 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 (septiembre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tres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 frenazo de la IA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del extranjero y del 2 nm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60.000-64.000 M USD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90.000 M USD en 2027 sin subir la guía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exceso de capacidad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inventario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95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Acumulación de existencias [6].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 / 19,5x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TSMC nació en 1987 en Hsinchu como primera fundición pura del mundo: fabrica chips diseñados por otros y no compite con sus clientes. Esa neutralidad, más la apuesta temprana por la litografía EUV, la llevó a ganar la carrera de los nodos avanzados a Intel y Samsung en 2018-2020. Con la IA generativa, desde 2023, se convirtió en el cuello de botella de los aceleradores de Nvidia, AMD, Broadcom y los diseños propios de los hiperescaladores. C. C. Wei es consejero delegado desde 2018 y presidente desde 2024 [21, 24]. En 2025 facturó 3,81 billones TWD [4] y tiene el 72,5 % de los ingresos de los diez mayores fabricantes por encargo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primera fundición pura del mundo, con apoyo del Estado taiwanés (Fondo Nacional de Desarrollo, aún accionista y consejero)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C. Wei, consejero delegado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ciclo de semiconductores y del precio a 448,5 TWD al cierre del año, 11,4 veces el beneficio del año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C. Wei suma la presidencia, elegido por unanimidad [21,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3,81 billones TWD (+31,6 %) y BPA de 66,25 TWD (+46 %); compromiso de ≈165.000 M USD en Arizona [12,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récord del 67,7 % en el 2T26, guía de crecimiento elevada a algo más del 40 % en USD y capex de 60.000-64.000 M USD [2,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TSMC fabrica obleas de silicio con los chips que diseñan sus clientes: Apple, Nvidia, AMD, Broadcom, Qualcomm, MediaTek y los hiperescaladores con diseños propios. Vende capacidad por nodo: en el 2T26 los nodos de 7 nm o menos fueron el 77 % de los ingresos por obleas (3 nm 30 %, 5 nm 33 %, 7 nm 11 % y el nuevo 2 nm 3 %) [2]. Añade encapsulado avanzado (CoWoS), imprescindible en los aceleradores de IA. Produce sobre todo en Taiwán y amplía en Arizona, Japón y Alemania [19].</w:t>
      </w:r>
    </w:p>
    <w:p>
      <w:pPr>
        <w:pStyle w:val="Heading2"/>
      </w:pPr>
      <w:r>
        <w:t xml:space="preserve">Cómo gana dinero</w:t>
      </w:r>
    </w:p>
    <w:p>
      <w:pPr>
        <w:spacing w:after="100"/>
      </w:pPr>
      <w:r>
        <w:t xml:space="preserve">Cobra por oblea, con precios que suben en cada nodo nuevo y que en los nodos punteros fija casi sin rival: el margen bruto pasó del 59,9 % en 2025 [12] al 67,7 % en el 2T26 [2]. El coste es sobre todo amortización de equipos (688.260 M TWD en 2025, el 18 % de las ventas) [8], así que el margen depende de llenar fábricas: con la capacidad de 3 y 5 nm agotada, cada oblea adicional entra casi entera en el beneficio. Lo diluyen las fábricas en el extranjero (más caras) y el arranque de cada nodo.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Fundición (obleas y 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Fundición (obleas y 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1.587.415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2.263.891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2.894.308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r>
    </w:tbl>
    <w:p>
      <w:pPr>
        <w:spacing w:after="160" w:before="0"/>
      </w:pPr>
    </w:p>
    <w:p>
      <w:pPr>
        <w:pStyle w:val="Heading2"/>
      </w:pPr>
      <w:r>
        <w:t xml:space="preserve">Clientes, recurrencia y poder de precios</w:t>
      </w:r>
    </w:p>
    <w:p>
      <w:pPr>
        <w:spacing w:after="100"/>
      </w:pPr>
      <w:r>
        <w:t xml:space="preserve">Concentración alta: los diez primeros clientes son la mayoría de las ventas y Apple y Nvidia pesan cada uno en torno a una quinta parte (cifras exactas no verificadas en esta sesión). El poder de precios se ve en las cifras: el margen bruto subió 7,8 puntos en año y medio pese a la dilución de Arizona [2, 12]. Los contratos son de capacidad reservada con anticipos; cambiar de fabricante en un nodo puntero exige rediseñar el chip y 12-24 meses.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7 nm y nodos más avanzados en ingresos por obleas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nm 30 %, 5 nm 33 %, 7 nm 11 %, 2 nm 3 % en el 2T26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histórico, por encima de la guía de 65,5-67,5 %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3T26: 56-58 %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514.806 M TWD (agosto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511.857 M TWD (septiembre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 mensual; +54,6 %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Enero-septiembre: 3.898.730 M TWD, +41,1 %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inventario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de 385.530 M TWD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fabricación de chips por encargo (fundición), medido por TrendForce con los diez mayores fabricantes: 53.490 M USD en el 2T26 (+11,5 % trimestral) [15, 17]. Se usa esta medida y no el mercado total de semiconductores porque es donde compite TSMC; no se encontró una segunda fuente de tamaño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53.490 M USD de ingresos de los diez mayores fabricantes por encargo en el 2T26 (≈ 214.000 M USD anualizados, ≈ 6,9 billones TWD al cambio de 32,3)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2026 +54,6 % interanual; 5/4 y 3 nm completos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nodos de 2 y 3 nm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nodos ≤7 nm pasaron del 74 % al 77 % de los ingresos por obleas en un trimestre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consumo (móviles y PC)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las ventas cayeron un 4,5 % con el ajuste de inventarios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política industrial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la Sección 232 sobre chips y exigencia de producción local (Arizona)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tiene el 5,9 % y pierde cuota; Intel no tiene clientes externos relevantes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grandes (Apple, Nvidia), pero sin alternativa en nodos punteros: TSMC subió el margen bruto 7,8 puntos [2,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es el único proveedor de EUV; su PER de 27x refleja ese poder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nodo puntero exige más de 20.000 M USD por fábrica y años de aprendizaje; TSMC invertirá 60.000-64.000 M USD solo en 2026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al silicio avanzado a medio plazo; el riesgo es que la IA gaste menos, no que use otra cosa.</w:t>
            </w:r>
          </w:p>
        </w:tc>
      </w:tr>
    </w:tbl>
    <w:p>
      <w:pPr>
        <w:spacing w:after="160" w:before="0"/>
      </w:pPr>
    </w:p>
    <w:p>
      <w:pPr>
        <w:pStyle w:val="Heading2"/>
      </w:pPr>
      <w:r>
        <w:t xml:space="preserve">Ciclo</w:t>
      </w:r>
    </w:p>
    <w:p>
      <w:pPr>
        <w:spacing w:after="100"/>
      </w:pPr>
      <w:r>
        <w:t xml:space="preserve">Los indicadores son las ventas mensuales (+41,1 % en enero-septiembre) [1] y los días de inventario (87, al alza) [6]. El sector cayó con fuerza en 2008-09 y en 2022-23 (TSMC: −4,5 % de ventas en 2023 y PER de 11,4x al cierre de 2022) [4, 32]; en 2020 creció. Estamos en el tercer año de expansión de la IA y los gestores ya hablan de la operación más concurrida [20].</w:t>
      </w:r>
    </w:p>
    <w:p>
      <w:pPr>
        <w:pStyle w:val="Heading2"/>
      </w:pPr>
      <w:r>
        <w:t xml:space="preserve">Regulación</w:t>
      </w:r>
    </w:p>
    <w:p>
      <w:pPr>
        <w:spacing w:after="100"/>
      </w:pPr>
      <w:r>
        <w:t xml:space="preserve">Controles de exportación de EE. UU. a China (que limitan a SMIC a nodos sin EUV), investigación de la Sección 232 sobre aranceles a chips importados y créditos fiscales de la ley CHIPS por producir en EE. UU. TSMC pidió exención para quien fabrique en el país y avisó de que los aranceles podían retrasar Arizona [18]. En Taiwán, controles sobre la exportación de la tecnología más avanzada.</w:t>
      </w:r>
    </w:p>
    <w:p>
      <w:pPr>
        <w:pStyle w:val="Heading2"/>
      </w:pPr>
      <w:r>
        <w:t xml:space="preserve">Tendencias y disrupción</w:t>
      </w:r>
    </w:p>
    <w:p>
      <w:pPr>
        <w:spacing w:after="100"/>
      </w:pPr>
      <w:r>
        <w:t xml:space="preserve">Los aceleradores de IA concentran la demanda en los nodos de 3 y 2 nm y en el encapsulado avanzado, donde TSMC no tiene competencia real; SMIC crece (+20 % trimestral) en nodos maduros con apoyo chino [16], que es donde TSMC pesa menos. Los hiperescaladores diseñan chips propios, pero los fabrican en TSMC. La empresa gana con estas tendencias; pierde margen con la producción en el extranjero.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fabricación de chips por encargo (72,5 % de los ingresos de los diez mayores en el 2T26), y prácticamente único proveedor de nodos de 3 y 2 nm para aceleradores de IA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Foundry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005930.KS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del mundo con 3.260 M USD en el 2T26 (+1,8 % trimestral); pierde cuota frente a TSMC y SMIC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0981.HK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M USD en el 2T26 (+20 % trimestral), apoyado en la sustitución de importaciones en China; sin acceso a litografía EUV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2303.TW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2.180 M USD en el 2T26; nodos maduros (28 nm y superiores)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GlobalFoundries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GFS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1.790 M USD en el 2T26; especialidad y nodos maduros, sin hoja de ruta por debajo de 12 nm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 Foundry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Intenta competir en nodos avanzados (18A/14A) con pérdidas operativas; sin cifras comparables en este análisis.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de diseño (bibliotecas y socios de EDA) que se enriquece con cada cliente; no es un efecto de red clásico.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Llevar un chip de 3 nm a otro fabricante exige rediseño y 12-24 meses; cuota del 72,5 % y al alza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hacer de proceso y rendimientos en 3 y 2 nm que Samsung e Intel no igualan.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60,3 % en el 2T26 [A2] frente a pérdidas en la fundición de Intel y Samsung.</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60.000-64.000 M USD en 2026 [C3]: ningún rival puede invertir lo mismo con rentabilidad.</w:t>
            </w:r>
          </w:p>
        </w:tc>
      </w:tr>
    </w:tbl>
    <w:p>
      <w:pPr>
        <w:spacing w:after="160" w:before="0"/>
      </w:pPr>
    </w:p>
    <w:p>
      <w:pPr>
        <w:pStyle w:val="Heading2"/>
      </w:pPr>
      <w:r>
        <w:t xml:space="preserve">Amenazas</w:t>
      </w:r>
    </w:p>
    <w:p>
      <w:pPr>
        <w:spacing w:after="100"/>
      </w:pPr>
      <w:r>
        <w:t xml:space="preserve">Tres: que Intel 18A/14A o Samsung 2 nm alcancen rendimientos comparables y un gran cliente diversifique por razones geopolíticas (probabilidad baja-media en cinco años); que EE. UU. imponga aranceles o condiciones que obliguen a producir más fuera de Taiwán con márgenes menores (media) [18]; y una crisis en el estrecho de Taiwán (baja, impacto extremo).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2.263.891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921.430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2.624.188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24,5 %</w:t>
      </w:r>
      <w:r>
        <w:t xml:space="preserve">, EBITDA </w:t>
      </w:r>
      <w:r>
        <w:rPr>
          <w:b/>
          <w:bCs/>
        </w:rPr>
        <w:t xml:space="preserve">25,1 %</w:t>
      </w:r>
      <w:r>
        <w:t xml:space="preserve">, BPA </w:t>
      </w:r>
      <w:r>
        <w:rPr>
          <w:b/>
          <w:bCs/>
        </w:rPr>
        <w:t xml:space="preserve">30,3 %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crecieron de 1,59 a 3,81 billones TWD entre 2021 y 2025 (TCAC del 24 %), con un único tropiezo en 2023 (−4,5 %) por el ajuste de inventarios de consumo [4]. El crecimiento es orgánico: no hay compras. El margen EBITDA se mantuvo entre el 67 % y el 69 % [8], pero el operativo pasó del 42,6 % de 2023 al 50,8 % de 2025 y al 58-60 % en el 1S26 [2, 3, 7] por precio (nodos de 3 nm) y apalancamiento operativo, pese a la dilución de las fábricas en el extranjero. El beneficio neto atribuido pasó de 596.540 a 1.717.883 M TWD [7] y el BPA de 23,01 a 66,25 TWD [12]. En los últimos doce meses a junio de 2026, BPA de 86,27 TWD (estimación propia con los trimestres publicados) [2, 3].</w:t>
      </w:r>
    </w:p>
    <w:p>
      <w:pPr>
        <w:pStyle w:val="Heading2"/>
      </w:pPr>
      <w:r>
        <w:t xml:space="preserve">Ajustes y partidas no recurrentes</w:t>
      </w:r>
    </w:p>
    <w:p>
      <w:pPr>
        <w:spacing w:after="100"/>
      </w:pPr>
      <w:r>
        <w:t xml:space="preserve">Se usan cifras reportadas. El EBITDA es el de StockAnalysis (EBIT más amortizaciones) [8], y la amortización se obtiene por diferencia con el beneficio operativo de Stockopedia [7]; cuadra con el orden de magnitud de la memoria. El LTM de EBIT y EBITDA es estimación propia: 2025 más el 1S26 menos el 1S25, con el margen operativo publicado de cada trimestre de 2026 y uno estimado del 49 % para el 1S25. Minoritarios tratados como cero (inmateriales). No hay partidas no recurrentes relevantes.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julio (2T26) la dirección elevó la guía de crecimiento de 2026 en USD de «más del 30 %» a «algo más del 40 %» y el capex de 52.000-56.000 a 60.000-64.000 M USD [23, 51]. El margen bruto (67,7 %) superó la guía de 65,5-67,5 % y la guía del 3T26 (ventas de 44.600-45.800 M USD, margen bruto 65-67 %) incorpora dilución del 2 nm y de las fábricas en el extranjero [2]. El director financiero anticipó que el capex de los próximos tres años será «significativamente mayor» que el de los tres anteriores [23]. Frente a abril (1T26), el discurso pasó de la cautela por aranceles a la escasez de capacidad [3, 52]. Las preguntas repetidas fueron la sostenibilidad del gasto en IA, el margen de largo plazo con Arizona y el precio de 2027; la dirección no dio cifras de margen de 2027. Las ventas del 3T26 (≈1,49 billones TWD) superaron el techo de la guía [1, 50], y el consenso de LSEG espera un beneficio de 740.800 M TWD (+64 %)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0"/>
        <w:gridCol w:w="1064"/>
        <w:gridCol w:w="1171"/>
        <w:gridCol w:w="958"/>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6.691.938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7.933.024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5.460.795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caja e inversiones líquidas subieron de 2.634.430 M TWD en el 2T25 a 3.518.010 M en el 2T26 [6], el 37,5 % del activo, pese a un capex de 846.760 M en el semestre. Clientes (440.920 M) y existencias (385.530 M) crecen con las ventas; los días de inventario subieron de 80 a 87 [6]. La caja neta (≈2,5 billones TWD) equivale a ≈4 % de la capitalización: el balance no es una palanca de valor, sino un colchón.</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2023-2025: FCF </w:t>
      </w:r>
      <w:r>
        <w:rPr>
          <w:b/>
          <w:bCs/>
        </w:rPr>
        <w:t xml:space="preserve">2.162.322</w:t>
      </w:r>
      <w:r>
        <w:t xml:space="preserve">, conversión </w:t>
      </w:r>
      <w:r>
        <w:rPr>
          <w:b/>
          <w:bCs/>
        </w:rPr>
        <w:t xml:space="preserve">58 %</w:t>
      </w:r>
      <w:r>
        <w:t xml:space="preserve"> del beneficio neto; adquisiciones 0, dividendos 466.800, recompras 0.</w:t>
      </w:r>
    </w:p>
    <w:p>
      <w:pPr>
        <w:spacing w:after="100"/>
      </w:pPr>
      <w:r>
        <w:t xml:space="preserve">El flujo operativo fue de 1,24 billones TWD en 2023, 1,83 billones en 2024 y ≈2,3 billones en 2025 [9, 11], con un capex de 0,95, 0,96 y ≈1,3 billones (40.900 M USD en 2025) [9, 10]: flujo libre de ≈1 billón en 2025, +15,2 % [9]. En el 1S26, flujo operativo de 1,48 billones y capex de 0,85 billones [6]. La empresa no separa capex de mantenimiento; estimación propia: la amortización (≈18 % de las ventas) aproxima el mantenimiento, de modo que dos tercios del capex de 2026 (37 % de las ventas) son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Deloitte Taiwán, opinión sin salvedades. No se pudieron leer las notas, así que la revisión es limitada. El Altman Z (17,33) y el Piotroski F (7) del motor son altos pero se apoyan en un balance incompleto; el Beneish M no se calcula. Lo que sí se ve: el beneficio se convierte en caja (flujo operativo de ≈2,3 billones frente a 1,72 billones de beneficio neto en 2025 [7, 9]), no se capitaliza I+D relevante y la remuneración en acciones es pequeña. El tipo impositivo efectivo (15,9 % en 2025) es bajo por incentivos de Taiwán y subirá con el impuesto mínimo global.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 al alza (de 76 a 87 en un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Coherente con el arranque del 2 nm y la escasez de capacidad; vigilar si sigue subiendo con ventas planas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Revisión limitada por falta de acceso a las notas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notas de provisiones, vinculadas ni compromisos; ver huecos.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3.226.975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32,4 % · </w:t>
      </w:r>
      <w:r>
        <w:rPr>
          <w:b/>
          <w:bCs/>
        </w:rPr>
        <w:t xml:space="preserve">WACC</w:t>
      </w:r>
      <w:r>
        <w:t xml:space="preserve">: 9,6 %.</w:t>
      </w:r>
    </w:p>
    <w:p>
      <w:pPr>
        <w:spacing w:after="100"/>
      </w:pPr>
      <w:r>
        <w:t xml:space="preserve">Crea valor con holgura: ROIC del 50,5 % en 2025 frente a un WACC del 9,58 %, y ROIC incremental histórico del 32,4 %. El motor no puede calcular los años anteriores por falta de balance, pero el margen operativo (42,6 % en 2023, 50,8 % en 2025 [7]) y la rotación de un activo que crece con el capex apuntan a un ROIC de más del 25 % en todo el periodo. Lo mueve el margen, no la rotación: cada nodo nuevo sube el precio por oblea. Supera con mucho a sus competidores en fundición (Samsung e Intel pierden dinero; UMC y GlobalFoundries tienen márgenes de un dígito alto o de dos dígitos bajos).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-2.524.856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líquidas de 3.518.010 M TWD a 30-jun-2026 (37,5 % del activo), frente a 3.383.600 M en marzo [6]. Bonos a largo plazo de 856.228 M y porción corriente de bonos y préstamos de 136.926 M a 31-dic-2025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No se pudieron leer las notas de provisiones, garantías ni litigios. TSMC recibe anticipos de clientes para reservar capacidad (no cuantificados aquí) y tiene compromisos de compra de equipos muy altos ligados al capex. Sin pensiones relevantes. La deuda (bonos en TWD y USD, 993.154 M TWD a diciembre de 2025 [5]) es pequeña frente a la caja.</w:t>
      </w:r>
    </w:p>
    <w:p>
      <w:pPr>
        <w:pStyle w:val="Heading1"/>
      </w:pPr>
      <w:r>
        <w:t xml:space="preserve">12. Asignación de capital</w:t>
      </w:r>
    </w:p>
    <w:p>
      <w:pPr>
        <w:pStyle w:val="Confianza"/>
        <w:spacing w:after="100"/>
      </w:pPr>
      <w:r>
        <w:t xml:space="preserve">Confianza: Media</w:t>
      </w:r>
    </w:p>
    <w:p>
      <w:pPr>
        <w:spacing w:after="100"/>
      </w:pPr>
      <w:r>
        <w:t xml:space="preserve">Dividendo trimestral creciente y sostenible: 7,0 TWD por acción en el 1T26 y en el 2T26, frente a 18 TWD pagados en todo 2025 [12, 13]; desde 2026 se puede cobrar en USD [13]. Prioridad declarada de la caja: capex para crecer (60.000-64.000 M USD en 2026) [23]. No hay recompras relevantes ni compras de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Buena asignadora de capital: crece con fábricas propias, sin compras ni dilución (acciones estables en ≈25.930 M) [7], y el ROIC del último ejercicio es del 50,5 %, con un ROIC incremental histórico del 32,4 %. El riesgo es el contrario: invertir 60.000-98.000 M USD al año (previsión de Goldman para 2028) [43] en un pico de demanda.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C. Wei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junio de 2018 y presidente desde junio de 2024, elegido por unanimidad [21, 22]. En su mandato las ventas pasaron de 1,59 a 3,81 billones TWD (2021-2025).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Wendell Huang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dirige la comunicación con inversores y la guía trimestral, que en 2026 se ha superado cada trimestre.</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USD: crecimiento de ≈30 % (enero), elevado a «algo más del 40 %» (julio); 2T26: 39.000-40.200 M USD y margen bruto 65,5-67,5 %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40.200 M USD y margen bruto del 67,7 %; 9M26 +41,1 % en TWD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38.000-42.000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40.900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C. C. Wei lleva ocho años al frente y la guía se ha cumplido o superado en 2025 y 2026 (margen bruto del 2T26 por encima del techo, ventas del 3T26 por encima del techo) [1, 2]. La concentración del cargo de presidente y consejero delegado en una persona desde 2024 resta contrapeso [21]; no se conoce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C. 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C. Tseng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Ming-Hsin Kung (Fondo Nacional de Desarrollo)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L. Bonfield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R. Splinter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Moshe N. Gavrielov</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Rafael Reif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M.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L. Elsenhans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Chuan 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Nacional de Desarrollo (Yuan Ejecutivo de Taiwán)</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Taiwán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≈6 % según informes anteriores (sin confirmar en esta sesión)</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Titulares de ADR (Citibank como depositario)</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en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anual ni el 20-F, así que no hay cifras de remuneración ni de voto. TSMC reparte un bonus a empleados ligado al beneficio, que es un coste significativo dentro de los gastos; el consejo tiene comisión de remuneración formada por independientes [22].</w:t>
      </w:r>
    </w:p>
    <w:p>
      <w:pPr>
        <w:pStyle w:val="Heading2"/>
      </w:pPr>
      <w:r>
        <w:t xml:space="preserve">Operaciones vinculadas, estructura de control y defensas</w:t>
      </w:r>
    </w:p>
    <w:p>
      <w:pPr>
        <w:spacing w:after="100"/>
      </w:pPr>
      <w:r>
        <w:t xml:space="preserve">Sin accionista de control: el Fondo Nacional de Desarrollo del Estado taiwanés es el mayor accionista individual y tiene un consejero dominical [22]; una acción, un voto. Siete de diez consejeros son independientes, la mayoría extranjeros con experiencia en el sector (Splinter, Gavrielov, Reif) [21]. El riesgo de gobierno no es el minoritario, sino la influencia de los gobiernos de Taiwán y EE. UU. en decisiones de inversión.</w:t>
      </w:r>
    </w:p>
    <w:p>
      <w:pPr>
        <w:pStyle w:val="Heading2"/>
      </w:pPr>
      <w:r>
        <w:t xml:space="preserve">Señales de alerta</w:t>
      </w:r>
    </w:p>
    <w:p>
      <w:pPr>
        <w:pStyle w:val="ListParagraph"/>
        <w:numPr>
          <w:ilvl w:val="0"/>
          <w:numId w:val="2"/>
        </w:numPr>
        <w:spacing w:after="60"/>
      </w:pPr>
      <w:r>
        <w:t xml:space="preserve">Presidente y consejero delegado en la misma persona desde junio de 2024 [21].</w:t>
      </w:r>
    </w:p>
    <w:p>
      <w:pPr>
        <w:pStyle w:val="ListParagraph"/>
        <w:numPr>
          <w:ilvl w:val="0"/>
          <w:numId w:val="2"/>
        </w:numPr>
        <w:spacing w:after="60"/>
      </w:pPr>
      <w:r>
        <w:t xml:space="preserve">Influencia política de Taiwán y EE. UU. sobre dónde y cuánto invierte (Arizona)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(julio): crecimiento de las ventas en USD de algo más del 40 % y capex de 60.000-64.000 M USD [23]; 3T26: ventas de 44.600-45.800 M USD, margen bruto del 65-67 % y operativo del 56-58 % [2]. Las ventas de enero-septiembre crecieron un 41,1 % en TWD [1]. Resultados del 3T26 y guía del 4T26 el 15-oct-2026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5.420.747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Stockopedia (ventas); BPA: consenso del ADR de 16,34 USD convertido a 32,3 TWD/USD y 5 acciones por ADR (MarketBeat) [27,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7.283.637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(ventas); BPA: estimación de Erste Group para el ADR (21,25 USD) convertida [27,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5.446.947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5.420.747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4.003.506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7.283.637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5.089.627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3.699,50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3.088,00 – 4.410,00</w:t>
            </w:r>
          </w:p>
        </w:tc>
      </w:tr>
    </w:tbl>
    <w:p>
      <w:pPr>
        <w:spacing w:after="160" w:before="0"/>
      </w:pPr>
    </w:p>
    <w:p>
      <w:pPr>
        <w:pStyle w:val="Heading2"/>
      </w:pPr>
      <w:r>
        <w:t xml:space="preserve">Revisiones de estimaciones</w:t>
      </w:r>
    </w:p>
    <w:p>
      <w:pPr>
        <w:spacing w:after="100"/>
      </w:pPr>
      <w:r>
        <w:t xml:space="preserve">Al alza en los últimos tres meses: Goldman Sachs subió el objetivo de 3.100 a 3.300 TWD el 6-oct [43], Citi de 3.800 a 4.000 y Macquarie lo situó en 4.410 [30]; Erste elevó su BPA de 2026 de 15,82 a 16,69 USD por ADR [28]. Solo hay estimaciones completas de ventas (Stockopedia) y el BPA de un consenso en USD [27, 28]: el contraste es débil.</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r>
    </w:tbl>
    <w:p>
      <w:pPr>
        <w:spacing w:after="160" w:before="0"/>
      </w:pPr>
    </w:p>
    <w:p>
      <w:pPr>
        <w:spacing w:after="160" w:before="0"/>
      </w:pPr>
    </w:p>
    <w:p>
      <w:pPr>
        <w:spacing w:after="100"/>
      </w:pPr>
      <w:r>
        <w:t xml:space="preserve">La acción subió un 64,5 % en 2026 hasta el 8-oct (de 1.550 a 2.550 TWD) [29, 31], con máximo de cierre en 2.585 TWD [29], al ritmo del beneficio (+77 % en el 2T26) [2]: el PER apenas se ha movido. No se pudieron calcular beta, volatilidad ni caída máxima (sin datos diarios).</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verificados: 448,5 TWD en 2022 (11,4 veces el BPA del año, en plena caída del ciclo) [32] y 1.550 TWD en 2025 (23,4 veces) [31]. Zacks sitúa la mediana de cinco años del PER adelantado en ≈21x [33]. Hoy cotiza a 19,5 veces nuestro BPA de 2027e: por debajo de su mediana adelantada, porque el beneficio crece más deprisa que el precio.</w:t>
      </w:r>
    </w:p>
    <w:p>
      <w:pPr>
        <w:pStyle w:val="Heading1"/>
      </w:pPr>
      <w:r>
        <w:t xml:space="preserve">18. Comparables cotizados</w:t>
      </w:r>
    </w:p>
    <w:p>
      <w:pPr>
        <w:pStyle w:val="Confianza"/>
        <w:spacing w:after="100"/>
      </w:pPr>
      <w:r>
        <w:t xml:space="preserve">Confianza: Baja</w:t>
      </w:r>
    </w:p>
    <w:p>
      <w:pPr>
        <w:spacing w:after="100"/>
      </w:pPr>
      <w:r>
        <w:t xml:space="preserve">Empresas de semiconductores de gran capitalización ligadas a la IA (Nvidia, Broadcom, AMD, ASML) y fundiciones de nodos maduros (GlobalFoundries, UMC). No hay ninguna fundición puntera cotizada pura: Samsung e Intel mezclan memoria, móviles y CPU y sus PER no miden lo mismo; SMIC cotiza con prima china. Solo hay PER adelantado de cada una, de fechas distintas (julio-septiembre de 2026) [34, 35, 36, 37,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66.129.150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GlobalFoundries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 / 25,5x / 30,0x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3.917,54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spacing w:after="100"/>
      </w:pPr>
      <w:r>
        <w:t xml:space="preserve">La mediana del PER adelantado es de 25,5x (12,7x-79x): TSMC, a 19,5x nuestro BPA de 2027e, cotiza con descuento frente a sus clientes de diseño (Nvidia ≈24x, Broadcom ≈31x) [34] y a ASML (27x) [35], y con prima frente a las fundiciones maduras (GlobalFoundries 17,7x, UMC 12,7x) [37, 38]. El descuento frente al grupo de IA se explica por la intensidad de capital (capex del 37 % de las ventas frente a casi nada en Nvidia) y el riesgo de Taiwán; la prima sobre UMC y GlobalFoundries, por el crecimiento (+43 % frente a cifras de un dígito) y el margen. Usaríamos 20-25x.</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(+43 %) está casi cerrado: enero-septiembre +41,1 % y guía de algo más del 40 % en USD [1, 23]. Para 2027e suponemos +28 %, por debajo de Goldman (+36,9 % en USD) [43] y de las ventas del consenso de Stockopedia (+34 %) [27], porque el gasto de los hiperescaladores no puede crecer indefinidamente al ritmo de 2026. Después, +18 %, +13 % y +10 %, y convergencia al 3,5 % en 2035e: una TCAC de 2025 a 2035e del ≈13 %, frente al 24 % de 2021-2025 [4].</w:t>
      </w:r>
    </w:p>
    <w:p>
      <w:pPr>
        <w:keepNext/>
        <w:spacing w:after="100"/>
      </w:pPr>
      <w:r>
        <w:rPr>
          <w:b/>
          <w:bCs/>
        </w:rPr>
        <w:t xml:space="preserve">Márgenes.</w:t>
      </w:r>
    </w:p>
    <w:p>
      <w:pPr>
        <w:spacing w:after="100"/>
      </w:pPr>
      <w:r>
        <w:t xml:space="preserve">Margen EBITDA del 73,5 % en 2026e, coherente con el margen operativo del 58-60 % del 1S26 más una amortización del 15 % [2, 3]; baja de forma gradual al 68 % en 2035e, el rango de 2021-2025 (67-69 %) [8], por la dilución de Arizona, Japón y Alemania y por la competencia en precios cuando se normalice la escasez.</w:t>
      </w:r>
    </w:p>
    <w:p>
      <w:pPr>
        <w:keepNext/>
        <w:spacing w:after="100"/>
      </w:pPr>
      <w:r>
        <w:rPr>
          <w:b/>
          <w:bCs/>
        </w:rPr>
        <w:t xml:space="preserve">Inversión y circulante.</w:t>
      </w:r>
    </w:p>
    <w:p>
      <w:pPr>
        <w:spacing w:after="100"/>
      </w:pPr>
      <w:r>
        <w:t xml:space="preserve">Capex del 37 % de las ventas en 2026e (60.000-64.000 M USD a ≈32 TWD) [23], del 40 % en 2027e (Goldman prevé 85.000 M USD) [43] y bajando al 22,5 % en 2035e, por encima de la amortización (20,5 %). La media histórica fue del 34-53 %: subimos el capex respecto a la primera versión para que la prueba de sostenibilidad pase. Circulante del 8 % de las ventas.</w:t>
      </w:r>
    </w:p>
    <w:p>
      <w:pPr>
        <w:keepNext/>
        <w:spacing w:after="100"/>
      </w:pPr>
      <w:r>
        <w:rPr>
          <w:b/>
          <w:bCs/>
        </w:rPr>
        <w:t xml:space="preserve">Coste del capital.</w:t>
      </w:r>
    </w:p>
    <w:p>
      <w:pPr>
        <w:spacing w:after="100"/>
      </w:pPr>
      <w:r>
        <w:t xml:space="preserve">Tasa libre del bono taiwanés a 10 años (1,88 %) [39], porque los flujos están en TWD; beta de 1,15 (estimación propia: no se pudo calcular; TSMC pesa más del 40 % del TAIEX y su ADR es más volátil que el S&amp;P 500); prima de mercado del 5,5 %; prima adicional de 1,5 puntos por el riesgo geopolítico del estrecho de Taiwán, donde está casi toda la capacidad. Deuda del 1,5 % del valor a un coste del 2 %. WACC del 9,58 %.</w:t>
      </w:r>
    </w:p>
    <w:p>
      <w:pPr>
        <w:keepNext/>
        <w:spacing w:after="100"/>
      </w:pPr>
      <w:r>
        <w:rPr>
          <w:b/>
          <w:bCs/>
        </w:rPr>
        <w:t xml:space="preserve">Valor terminal.</w:t>
      </w:r>
    </w:p>
    <w:p>
      <w:pPr>
        <w:spacing w:after="100"/>
      </w:pPr>
      <w:r>
        <w:t xml:space="preserve">Gordon con un 1,5 %: la inflación de Taiwán ronda el 2 % y el bono a 10 años el 1,88 % [39]; la regla del prompt (tasa libre menos medio punto) daría un 1,4 %, y usamos un 1,5 % porque la demanda de semiconductores crece por encima del PIB. El valor terminal pesa un 59 %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9.296.588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1.895.286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7.158.373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2.086.861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11.044.347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11.817.451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974.349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12.467.411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2.286.011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13.028.444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8.859.342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13.484.440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9.169.419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5.010.072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2.255.330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62.902.258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128.371.866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18.464.845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27.068.808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45.533.654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48.058.510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2.195,61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11.933.562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(ROIC 50,5 %)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 (histórico: 32,4 %)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70,6 % (hoy: 72,5 %)</w:t>
            </w:r>
          </w:p>
        </w:tc>
      </w:tr>
    </w:tbl>
    <w:p>
      <w:pPr>
        <w:spacing w:after="160" w:before="0"/>
      </w:pPr>
    </w:p>
    <w:p>
      <w:pPr>
        <w:spacing w:after="100"/>
      </w:pPr>
      <w:r>
        <w:t xml:space="preserve">La proyección reinvierte el 28 % del NOPAT. Con el ROIC del último ejercicio (50,5 %), eso financia un crecimiento del 14,1 % anual, frente al 14,1 % de ingresos proyectado. Supone que el capital nuevo rinde un 30,9 %, frente a un ROIC incremental histórico del 32,4 %; la cuota de mercado pasaría al 70,6 % desde el 72,5 %.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obleas de 3 y 5 nm completas y arranque del 2 nm; precio: subidas en nodos avanzados y CoWoS; otros: mezcla y divisa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nueva capacidad de 2 nm y Arizona; precio +8 %, subidas anunciadas por la prensa para 2027 (sin confirmar)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ampliación del capex de 2026-2027; precio más moderado.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crecimiento del gasto en 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del mercado de fundición.</w:t>
            </w:r>
          </w:p>
        </w:tc>
      </w:tr>
    </w:tbl>
    <w:p>
      <w:pPr>
        <w:spacing w:after="160" w:before="0"/>
      </w:pPr>
    </w:p>
    <w:p>
      <w:pPr>
        <w:spacing w:after="100"/>
      </w:pPr>
      <w:r>
        <w:t xml:space="preserve">Sí: el foso (72,5 % del mercado de fundición y prácticamente el único fabricante de 2-3 nm) [15] y el poder de precios demostrado (margen bruto de 59,9 % a 67,7 % en año y medio) [2, 12] sostienen el crecimiento proyectado, que es la mitad del histórico. Con el capex que proyectamos (37-40 % de las ventas en 2026-27), la reinversión financia al ROIC actual el 14,1 % de crecimiento medio proyectado, el capital nuevo rinde menos que el ROIC incremental histórico y la cuota final baja ligeramente. La primera versión, con menos capex, no pasaba: se subió el capex, no se bajó el crecimiento, porque TSMC siempre ha invertido el 34-53 % de sus ventas.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84,2 % (base: 68,0 %)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9,6 %)</w:t>
            </w:r>
          </w:p>
        </w:tc>
      </w:tr>
    </w:tbl>
    <w:p>
      <w:pPr>
        <w:spacing w:after="160" w:before="0"/>
      </w:pPr>
    </w:p>
    <w:p>
      <w:pPr>
        <w:spacing w:after="100"/>
      </w:pPr>
      <w:r>
        <w:t xml:space="preserve">El DCF da 1.853,18 TWD por acción, un 27,3 % por debajo del precio, con un WACC del 9,58 % y un valor terminal que pesa el 59 %. El DCF inverso dice que el precio de 2.550 TWD descuenta un crecimiento del 16,0 % anual de 2027e a 2035e frente al 10,8 % de nuestro caso base, o una rentabilidad implícita del 7,5 %, dos puntos por debajo de nuestro WACC. Es exigente pero no absurdo: TSMC creció un 24 % anual en 2021-2025 [4]. El mercado cree que la IA mantiene el crecimiento por encima del 15 % durante una década o acepta una rentabilidad menor por la calidad del negocio. Con la prima del mercado (4,2 %) la distancia se reduce. La valoración es muy sensible a la tasa: la tasa libre en TWD (1,88 %) es baja, pero la prima por Taiwán la compensa.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IA se estanca en 2027 como el de las telecomunicaciones en 2001: el crecimiento se queda 6 puntos por debajo del base cada año y el margen baja 4 puntos por capacidad ociosa y fábricas caras en el extranjero, como en 2023 (ventas −4,5 %)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sigue creciendo, pero a menos ritmo: +28 % en 2027 y convergencia gradual; margen EBITDA del 73 % al 68 % con la dilución del extranjero.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hiperescaladores mantienen el ritmo de 2026 y TSMC sube precios en 2 nm: 4 puntos más de crecimiento y 1,5 de margen, en línea con Goldman Sachs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Valor por acción por escenario (TWD) · precio actual 2.5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bCs/>
        </w:rPr>
        <w:t xml:space="preserve">Valor ponderado por probabilidad:</w:t>
      </w:r>
      <w:r>
        <w:t xml:space="preserve"> 1.833,01 TWD (-28,1 %).</w:t>
      </w:r>
    </w:p>
    <w:p>
      <w:pPr>
        <w:spacing w:after="100"/>
      </w:pPr>
      <w:r>
        <w:t xml:space="preserve">La asimetría del DCF es mala: el alcista queda por debajo del precio y el bajista pierde más de la mitad, porque el precio ya descuenta un crecimiento superior al de nuestro alcista en los primeros años. Con el método a 12 meses (BPA por PER) la asimetría mejora, porque el PER de hoy (19,5x) es el de un mercado que ya cree en el crecimiento. No compensa comprar a este precio por valor intrínseco.</w:t>
      </w:r>
    </w:p>
    <w:p>
      <w:pPr>
        <w:pStyle w:val="Heading1"/>
      </w:pPr>
      <w:r>
        <w:t xml:space="preserve">22. Suma de partes</w:t>
      </w:r>
    </w:p>
    <w:p>
      <w:pPr>
        <w:pStyle w:val="Confianza"/>
        <w:spacing w:after="100"/>
      </w:pPr>
      <w:r>
        <w:t xml:space="preserve">Confianza: Alta</w:t>
      </w:r>
    </w:p>
    <w:p>
      <w:pPr>
        <w:spacing w:after="100"/>
      </w:pPr>
      <w:r>
        <w:t xml:space="preserve">TSMC reporta un único segmento (fabricación por encargo) y todas sus plataformas comparten fábricas, tecnología y clientes: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8" name="Gráfico 18" descr="Valor por acción según cada método (TWD) · precio actual 2.5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2.142,85 TWD (-16,0 % sobre 2.550,00).</w:t>
      </w:r>
    </w:p>
    <w:p>
      <w:pPr>
        <w:spacing w:after="100"/>
      </w:pPr>
      <w:r>
        <w:t xml:space="preserve">Pesamos el DCF al 50 %, los escenarios al 30 % y los comparables al 20 %. El DCF es el método más fiable para un negocio con capex tan alto, porque los múltiplos de Nvidia o Broadcom no cobran ese capex; los comparables suben el valor porque el sector cotiza a 25,5x. Transacciones no aplican: no hay compras de fundiciones punteras. La dispersión es grande: de 1.853 TWD (DCF) a más de 3.300 (comparables): el precio de hoy está entre los dos y se parece más a lo que pagan por el sector que a lo que dan sus flujos con nuestra tasa.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4.079,24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spacing w:after="100"/>
      </w:pPr>
      <w:r>
        <w:rPr>
          <w:b/>
          <w:bCs/>
        </w:rPr>
        <w:t xml:space="preserve">Objetivo a 12 meses (ponderado):</w:t>
      </w:r>
      <w:r>
        <w:t xml:space="preserve"> 2.804,63 TWD · rentabilidad +11,0 % (base +13,4 %) · señal Mantener.</w:t>
      </w:r>
    </w:p>
    <w:p>
      <w:pPr>
        <w:keepNext/>
        <w:spacing w:after="100"/>
      </w:pPr>
      <w:r>
        <w:rPr>
          <w:b/>
          <w:bCs/>
        </w:rPr>
        <w:t xml:space="preserve">Frente al consenso (solo contraste).</w:t>
      </w:r>
    </w:p>
    <w:p>
      <w:pPr>
        <w:spacing w:after="100"/>
      </w:pPr>
      <w:r>
        <w:t xml:space="preserve">Nuestro BPA de 2027e (130,6 TWD) queda un 5 % por debajo del de Erste convertido (137,3) [28] y el de 2026e (106,6) coincide con el consenso (105,6) [28]: la diferencia no está en el beneficio. Está en el múltiplo: nuestro base (19,5x el BPA de 2028e) frente a ≈25x implícito en el objetivo medio de 3.700 TWD de cuatro casas (Morgan Stanley 3.088, Goldman 3.300, Citi 4.000, Macquarie 4.410) [30], que además son las más alcistas y se publicaron justo antes de los resultados. No acercamos la cifra.</w:t>
      </w:r>
    </w:p>
    <w:p>
      <w:pPr>
        <w:keepNext/>
        <w:spacing w:after="100"/>
      </w:pPr>
      <w:r>
        <w:rPr>
          <w:b/>
          <w:bCs/>
        </w:rPr>
        <w:t xml:space="preserve">Del valor intrínseco al objetivo a 12 meses.</w:t>
      </w:r>
    </w:p>
    <w:p>
      <w:pPr>
        <w:spacing w:after="100"/>
      </w:pPr>
      <w:r>
        <w:t xml:space="preserve">El objetivo a 12 meses queda muy por encima del valor intrínseco (DCF de 1.853 TWD): la distancia es de más del 25 %. Para cerrarla, el mercado tendría que dejar de descontar un crecimiento del 16 % anual durante una década o aceptar menos rentabilidad; no hay un catalizador con fecha que lo fuerce. A un año manda el beneficio: si el BPA de 2028e se acerca a 147 TWD y el PER se mantiene, la acción sube; si el ciclo gira, el múltiplo cae hacia el de 2022.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 y de capex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ya conocidas (≈1,49 billones TWD) [1]; importa el margen y la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 (crecimiento, capex,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 un capex de más de 80.000 M USD sería señal de demanda pero presiona el flujo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dividendo de 7,0 TWD (pago el 7-ene-2027)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creciente; primera vez cobrable en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 (día 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 desaceleración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aranceles de la Sección 232 a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encarecer la producción en Taiwán o forzar más inversión en Arizona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Rampa del 2 nm (3 % de las obleas en el 2T26)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precio por oblea; diluye el margen al principio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IA de los hiperescaladores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(escenario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clientes y nodos; móviles y PC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con crecimiento interanual por debajo del 20 %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PER por salida de una operación concurrida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si vuelve al mínimo de 5 años (11,4x)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Encuestas de gestores y flujos de fondos [48]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o bloqueo en el estrecho de Taiwán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Arizona, Japón y Alemania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Maniobras militares y sanciones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chips importados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Arizona y exenciones a quien invierte en EE. UU.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Departamento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del margen por las fábricas del extranjero y el 2 nm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62 %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tras un capex récord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reservada con anticipos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inventario por encima de 95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 competidor (Intel 14A, Samsung 2 nm) gana un gran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Ventaja de rendimientos y ecosistema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un pedido de Apple o Nvidia en otra fundición [16]</w:t>
            </w:r>
          </w:p>
        </w:tc>
      </w:tr>
    </w:tbl>
    <w:p>
      <w:pPr>
        <w:spacing w:after="160" w:before="0"/>
      </w:pPr>
    </w:p>
    <w:p>
      <w:pPr>
        <w:pStyle w:val="Heading2"/>
      </w:pPr>
      <w:r>
        <w:t xml:space="preserve">Pre-mortem</w:t>
      </w:r>
    </w:p>
    <w:p>
      <w:pPr>
        <w:spacing w:after="100"/>
      </w:pPr>
      <w:r>
        <w:t xml:space="preserve">Es octubre de 2029 y TSMC ha perdido un 40 %. La historia más probable: en 2027 los hiperescaladores, presionados por sus accionistas, recortaron el crecimiento del gasto en centros de datos tras dos años sin rentabilizar la IA; los pedidos de 3 y 2 nm se frenaron justo cuando entraba en servicio la capacidad del capex récord de 2026-2027 (más de 60.000 M USD al año) [23, 43]. Las ventas crecieron un 8 % en 2028 en vez del 18 %, el margen bruto volvió al 55 % con fábricas a medio llenar y la amortización disparada, y el BPA se quedó plano. El mercado, que tenía los semiconductores como la operación más concurrida [48], vendió en bloque: el PER bajó de 20x a 12x, como en 2022 [32]. El indicador que lo habría anticipado: las ventas mensuales con un crecimiento interanual por debajo del 20 % durante tres meses y los días de inventario por encima de 95.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agua y la energía: una fábrica de nodo puntero consume tanta electricidad como una ciudad mediana y Taiwán depende de importaciones de gas y de un sistema eléctrico tenso; las sequías de 2021 obligaron a comprar agua con camiones. La seguridad de los empleados y la retención de ingenieros, sobre todo en Arizona, afectan a los plazos. No se encontraron cifras verificadas de emisiones en esta sesión.</w:t>
      </w:r>
    </w:p>
    <w:p>
      <w:pPr>
        <w:pStyle w:val="Heading2"/>
      </w:pPr>
      <w:r>
        <w:t xml:space="preserve">Controversias</w:t>
      </w:r>
    </w:p>
    <w:p>
      <w:pPr>
        <w:spacing w:after="100"/>
      </w:pPr>
      <w:r>
        <w:t xml:space="preserve">Sin sanciones relevantes localizadas en los últimos tres años. La investigación de EE. UU. sobre chips de TSMC que acabaron en Huawei (2024) y la presión arancelaria de la Sección 232 [18] son los asuntos abiertos más citados.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diluyen en 2027 el 2 nm y las fábricas del extranjero el margen bruto y cuánto compensan las subidas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2 puntos de margen EBITDA mueven ≈8 %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 2027 superará los 80.000 M USD y qué parte es capacidad comprometida con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prueba de sostenibilidad sigue pasando y el riesgo de exceso de capacidad.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Nvidia y Apple en las ventas de 2026 y con qué plazo están reservadas las capacidades?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en IA es el mayor riesgo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exención negocia TSMC en la Sección 232 y qué coste tendría producir más en Arizona?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con fecha incierta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creciente (7 TWD por trimestre) si el capex sube a 85.000-98.000 M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por dividendo es solo del 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tipo efectivo deja el impuesto mínimo global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Proyectamos el 17 %; cada punto mueve ≈1 % el BPA.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de «compra fuerte» apoyada en el crecimiento y el dividendo creciente; reconoce múltiplos de ventas y de valor contable altos, pero PER adelantado que se comprime con el beneficio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Today (prensa taiwanesa con debate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pregunta que domina es si se puede «perseguir» la acción a 2.550 TWD; los objetivos de las casas extranjeras (3.000-4.400 TWD) alimentan el optimismo, pero se teme la guía de capex y de margen de 2027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FourWeekMBA (comentario y debate)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demanda (real, visible en las ventas de TSMC) de la valoración de las empresas de IA, que puede no estar justificada: el riesgo es de segundo orden para TSMC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TechRadar Pro (lectores y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inversores siguen aumentando su exposición a la IA en Taiwán pese a los temores de burbuja; el PER del mercado taiwanés (≈21x) se ve más barato que el Nasdaq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24/7 Wall St. (encuesta de gestores de BofA)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gestores consideran «largo en semiconductores» la operación más concurrida de la historia: riesgo de salida masiva si cambia el relato de la IA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de la IA y sostenibilidad del gasto de los hiperescaladores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septiembre (+54,6 %) y la guía de crecimiento «algo por encima del 40 %» no muestran desaceleración; el riesgo está en 2027-2028, no en el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subir un 64,5 % en 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2.550 TWD cotiza a ≈24x el BPA de consenso de 2026 y ≈18-19x el de 2027: caro frente a su historia de fondo de ciclo (11x en 2022), no frente a Nvidia o Broadcom.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creciente (60.000-64.000 M USD en 2026) y margen de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sube, pero el margen bruto (67,7 %) está en récord: el riesgo es la dilución de las fábricas de Arizona y Japón y la amortización del 2 nm.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Taiwán, aranceles y geopolítica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riesgo que el precio siempre ha descontado (prima adicional en nuestro WACC); la inversión de 165.000 M USD en Arizona es la cobertura.</w:t>
            </w:r>
          </w:p>
        </w:tc>
      </w:tr>
    </w:tbl>
    <w:p>
      <w:pPr>
        <w:spacing w:after="160" w:before="0"/>
      </w:pPr>
    </w:p>
    <w:p>
      <w:pPr>
        <w:spacing w:after="100"/>
      </w:pPr>
      <w:r>
        <w:t xml:space="preserve">El sentimiento es positivo y mejora, sin euforia: los particulares y los autores discuten si se puede comprar a 2.550 TWD, no si el negocio va bien [44, 45]. Coincide con los analistas, que suben objetivos antes de los resultados, y con los gestores, que ven los semiconductores como la operación más concurrida [48]. Eso último es el aviso útil: si el relato de la IA se rompe, la salida sería masiva y el PER podría volver a mínimos (11,4x en 2022) aunque el beneficio aguante. Ningún foro aporta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52 (11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30,9 % frente a un ROIC de 50,5 % y un incremental histórico de 32,4 %: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70,6 % en 2035e frente al 72,5 %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0,0 % real: genera una variación de circulante de 435.756 M en el primer año. Converge de forma gradual. Explicación: No hay balance de 2025 con clientes, existencias y proveedores, así que el motor ve un circulante real de 0 %. El 8 % supuesto es prudente: solo clientes y existencias sumaban 826.450 M TWD en junio de 2026 (≈19 % de las ventas de doce meses)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1.466.009 M de flujo libre medio en sus tres primeros años, frente a 720.774 M de media real en los tres últimos: justifica el salto (circulante, inversión, márgenes) o ajusta los supuestos. Explicación: El salto viene de las ventas (+43 % en 2026 y +28 % en 2027) con márgenes EBITDA del 72-73 %, ya vistos en el 1S26 (margen operativo del 58-60 %) [2, 3]; el flujo libre de 2025 ya fue de ≈1 billón TWD [9, 10] y el capex proyectado (37-40 % de las ventas) está por encima del de 2025 (34 %).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-22,6 %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25,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2021-2025 (circulante, caja, deuda,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los estados consolidados 4T25 de TSMC (solo activo y pasivo totales y bonos); 2) TipRanks y TickerLeague (activo total 2024); 3) informes de gestión trimestrales (solo 2T26 y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2021-2022 y dividendos pagados 2023-2024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estado de flujos del 20-F; 2) StockAnalysis y TipRanks (solo 2023-2025, redondeado); 3) transcripción del 4T25 (2025: flujo operativo 2,3 billones y capex 1,3 billones)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2021-2023 y gastos_financieros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dividendos; 2) prensa;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trimestral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trimestrales (sin EBITDA); 2) presentaciones (sin amortización trimestral en el extracto); 3) LSEG/Reuters (solo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tamaño del mercado y TCAC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TrendForce trimestral (solo 2T26); 2) búsqueda de previsiones de mercado de fundición;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TrendForce (solo ingresos trimestrales en USD); 2) búsqueda de cuentas de UMC y GlobalFoundries;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abre); 2) MSCI/Sustainalytics (no aparecen en búsqueda);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consejero delegado, votos de la junta y participación del Fondo Nacional de Desarrollo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abre desde la nube); 2) 20-F Item 6 (sec.gov no accesible); 3) búsqueda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MOPS de Taiwán (no accesible); 2) Form 144 en EDGAR (no accesible);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Focus Taiwan y CNA del 13 y 14-oct; 2) Google Finance y TWSE; 3) prensa en chino; el último cierre localizado es el del 8-oct (2.550 TWD)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y rentabilidades a 1-10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beta de 2330.TW;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de 2021,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TWSE histórico; 2) prensa del último día de cada año; 3) búsqueda de series de cierre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 y márgenes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GuruFocus (solo PER adelantado); 2) TIKR y Webull; 3) búsqueda de tablas de valoración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compras comparables de fundiciones de nodo avanzado; 2) búsqueda de fusiones del sector (Tower-Intel fallida);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EBITDA y BPA 2028e en TWD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Stockopedia (solo ventas 2026-27); 3) MarketBeat/Erste en USD por ADR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PTT (foro taiwanés)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r/stocks sobre TSM en septiembre-octubre; 2) búsqueda en chino del foro de bolsa de PTT; 3) búsqueda de Stocktwits; ninguno devolvió hilos con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September 2026 Revenue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https://pr.tsmc.com/english/news/3343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Reports Second Quarter EPS of NT$27.25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https://www.sec.gov/Archives/edgar/data/0001046179/000104617926000451/a2q26e_withguidancexfinal.htm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First Quarter EPS of NT$22.08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https://www.sec.gov/Archives/edgar/data/1046179/000104617926000199/a1q26e_withguidancexfinal.htm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TPE:2330 income statement (ingresos, beneficio bruto, BAI)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https://stockanalysis.com/quote/tpe/2330/financials/income-statement/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2025Q4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https://investor.tsmc.com/sites/ir/financial-report/2025/TSMC%202025Q4%20Consolidated%20Financial%20Statements_E_0.pdf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2Q26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https://investor.tsmc.com/english/encrypt/files/encrypt_file/qr/phase4_reports/2026-07/bf09036349a253e83f78155099133806cad0320b/2Q26%20ManagementReport.pdf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2330 Income Statement (beneficio operativo y neto)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https://www.stockopedia.com/share-prices/taiwan-semiconductor-manufacturing-co-TPE:2330/income-statement/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income statement (EBITDA en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https://stockanalysis.com/stocks/tsm/financials/income-statement/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Q4 2025 Earnings Call Full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https://www.itiger.com/news/1163623376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free cash flow (serie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https://tickerleague.com/companies/TSM/financials/free-cash-flow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cash flow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https://www.tipranks.com/stocks/gb:0lcv/financials/cash-flow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Q4 2025: full-year EPS NT$66.25, gross margin 59.9 %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https://vectorshift.ai/research/companies/taiwan-semiconductor-manufacturing-co/earnings/2025-q4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Board of Directors Meeting Resolutions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https://pr.tsmc.com/english/news/3332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total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https://www.tipranks.com/stocks/tsm/financials/balance-sheet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Foundry Revenue Hits Record $53.49 Billion as TSMC Takes 72.5%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TelecomLead (TrendForce)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https://telecomlead.com/semiconductor/global-foundry-revenue-hits-record-53-49-billion-as-tsmc-takes-72-5-share-and-smic-surges-20-127667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SMIC narrows gap with Samsung as global foundry revenue hits record $53.49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https://evertiq.com/design/2026-09-10-smic-narrows-gap-with-samsung-as-global-foundry-revenue-hits-record-5349-billion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 2Q26 top 10 foundries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https://www.trendforce.com/presscenter/news/20260909-13225.html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warns tariffs could hurt Arizona semiconductor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 Family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https://www.azfamily.com/2025/05/23/tsmc-warns-tariffs-could-hurt-arizona-expansion-semiconductor-production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TSMC's $165 billion US bet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StoryChief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https://scd.storychief.io/amp/tsmcs-165-billion-us-bet-can-the-chip-giant-avoid-a-meltdown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Says Long Semiconductors is the Most Crowded Trade Ever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https://247wallst.com/investing/2026/07/15/bank-of-america-says-long-semiconductors-is-the-most-crowded-trade-ever/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Unanimously Appoints Dr. C.C. Wei as CEO &amp; Chairman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Stewardship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https://boardstewardship.com/tsmc-unanimously-appoints-dr-c-c-wei-as-ceo-chairman/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Executives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https://www.tsmc.com/english/aboutTSMC/executives.htm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TSMC's Q2 2026 Earnings Call: Full-Year Capex Raised to $60-64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https://www.itiger.com/news/1103082639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votes for chief executive CC Wei to also become chairman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https://www.enca.com/business/tsmc-votes-chief-executive-cc-wei-also-become-chairman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Semiconductor Manufacturing Co (2330:TPE), cotización y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https://www.google.com/finance/labs/quote/2330:TPE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台積電法說會倒數前,五大外資紛喊新目標價</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https://technews.tw/?p=1538549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2330 — Taiwan Semiconductor Manufacturing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https://www.stockopedia.com/share-prices/taiwan-semiconductor-manufacturing-TPE:2330/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Bank has positive outlook of TSM FY2026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https://www.marketbeat.com/instant-alerts/erste-group-bank-has-positive-outlook-of-tsm-fy2026-earnings-2026-07-30/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Q3 revenue tops its own guidance; shares close at NT$2,550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Mitrade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https://www.mitrade.com/insights/news/live-news/article-3-2147864-20261008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 10/8 收盤 2,550 元;外資目標價(大摩 3,088、高盛 3,300、花旗 4,000、麥格理 4,410)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https://www.businesstoday.com.tw/article/category/183022/post/202610080023/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shares close 2025 with TSMC at record NT$1,550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OCAC News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https://ocacnews.net/article/416637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Semiconductor stock forecast (cierre de 2022 a 448,50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https://capital.com/taiwan-semiconductor-tsm-price-forecast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at $426: Bubble Territory or a Buy for the Next AI Supercycle? (PER adelantado ≈25x, mediana de cinco años ≈21x)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https://www.nasdaq.com/articles/tsm-426-bubble-territory-or-buy-next-ai-supercycle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vs. Nvidia: Are Investors Still Overpaying for AI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https://www.tikr.com/blog/broadcom-vs-nvidia-are-investors-still-overpaying-for-ai-growth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Forward PE Ratio: 27.05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https://www.gurufocus.com/term/forward-pe-ratio/ASML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Micro Devices vs. ASML (PER adelantado de AMD 79x)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https://www.webull.com/news/15715289088017408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GFS Forward PE Ratio: 17.67 (6-sep-2026)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https://www.gurufocus.com/term/forward-pe-ratio/GFS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UMC summary (PER adelantado 12,74)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https://gurufocus.com/stock/UMC/summary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 Bond Yield Hits 3-year High (≈1,88 %)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https://tradingeconomics.com/taiwan/government-bond-yield/news/569237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 closes higher on Taipei forex market (32,278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Taiwan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https://focustaiwan.tw/business/202608110011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share price (ADR, cierre del 8-oct-2026: 472,20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https://www.investsmart.com.au/security/nyse/tsm/taiwan-semiconductor-manufacturing-company-ltd/share-price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target price raised (Goldman Sachs a 3.300 TWD,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https://www.tipranks.com/news/ratings/tsmcs-strong-future-prospects-chengs-buy-rating-backed-by-2nm-technology-and-strategic-expansion-ratings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Resolving The Valuation Conundrum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https://seekingalpha.com/article/4951614-tsmc-resolving-the-valuation-conundrum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台積電法說會前:2,550 元能追嗎?</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https://www.businesstoday.com.tw/article/category/183008/post/202610080023/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TSMC's July Revenue Surge and the Demand-Valuation Distinction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FourWeekMBA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https://fourweekmba.com/ai-tsmc-july-revenue-ai-demand-valuation/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Investors still doubling down on AI in Taiwan despite 'bubble' fears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TechRadar 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https://www.techradar.com/pro/investors-still-doubling-down-on-ai-in-taiwan-despite-bubble-fears?rand=141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Says Long Semiconductors is the Most Crowded Trade Ever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https://247wallst.com/investing/2026/07/15/bank-of-america-says-long-semiconductors-is-the-most-crowded-trade-ever/?.tsrc=rss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August 2026 Revenue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https://pr.tsmc.com/system/files/newspdf/attachment/0ec5f546c67a79960d6dd1f70bf6f47d714a3151/August%202026%20%28E%29_final_wmn.pdf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Quarterly Results (calendario: resultados del 3T26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https://investor.tsmc.com/quarterly-results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2Q26 Earnings Conference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https://investor.tsmc.com/english/encrypt/files/encrypt_file/reports/2026-07/547d1696765e05ce3adb81c108ce1c8c1682b80c/TSMC%202Q26%20Transcript.pdf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1Q26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https://investor.tsmc.com/japanese/encrypt/files/encrypt_file/reports/2026-04/0f42cbb4f82454aa52bb7515556897bd22ce13d9/1Q26%20Presentation%20%28E%29.pdf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77,5 %</w:t>
      </w:r>
      <w:r>
        <w:t xml:space="preserve"> · Secciones con menos del 60 % de campos cubiertos: </w:t>
      </w:r>
      <w:r>
        <w:rPr>
          <w:b/>
          <w:bCs/>
        </w:rPr>
        <w:t xml:space="preserve">capital, gobierno, transacciones, balance, bolsa</w:t>
      </w:r>
      <w:r>
        <w:t xml:space="preserve"> · Generado el 14 oct 2026.</w:t>
      </w:r>
    </w:p>
    <w:p>
      <w:pPr>
        <w:pStyle w:val="Nota"/>
        <w:spacing w:after="100"/>
      </w:pPr>
      <w:r>
        <w:t xml:space="preserve">Análisis hecho desde la nube con la red limitada a la búsqueda web: la web de inversores de TSMC, la TWSE, sec.gov y los proveedores de datos no se pudieron abrir, así que las cifras salen de los extractos de búsqueda de los comunicados de resultados (6-K), los informes de gestión trimestrales, StockAnalysis, Stockopedia y la prensa financiera, cruzadas cuando fue posible; la confianza es menor que en un análisis normal y lo que no cuadró está en null y en los huecos. Línea elegida: la acción local 2330 de la Bolsa de Taiwán, en TWD; el ADR TSM de la NYSE equivale a 5 acciones y cotizaba a 472,20 USD el 8-oct-2026 [42], con una prima de ≈20 % sobre la local al cambio de 32,3 TWD/USD [40]. El precio es el cierre del 8-oct-2026 (2.550 TWD) [29, 30], el último localizado; no se encontró el del 13-oct. Balance histórico incompleto (solo activo, pasivo y deuda de 2024-2025) y flujos solo de 2023-2025 (redondeados en la transcripción del 4T25): el circulante y el ROIC histórico del motor no son fiables. Puente con la caja de junio de 2026 y la deuda de diciembre de 2025; sin arrendamientos ni minoritarios (inmateriales frente a la capitalización, pero no verificados). El BPA del consenso está en USD por ADR y se ha convertido.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Taiwan Semiconductor (TSMC) (2330.TW)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2.550,00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Hoja1!$B$2:$B$7</c:f>
              <c:numCache>
                <c:formatCode>#,##0</c:formatCode>
                <c:ptCount val="6"/>
                <c:pt idx="0">
                  <c:v>3088</c:v>
                </c:pt>
                <c:pt idx="1">
                  <c:v>2513.04</c:v>
                </c:pt>
                <c:pt idx="2">
                  <c:v>1679.73</c:v>
                </c:pt>
                <c:pt idx="3">
                  <c:v>1166.54</c:v>
                </c:pt>
                <c:pt idx="4">
                  <c:v>2130.19</c:v>
                </c:pt>
                <c:pt idx="5">
                  <c:v>2537.25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Hoja1!$C$2:$C$7</c:f>
              <c:numCache>
                <c:formatCode>#,##0</c:formatCode>
                <c:ptCount val="6"/>
                <c:pt idx="0">
                  <c:v>1322</c:v>
                </c:pt>
                <c:pt idx="1">
                  <c:v>1404.5</c:v>
                </c:pt>
                <c:pt idx="2">
                  <c:v>394.71000000000004</c:v>
                </c:pt>
                <c:pt idx="3">
                  <c:v>1292.6</c:v>
                </c:pt>
                <c:pt idx="4">
                  <c:v>380.02</c:v>
                </c:pt>
                <c:pt idx="5">
                  <c:v>25.5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Fundición (obleas y servicios)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1587415</c:v>
                </c:pt>
                <c:pt idx="1">
                  <c:v>2263891</c:v>
                </c:pt>
                <c:pt idx="2">
                  <c:v>2161736</c:v>
                </c:pt>
                <c:pt idx="3">
                  <c:v>2894308</c:v>
                </c:pt>
                <c:pt idx="4">
                  <c:v>3809054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Fundición (obleas y servicios)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TSMC</c:v>
                </c:pt>
                <c:pt idx="1">
                  <c:v>Samsung Foundry</c:v>
                </c:pt>
                <c:pt idx="2">
                  <c:v>SMIC</c:v>
                </c:pt>
                <c:pt idx="3">
                  <c:v>UMC</c:v>
                </c:pt>
                <c:pt idx="4">
                  <c:v>GlobalFoundries</c:v>
                </c:pt>
                <c:pt idx="5">
                  <c:v>Intel Foundry</c:v>
                </c:pt>
              </c:strCache>
            </c:strRef>
          </c:cat>
          <c:val>
            <c:numRef>
              <c:f>Hoja1!$B$2:$B$7</c:f>
              <c:numCache>
                <c:formatCode>0.0"%"</c:formatCode>
                <c:ptCount val="6"/>
                <c:pt idx="0">
                  <c:v>50.8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1587415</c:v>
                </c:pt>
                <c:pt idx="1">
                  <c:v>2263891</c:v>
                </c:pt>
                <c:pt idx="2">
                  <c:v>2161736</c:v>
                </c:pt>
                <c:pt idx="3">
                  <c:v>2894308</c:v>
                </c:pt>
                <c:pt idx="4">
                  <c:v>3809054</c:v>
                </c:pt>
                <c:pt idx="5">
                  <c:v>5446947</c:v>
                </c:pt>
                <c:pt idx="6">
                  <c:v>6972092</c:v>
                </c:pt>
                <c:pt idx="7">
                  <c:v>8227069</c:v>
                </c:pt>
                <c:pt idx="8">
                  <c:v>9296588</c:v>
                </c:pt>
                <c:pt idx="9">
                  <c:v>10226247</c:v>
                </c:pt>
                <c:pt idx="10">
                  <c:v>11044347</c:v>
                </c:pt>
                <c:pt idx="11">
                  <c:v>11817451</c:v>
                </c:pt>
                <c:pt idx="12">
                  <c:v>12467411</c:v>
                </c:pt>
                <c:pt idx="13">
                  <c:v>13028444</c:v>
                </c:pt>
                <c:pt idx="14">
                  <c:v>13484440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1072376</c:v>
                </c:pt>
                <c:pt idx="1">
                  <c:v>1558533</c:v>
                </c:pt>
                <c:pt idx="2">
                  <c:v>1453657</c:v>
                </c:pt>
                <c:pt idx="3">
                  <c:v>1984850</c:v>
                </c:pt>
                <c:pt idx="4">
                  <c:v>2624188</c:v>
                </c:pt>
                <c:pt idx="5">
                  <c:v>4003506</c:v>
                </c:pt>
                <c:pt idx="6">
                  <c:v>5089627</c:v>
                </c:pt>
                <c:pt idx="7">
                  <c:v>5923490</c:v>
                </c:pt>
                <c:pt idx="8">
                  <c:v>6600578</c:v>
                </c:pt>
                <c:pt idx="9">
                  <c:v>7158373</c:v>
                </c:pt>
                <c:pt idx="10">
                  <c:v>7675821</c:v>
                </c:pt>
                <c:pt idx="11">
                  <c:v>8154041</c:v>
                </c:pt>
                <c:pt idx="12">
                  <c:v>8540176</c:v>
                </c:pt>
                <c:pt idx="13">
                  <c:v>8859342</c:v>
                </c:pt>
                <c:pt idx="14">
                  <c:v>9169419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51.6</c:v>
                </c:pt>
                <c:pt idx="1">
                  <c:v>59.6</c:v>
                </c:pt>
                <c:pt idx="2">
                  <c:v>54.4</c:v>
                </c:pt>
                <c:pt idx="3">
                  <c:v>56.1</c:v>
                </c:pt>
                <c:pt idx="4">
                  <c:v>59.9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67.6</c:v>
                </c:pt>
                <c:pt idx="1">
                  <c:v>68.8</c:v>
                </c:pt>
                <c:pt idx="2">
                  <c:v>67.2</c:v>
                </c:pt>
                <c:pt idx="3">
                  <c:v>68.6</c:v>
                </c:pt>
                <c:pt idx="4">
                  <c:v>68.9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40.9</c:v>
                </c:pt>
                <c:pt idx="1">
                  <c:v>49.5</c:v>
                </c:pt>
                <c:pt idx="2">
                  <c:v>42.6</c:v>
                </c:pt>
                <c:pt idx="3">
                  <c:v>45.7</c:v>
                </c:pt>
                <c:pt idx="4">
                  <c:v>50.8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37.6</c:v>
                </c:pt>
                <c:pt idx="1">
                  <c:v>44.9</c:v>
                </c:pt>
                <c:pt idx="2">
                  <c:v>38.8</c:v>
                </c:pt>
                <c:pt idx="3">
                  <c:v>40.5</c:v>
                </c:pt>
                <c:pt idx="4">
                  <c:v>45.1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20.5</c:v>
                </c:pt>
                <c:pt idx="4">
                  <c:v>35.1</c:v>
                </c:pt>
                <c:pt idx="5">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292151</c:v>
                </c:pt>
                <c:pt idx="1">
                  <c:v>870171</c:v>
                </c:pt>
                <c:pt idx="2">
                  <c:v>1000000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838498</c:v>
                </c:pt>
                <c:pt idx="1">
                  <c:v>1173268</c:v>
                </c:pt>
                <c:pt idx="2">
                  <c:v>1717883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50.5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62.9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2">
                  <c:v>466800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1042546</c:v>
                </c:pt>
                <c:pt idx="1">
                  <c:v>1503183</c:v>
                </c:pt>
                <c:pt idx="2">
                  <c:v>1852297</c:v>
                </c:pt>
                <c:pt idx="3">
                  <c:v>2431490</c:v>
                </c:pt>
                <c:pt idx="4">
                  <c:v>2933678</c:v>
                </c:pt>
                <c:pt idx="5">
                  <c:v>3367687</c:v>
                </c:pt>
                <c:pt idx="6">
                  <c:v>3808958</c:v>
                </c:pt>
                <c:pt idx="7">
                  <c:v>4229312</c:v>
                </c:pt>
                <c:pt idx="8">
                  <c:v>4635586</c:v>
                </c:pt>
                <c:pt idx="9">
                  <c:v>5010072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18464845</c:v>
                </c:pt>
                <c:pt idx="1">
                  <c:v>27068808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2.550,00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1166.54</c:v>
                </c:pt>
                <c:pt idx="1">
                  <c:v>1853.18</c:v>
                </c:pt>
                <c:pt idx="2">
                  <c:v>2459.14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2.550,00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Hoja1!$B$2:$B$7</c:f>
              <c:numCache>
                <c:formatCode>#,##0</c:formatCode>
                <c:ptCount val="6"/>
                <c:pt idx="0">
                  <c:v>3088</c:v>
                </c:pt>
                <c:pt idx="1">
                  <c:v>2513.04</c:v>
                </c:pt>
                <c:pt idx="2">
                  <c:v>1679.73</c:v>
                </c:pt>
                <c:pt idx="3">
                  <c:v>1166.54</c:v>
                </c:pt>
                <c:pt idx="4">
                  <c:v>2130.19</c:v>
                </c:pt>
                <c:pt idx="5">
                  <c:v>2537.25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Hoja1!$C$2:$C$7</c:f>
              <c:numCache>
                <c:formatCode>#,##0</c:formatCode>
                <c:ptCount val="6"/>
                <c:pt idx="0">
                  <c:v>1322</c:v>
                </c:pt>
                <c:pt idx="1">
                  <c:v>1404.5</c:v>
                </c:pt>
                <c:pt idx="2">
                  <c:v>394.71000000000004</c:v>
                </c:pt>
                <c:pt idx="3">
                  <c:v>1292.6</c:v>
                </c:pt>
                <c:pt idx="4">
                  <c:v>380.02</c:v>
                </c:pt>
                <c:pt idx="5">
                  <c:v>25.5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