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Intuitive Surgical, Inc.</w:t>
      </w:r>
    </w:p>
    <w:p>
      <w:pPr>
        <w:spacing w:after="60"/>
        <w:rPr>
          <w:color w:val="52514E"/>
          <w:sz w:val="22"/>
          <w:szCs w:val="22"/>
        </w:rPr>
      </w:pPr>
      <w:r>
        <w:rPr>
          <w:color w:val="52514E"/>
          <w:sz w:val="22"/>
          <w:szCs w:val="22"/>
        </w:rPr>
        <w:t xml:space="preserve">ISRG · NASDAQ Global Select Market · ISIN US46120E6023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404,76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199,71 USD · mercado 199,71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-50,7 % · mercado -50,7 %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144.297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28,6x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Intuitive Surgical,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ISRG / US46120E6023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Health Care Equipment &amp; Supplies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Sunnyvale, California (EE. UU.) · 1995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www.intuitive.com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404,76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328,57 – 603,88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144.297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135.972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1,09 mil M USD/día (2,9 M de acciones; 3 meses, 65 sesiones)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199,71 USD</w:t>
      </w:r>
      <w:r>
        <w:t xml:space="preserve"> frente a 404,76 · con la prima implícita del mercado: 199,71 (-50,7 %) · Rentabilidad total esperada a 12 meses </w:t>
      </w:r>
      <w:r>
        <w:rPr>
          <w:b/>
          <w:bCs/>
        </w:rPr>
        <w:t xml:space="preserve">-50,7 %</w:t>
      </w:r>
      <w:r>
        <w:t xml:space="preserve"> · Alcista / bajista -35,1 % / -63,7 %</w:t>
      </w:r>
    </w:p>
    <w:p>
      <w:pPr>
        <w:spacing w:after="100"/>
      </w:pPr>
      <w:r>
        <w:rPr>
          <w:b/>
        </w:rPr>
        <w:t xml:space="preserve">La recomendación y por qué.</w:t>
      </w:r>
      <w:r>
        <w:t xml:space="preserve"> Vender, con convicción baja. El valor objetivo es de 199,71 USD frente a una cotización de 404,76 USD: una rentabilidad total esperada del −50,7 %, sin dividendo. Ni el escenario alcista (−35,1 %) llega al precio, y el bajista pierde un 63,7 % (asimetría de −0,55x). Con nuestras cifras, el precio rinde un 5,3 % anual, lo mismo que el Tesoro. Los criterios sugieren convicción alta; la dejamos en baja porque la discrepancia es de tasa de descuento, el mercado ha pagado 49x el EBITDA de media una década y ningún catalizador con fecha la cierra. La subiríamos con una guía de procedimientos de 2027 por debajo del 12 %.</w:t>
      </w:r>
    </w:p>
    <w:p>
      <w:pPr>
        <w:spacing w:after="100"/>
      </w:pPr>
      <w:r>
        <w:rPr>
          <w:b/>
        </w:rPr>
        <w:t xml:space="preserve">El negocio.</w:t>
      </w:r>
      <w:r>
        <w:t xml:space="preserve"> Tiene ≈ 83 % de los robots de cirugía endoscópica vendidos en el mundo y 11.710 sistemas instalados [7, 34]. El 84 % de los ingresos es recurrente (instrumentos con chip, servicio y arrendamientos) [1]. Su ROIC es del 30,2 %, frente a un WACC del 10,1 %, con caja neta de 8.455 M USD. El foso es amplio, pero se estrecha: la FDA autorizó Hugo (Medtronic) en diciembre de 2025 y Ottava (J&amp;J) en julio de 2026, y en China 11 de los 13 robots aprobados son locales [34, 38, 41]. Su calidad sostiene el crecimiento que proyectamos solo en parte: crecer exige capital (la mitad de los sistemas va en arrendamiento) y la versión anterior crecía casi sin invertir. Hemos rebajado el caso base a lo financiable: capex del 12 % de las ventas y crecimiento medio del 9,8 % (8,1 % financiable al ROIC actual más ≈ 2 puntos de precio).</w:t>
      </w:r>
    </w:p>
    <w:p>
      <w:pPr>
        <w:spacing w:after="100"/>
      </w:pPr>
      <w:r>
        <w:rPr>
          <w:b/>
        </w:rPr>
        <w:t xml:space="preserve">Finanzas.</w:t>
      </w:r>
      <w:r>
        <w:t xml:space="preserve"> Ingresos al 15,7 % anual en 2016-2025 y margen EBITDA GAAP del 37,9 % en los últimos 12 meses. Tres ajustes que el mercado no hace: la remuneración en acciones (788 M USD) no está en el EBITDA del consenso; el tipo fiscal está rebajado por el ejercicio de acciones; y el capex no incluye los sistemas cedidos en arrendamiento (808,9 M USD en 2025), que el DCF sí cuenta [1]. Calidad contable alta: Beneish M de −2,43 y Piotroski F de 8.</w:t>
      </w:r>
    </w:p>
    <w:p>
      <w:pPr>
        <w:spacing w:after="100"/>
      </w:pPr>
      <w:r>
        <w:rPr>
          <w:b/>
        </w:rPr>
        <w:t xml:space="preserve">Equipo y gobierno.</w:t>
      </w:r>
      <w:r>
        <w:t xml:space="preserve"> Suman, con matices. Superó la guía de procedimientos cinco años seguidos y la sucesión de Guthart por Rosa fue ordenada [19, 29]. Restan las ventas de la dirección (93,4 M USD en 12 meses, sin compras), un variable sin métricas de rentabilidad y una reforma de estatutos sin pasar por la junta [60, 63].</w:t>
      </w:r>
    </w:p>
    <w:p>
      <w:pPr>
        <w:spacing w:after="100"/>
      </w:pPr>
      <w:r>
        <w:rPr>
          <w:b/>
        </w:rPr>
        <w:t xml:space="preserve">Valoración.</w:t>
      </w:r>
      <w:r>
        <w:t xml:space="preserve"> Todos los métodos coinciden: DCF 200,29 USD, comparables 192,69 USD y escenarios 202,52 USD. Según el DCF inverso, para pagar el precio los ingresos tendrían que crecer un 21,4 % anual en 2027-2035, frente a nuestro 9,1 % y a la guía de procedimientos del 13,5-15,5 %; con nuestro crecimiento, ningún margen lo justifica. A 28,6x el EBITDA de los próximos 12 meses, vale el doble que sus pares (13,7x) y el mínimo de su década (media de 49x, con el Tesoro entre el 0,52 % y el 4,98 %; hoy, 5,27 %) [149]. Discrepamos del mercado sobre todo en el coste del capital: nuestros ingresos de 2026-2028 coinciden con el consenso.</w:t>
      </w:r>
    </w:p>
    <w:p>
      <w:pPr>
        <w:spacing w:after="100"/>
      </w:pPr>
      <w:r>
        <w:rPr>
          <w:b/>
        </w:rPr>
        <w:t xml:space="preserve">Riesgos y catalizadores.</w:t>
      </w:r>
      <w:r>
        <w:t xml:space="preserve"> El mayor riesgo para la recomendación es una bajada de tipos: con un WACC del 9,1 % y un terminal del 4 %, el valor sube a 232,27 USD (+16 %), aún un 43 % bajo el precio. Para el negocio, el precio en EE. UU. tras Ottava y Hugo (bajista, 146,91 USD). Catalizadores: resultados del 3T26 el 20-oct-2026 y la guía de procedimientos de 2027 en enero [86].</w:t>
      </w:r>
    </w:p>
    <w:p>
      <w:pPr>
        <w:spacing w:after="100"/>
      </w:pPr>
      <w:r>
        <w:rPr>
          <w:b/>
        </w:rPr>
        <w:t xml:space="preserve">Qué cambiaría la decisión.</w:t>
      </w:r>
      <w:r>
        <w:t xml:space="preserve"> Compraríamos por debajo de 173,55 USD y mantendríamos entre 173,55 y 222,08 USD. Revisaríamos al alza con una guía de procedimientos de 2027 del 15 % o más o el Tesoro por debajo del 4,25 %, y a la baja si el ingreso por procedimiento cae de 1.800 USD.</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199,71 USD</w:t>
      </w:r>
      <w:r>
        <w:t xml:space="preserve"> (-50,7 % sobre 404,76; rentabilidad total esperada -50,7 %) · con la prima implícita del mercado: 199,71 (-50,7 %)</w:t>
      </w:r>
    </w:p>
    <w:p>
      <w:pPr>
        <w:spacing w:after="100"/>
      </w:pPr>
      <w:r>
        <w:t xml:space="preserve">Intuitive es el estándar de la cirugía robótica de tejidos blandos: ≈ 83 % de las unidades vendidas, 11.710 da Vinci instalados y 3,15 millones de procedimientos en 2025 (+18 %), cada uno con ≈ 1.830 USD de instrumentos que solo vende ella [1, 7, 26, 34]. El modelo de cuchilla y cartuchos da un 84 % de ingresos recurrentes, un margen EBITDA GAAP del 37,9 %, un ROIC del 30,2 % y 8.625,5 M USD de caja sin deuda [1, 7].</w:t>
      </w:r>
    </w:p>
    <w:p>
      <w:pPr>
        <w:spacing w:after="100"/>
      </w:pPr>
      <w:r>
        <w:t xml:space="preserve">El precio de 404,76 USD descuenta mucho más que eso. Equivale a 28,6x el EBITDA de los próximos 12 meses y 39,2x el beneficio, el doble que sus pares. Según el DCF inverso, o los ingresos crecen al 21,4 % anual hasta 2035 (más del doble de nuestro caso base y más que su propia historia), o el inversor se conforma con un 5,3 % anual con el Tesoro al 5,27 % [92]; con nuestro crecimiento, ningún margen lo justifica.</w:t>
      </w:r>
    </w:p>
    <w:p>
      <w:pPr>
        <w:spacing w:after="100"/>
      </w:pPr>
      <w:r>
        <w:t xml:space="preserve">El mercado acierta en la calidad y se equivoca en el precio. Las estimaciones han subido un 13,1 % en 12 meses mientras la acción caía un 28,5 % en el año: el múltiplo se está ajustando a tipos más altos y a un crecimiento de procedimientos que ha pasado del 18 % al 13,5-15,5 % [21, 79, 85]. Para invertir hay que creer que los tipos volverán a bajar con fuerza o que Intuitive crecerá al 15 % otra década pese a Ottava, Hugo y China, y sin invertir más en sistemas cedidos. Ninguna de las dos es nuestro caso base.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 / -63,7 %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 frente a 10,1 %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 frente a 16,1 %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(9,8 % anual proyectado; financiable al ROIC actual: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-50,7 % (-50,7 % con la prima del mercado) y el precio pide 12,3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173,55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173,55 y 222,08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222,08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222,08 USD: pasaríamos a Mantener; por debajo de 173,55 USD, a Comprar.</w:t>
      </w:r>
    </w:p>
    <w:p>
      <w:pPr>
        <w:pStyle w:val="ListParagraph"/>
        <w:numPr>
          <w:ilvl w:val="0"/>
          <w:numId w:val="2"/>
        </w:numPr>
        <w:spacing w:after="60"/>
      </w:pPr>
      <w:r>
        <w:t xml:space="preserve">Guía de procedimientos da Vinci para 2027 del 15 % o más en enero de 2027: revisaríamos al alza el crecimiento de 2027-2030.</w:t>
      </w:r>
    </w:p>
    <w:p>
      <w:pPr>
        <w:pStyle w:val="ListParagraph"/>
        <w:numPr>
          <w:ilvl w:val="0"/>
          <w:numId w:val="2"/>
        </w:numPr>
        <w:spacing w:after="60"/>
      </w:pPr>
      <w:r>
        <w:t xml:space="preserve">Tesoro a 10 años por debajo del 4,25 % de forma sostenida: revisaríamos el WACC y probablemente a Mantener.</w:t>
      </w:r>
    </w:p>
    <w:p>
      <w:pPr>
        <w:pStyle w:val="ListParagraph"/>
        <w:numPr>
          <w:ilvl w:val="0"/>
          <w:numId w:val="2"/>
        </w:numPr>
        <w:spacing w:after="60"/>
      </w:pPr>
      <w:r>
        <w:t xml:space="preserve">Crecimiento de procedimientos en EE. UU. por debajo del +10 % dos trimestres seguidos: subiríamos la convicción en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Los analistas (24 de 32 con compra, precio objetivo medio de 477,21 USD) valoran a Intuitive por múltiplos frente a su propia historia: 32,5x el EBITDA de 12 meses es el nivel más bajo de la década, con una media de 49x. Descuentan que el crecimiento de procedimientos del 13-15 % dura y que la competencia de Ottava y Hugo es de nicho [81, 84].</w:t>
      </w:r>
    </w:p>
    <w:p>
      <w:pPr>
        <w:keepNext/>
        <w:spacing w:after="100"/>
      </w:pPr>
      <w:r>
        <w:rPr>
          <w:b/>
          <w:bCs/>
        </w:rPr>
        <w:t xml:space="preserve">Lo que creemos nosotros.</w:t>
      </w:r>
    </w:p>
    <w:p>
      <w:pPr>
        <w:spacing w:after="100"/>
      </w:pPr>
      <w:r>
        <w:t xml:space="preserve">Compartimos las cifras a tres años: nuestros ingresos 2026-2028 difieren del consenso un 0,2 % como mucho. Después crecemos algo menos (del 11 % en 2029 al 5 % en 2035), lo que la empresa puede financiar con un capex del 12 % de las ventas. Y no compartimos el precio que se paga por ellas. Con el Tesoro al 5,27 %, la prima de mercado de Damodaran al 4,20 % y una beta de 1,15, el coste del capital es el 10,1 %. A ese coste, el negocio vale 200,29 USD por acción. El precio solo se sostiene con un 5,3 % de rentabilidad, o con un crecimiento del 21,4 % anual durante nueve años.</w:t>
      </w:r>
    </w:p>
    <w:p>
      <w:pPr>
        <w:keepNext/>
        <w:spacing w:after="100"/>
      </w:pPr>
      <w:r>
        <w:rPr>
          <w:b/>
          <w:bCs/>
        </w:rPr>
        <w:t xml:space="preserve">Por qué podemos tener razón.</w:t>
      </w:r>
    </w:p>
    <w:p>
      <w:pPr>
        <w:spacing w:after="100"/>
      </w:pPr>
      <w:r>
        <w:t xml:space="preserve">La media histórica de 49x se formó con el Tesoro entre el 0,52 % y el 4,98 %, y desde enero ha subido 108 puntos básicos, hasta el 5,27 % [149]. Además, la guía de 2026 es la primera en años que se estrecha en vez de subir [21]. Dos cambios estructurales, no cíclicos. Podríamos equivocarnos si los tipos bajan: con un WACC del 9,1 % y un crecimiento terminal del 4 %, el valor sería de 232,27 USD, todavía un 43 % por debajo del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0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Foso de escala y costes de cambio</w:t>
      </w:r>
      <w:r>
        <w:t xml:space="preserve">: ≈ 83 % de las unidades vendidas y 11.710 sistemas instalados; los rivales independientes pierden dinero (CMR −133,7 % de margen operativo) [7, 34, 46].</w:t>
      </w:r>
    </w:p>
    <w:p>
      <w:pPr>
        <w:pStyle w:val="ListParagraph"/>
        <w:numPr>
          <w:ilvl w:val="0"/>
          <w:numId w:val="2"/>
        </w:numPr>
        <w:spacing w:after="60"/>
      </w:pPr>
      <w:r>
        <w:rPr>
          <w:b/>
        </w:rPr>
        <w:t xml:space="preserve">Ingresos recurrentes</w:t>
      </w:r>
      <w:r>
        <w:t xml:space="preserve">: el 84 % de los ingresos (8.465,3 M USD en 2025) son instrumentos, servicio y arrendamientos [1].</w:t>
      </w:r>
    </w:p>
    <w:p>
      <w:pPr>
        <w:pStyle w:val="ListParagraph"/>
        <w:numPr>
          <w:ilvl w:val="0"/>
          <w:numId w:val="2"/>
        </w:numPr>
        <w:spacing w:after="60"/>
      </w:pPr>
      <w:r>
        <w:rPr>
          <w:b/>
        </w:rPr>
        <w:t xml:space="preserve">Rentabilidad</w:t>
      </w:r>
      <w:r>
        <w:t xml:space="preserve">: ROIC del 30,2 % frente a un WACC del 10,1 %, y un ROIC incremental del 24,6 %.</w:t>
      </w:r>
    </w:p>
    <w:p>
      <w:pPr>
        <w:pStyle w:val="ListParagraph"/>
        <w:numPr>
          <w:ilvl w:val="0"/>
          <w:numId w:val="2"/>
        </w:numPr>
        <w:spacing w:after="60"/>
      </w:pPr>
      <w:r>
        <w:rPr>
          <w:b/>
        </w:rPr>
        <w:t xml:space="preserve">Balance</w:t>
      </w:r>
      <w:r>
        <w:t xml:space="preserve">: sin deuda financiera y con 8.625,5 M USD de caja e inversiones a 30-jun-2026 [7].</w:t>
      </w:r>
    </w:p>
    <w:p>
      <w:pPr>
        <w:pStyle w:val="ListParagraph"/>
        <w:numPr>
          <w:ilvl w:val="0"/>
          <w:numId w:val="2"/>
        </w:numPr>
        <w:spacing w:after="60"/>
      </w:pPr>
      <w:r>
        <w:rPr>
          <w:b/>
        </w:rPr>
        <w:t xml:space="preserve">Dirección que cumple</w:t>
      </w:r>
      <w:r>
        <w:t xml:space="preserve">: superó la guía de procedimientos cinco años seguidos, casi siempre por encima del techo inicial [19].</w:t>
      </w:r>
    </w:p>
    <w:p>
      <w:pPr>
        <w:pStyle w:val="ListParagraph"/>
        <w:numPr>
          <w:ilvl w:val="0"/>
          <w:numId w:val="2"/>
        </w:numPr>
        <w:spacing w:after="60"/>
      </w:pPr>
      <w:r>
        <w:rPr>
          <w:b/>
        </w:rPr>
        <w:t xml:space="preserve">Barata frente a su historia</w:t>
      </w:r>
      <w:r>
        <w:t xml:space="preserve">: 32,5x el EBITDA de 12 meses, percentil 10 de la década (media de 49x).</w:t>
      </w:r>
    </w:p>
    <w:p>
      <w:pPr>
        <w:pStyle w:val="Heading2"/>
      </w:pPr>
      <w:r>
        <w:t xml:space="preserve">En contra</w:t>
      </w:r>
    </w:p>
    <w:p>
      <w:pPr>
        <w:pStyle w:val="ListParagraph"/>
        <w:numPr>
          <w:ilvl w:val="0"/>
          <w:numId w:val="2"/>
        </w:numPr>
        <w:spacing w:after="60"/>
      </w:pPr>
      <w:r>
        <w:rPr>
          <w:b/>
        </w:rPr>
        <w:t xml:space="preserve">El precio descuenta un 5,3 % de rentabilidad</w:t>
      </w:r>
      <w:r>
        <w:t xml:space="preserve">, lo mismo que el Tesoro a 10 años (5,27 %) [92].</w:t>
      </w:r>
    </w:p>
    <w:p>
      <w:pPr>
        <w:pStyle w:val="ListParagraph"/>
        <w:numPr>
          <w:ilvl w:val="0"/>
          <w:numId w:val="2"/>
        </w:numPr>
        <w:spacing w:after="60"/>
      </w:pPr>
      <w:r>
        <w:rPr>
          <w:b/>
        </w:rPr>
        <w:t xml:space="preserve">El DCF inverso exige un 21,4 % de crecimiento anual</w:t>
      </w:r>
      <w:r>
        <w:t xml:space="preserve"> de 2027 a 2035, frente a una guía de procedimientos del 13,5-15,5 % [21].</w:t>
      </w:r>
    </w:p>
    <w:p>
      <w:pPr>
        <w:pStyle w:val="ListParagraph"/>
        <w:numPr>
          <w:ilvl w:val="0"/>
          <w:numId w:val="2"/>
        </w:numPr>
        <w:spacing w:after="60"/>
      </w:pPr>
      <w:r>
        <w:rPr>
          <w:b/>
        </w:rPr>
        <w:t xml:space="preserve">Competencia en EE. UU. por primera vez</w:t>
      </w:r>
      <w:r>
        <w:t xml:space="preserve">: Hugo (dic-2025) y Ottava (jul-2026) tienen autorización de la FDA [38, 41].</w:t>
      </w:r>
    </w:p>
    <w:p>
      <w:pPr>
        <w:pStyle w:val="ListParagraph"/>
        <w:numPr>
          <w:ilvl w:val="0"/>
          <w:numId w:val="2"/>
        </w:numPr>
        <w:spacing w:after="60"/>
      </w:pPr>
      <w:r>
        <w:rPr>
          <w:b/>
        </w:rPr>
        <w:t xml:space="preserve">China se pierde</w:t>
      </w:r>
      <w:r>
        <w:t xml:space="preserve">: 11 de los 13 robots aprobados son locales y la compra centralizada llega en 2027 [26, 34].</w:t>
      </w:r>
    </w:p>
    <w:p>
      <w:pPr>
        <w:pStyle w:val="ListParagraph"/>
        <w:numPr>
          <w:ilvl w:val="0"/>
          <w:numId w:val="2"/>
        </w:numPr>
        <w:spacing w:after="60"/>
      </w:pPr>
      <w:r>
        <w:rPr>
          <w:b/>
        </w:rPr>
        <w:t xml:space="preserve">La caja libre del mercado está inflada</w:t>
      </w:r>
      <w:r>
        <w:t xml:space="preserve">: no resta 788 M USD de remuneración en acciones ni 808,9 M de sistemas arrendados [1].</w:t>
      </w:r>
    </w:p>
    <w:p>
      <w:pPr>
        <w:pStyle w:val="ListParagraph"/>
        <w:numPr>
          <w:ilvl w:val="0"/>
          <w:numId w:val="2"/>
        </w:numPr>
        <w:spacing w:after="60"/>
      </w:pPr>
      <w:r>
        <w:rPr>
          <w:b/>
        </w:rPr>
        <w:t xml:space="preserve">Prima doble sobre los pares</w:t>
      </w:r>
      <w:r>
        <w:t xml:space="preserve">: 28,6x el EBITDA de los próximos 12 meses frente a una mediana de 13,7x.</w:t>
      </w:r>
    </w:p>
    <w:p>
      <w:pPr>
        <w:pStyle w:val="Heading2"/>
      </w:pPr>
      <w:r>
        <w:t xml:space="preserve">Qué tiene que pasar para que la tesis funcione</w:t>
      </w:r>
    </w:p>
    <w:p>
      <w:pPr>
        <w:spacing w:after="100"/>
      </w:pPr>
      <w:r>
        <w:t xml:space="preserve">La tesis depende de que el crecimiento de procedimientos siga desacelerando hacia el 12-13 % mientras el Tesoro a 10 años sigue por encima del 5 %. Eso mantendría el múltiplo bajo presión. La señal de que no se cumple sería doble: una guía de procedimientos para 2027 que arranque en el 15 % o más (la de 2026 arrancó en el 13-15 %) y un Tesoro a 10 años por debajo del 4,25 % [21, 92].</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procedimientos da Vinci (mundo)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(2T26); guía 2026: 13,5-15,5 %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 o &gt; 16 %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60 % de las ventas (instrumentos) y el DCF inverso exige más del 20 % anual en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Procedimientos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el 68 % de las ventas y el primer mercado donde compiten Ottava y Hugo.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de instrumentos por procedimiento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1.830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1.800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presión de precio y del efecto de los instrumentos de más usos.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no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 (1S26); guía 68-69 %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aranceles, mezcla del da Vinci 5 y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Tesoro de EE. UU.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recomendación depende del coste del capital más que de las cifras.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Colocaciones en arrendamiento operativo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arrendamiento significa más inversión en sistemas que no aparece como capex.</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32,5x / 28,6x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46,4x / 39,2x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Intuitive Surgical se fundó en 1995 en Sunnyvale (California) [1]. Lanzó el primer sistema da Vinci en 1999 y en julio de 2000 obtuvo de la FDA la autorización para cirugía laparoscópica general, el mismo año en que salió a bolsa [1, 31]. En junio de 2003 compró Computer Motion, el otro fabricante estadounidense de robots quirúrgicos, en una operación en acciones de 148,5 M USD [31]. Desde entonces ha renovado la plataforma por generaciones (S 2006, Si 2009, Xi 2014, X 2017, SP 2018, da Vinci 5 en 2024) y en 2019 salió de la cirugía con Ion, para biopsia pulmonar [1]. Ha ido integrando distribuidores: China en 2019, mediante la empresa conjunta con Fosun, e Italia, España y Portugal en marzo de 2026 [7, 32]. En julio de 2025 Dave Rosa, en la empresa desde 1996, sustituyó como consejero delegado a Gary Guthart, que pasó a presidente ejecutivo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Intuitive Surgical, Inc. (Delaware; sede en Sunnyvale, California)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da Vinci para cirugía laparoscópica general (julio de 2000); salida a bolsa en el Nasdaq ese mismo año [1,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Computer Motion (junio de 2003), fabricante de robots quirúrgicos, en una operación en acciones de 148,5 M USD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Autorización de la FDA para ginecología; hasta entonces la mayoría de las histerectomías eran cirugía abierta. La histerectomía benigna es hoy la mayor fuente de procedimientos nuevos en ginecología en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Cuarta generación, da Vinci Xi (tras el Si de 2009), base de la familia actual; en 2017 llega el da Vinci X para clientes sensibles al precio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Comercialización del da Vinci SP (puerto único); base instalada de 445 SP a 30-jun-2026 [1,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Ion (biopsia pulmonar robótica). La empresa conjunta con Fosun (60 % Intuitive) compra la distribución de Chindex en China por 66,0 M USD, y Intuitive compra a Schölly la fabricación de endoscopios por 101,4 M USD [1,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acciones 3 por 1 (septiembre de 2021), aprobado junto con la ampliación de las acciones autorizadas de 300 a 600 millones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da Vinci 5 (marzo de 2024), con retroalimentación de fuerza y 10.000 veces la capacidad de cálculo del Xi; 870 colocaciones en 2025 y 1.710 instalados a 30-jun-2026 [1,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Dave Rosa sustituye a Gary Guthart como consejero delegado el 1 de julio de 2025; Guthart pasa a presidente ejecutivo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el 1 de marzo de 2026 el negocio de distribución de da Vinci e Ion de ab medica, Abex y Excelencia Robótica (Italia, España, Portugal, Malta y San Marino) por unos 533,1 M USD en efectivo [7, 28].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Intuitive diseña, fabrica y vende sistemas robóticos para cirugía mínimamente invasiva (da Vinci 5, Xi, X y SP) y para biopsia pulmonar endoluminal (Ion), los instrumentos y accesorios que se usan en cada intervención (pinzas, grapadoras SureForm, sellado de vasos, paños estériles), el servicio técnico y la formación de cirujanos [1]. Los clientes son hospitales y redes de hospitales (IDN). En EE. UU., Europa (salvo los países con distribuidor), China (empresa conjunta con Fosun), Japón, Corea, India, Taiwán y Canadá vende directamente; en el resto, a través de distribuidores [1]. Fabrica los sistemas en Sunnyvale, Peachtree Corners (Georgia) y Shanghái; los instrumentos, en Sunnyvale y sobre todo en Mexicali (México); los endoscopios, en Alemania y Bulgaria [1]. A 30 de junio de 2026 tenía 11.710 da Vinci instalados (6.615 en EE. UU., 2.325 en Europa, 2.111 en Asia y 659 en el resto) y 1.096 Ion [7]. En 2025 hubo unos 3,15 millones de procedimientos da Vinci (+18 %) y 144.100 de Ion (+51 %) [1]. EE. UU. supuso el 68 % de los ingresos [1].</w:t>
      </w:r>
    </w:p>
    <w:p>
      <w:pPr>
        <w:pStyle w:val="Heading2"/>
      </w:pPr>
      <w:r>
        <w:t xml:space="preserve">Cómo gana dinero</w:t>
      </w:r>
    </w:p>
    <w:p>
      <w:pPr>
        <w:spacing w:after="100"/>
      </w:pPr>
      <w:r>
        <w:t xml:space="preserve">Es un modelo de «cuchilla y cartuchos». El sistema (ASP de 1,60 M USD en 2025) abre la cuenta, y cada intervención consume instrumentos de vida limitada: un chip impide usarlos más veces de las prescritas [1]. En 2025 los ingresos recurrentes (instrumentos y accesorios, 6.018,9 M USD; servicio, 1.572,1 M USD; arrendamiento operativo, 874,3 M USD) sumaron 8.465,3 M USD, el 84 % de los 10.064,7 M USD totales; los sistemas aportaron 2.473,7 M USD [1]. El 51 % de las colocaciones de da Vinci (872 de 1.721) se hizo con arrendamiento operativo, 496 de ellas cobradas por uso [1]. El motor es el volumen de procedimientos, no la venta de máquinas: 18 % más procedimientos dieron 19 % más ingresos de instrumentos [1]. El margen bruto bajó del 67,5 % al 66,0 % en 2025 por los aranceles (63,0 M USD) y por los costes del da Vinci 5 [1]. Hay estacionalidad: más colocaciones y procedimientos benignos en el cuarto trimestre, y menos en el primero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y accesorios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y accesorios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son hospitales individuales y redes integradas (IDN). La primera venta es una compra de equipo con ciclo largo, y luego hay pedidos recurrentes de instrumentos que se envían en un día laborable [1]. Menos del 10 % de los ingresos pasa por distribuidores fuera de EE. UU. [1]. Los arrendamientos de pago fijo no se pueden cancelar sin penalización; los de pago por uso sí permiten salir antes del final [1]. 437 de las 1.721 colocaciones de 2025 fueron cambios de sistemas antiguos por nuevos (150 en 2024) [1]. Señal de poder de precios: el ASP de da Vinci subió de 1,50 a 1,60 M USD en 2025 por la mezcla con da Vinci 5, pese a mayores descuentos y más canjes [1]. En contra: varias provincias chinas limitan desde 2022 lo que los hospitales cobran por la cirugía robótica, y en Japón los procedimientos nuevos se reembolsan como la laparoscopia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Procedimientos da Vinci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2.012 (+15 %), fuera 1.141 (+23 %) [1]. +16 % en 1T26 y +15 % en 2T26; guía 2026: +13,5-15,5 %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Procedimientos Ion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 en 1T26 y +36 % en 2T26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da Vinci (sistemas)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9.902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11.106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6.364, Europa 2.168, Asia 1.993, resto 581 [1]; 11.710 a jun-26 (+12 %)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Colocaciones da Vinci (sistemas)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870 da Vinci 5 en 2025 frente a 362; 437 con entrega de un sistema usado (150 en 2024) [1]. 1S26: 899 frente a 762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 colocaciones da Vinci en arrendamiento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872 de 1.721 en 2025, de ellas 496 por uso [1]; 54 % en 2T26 (254 de 468)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I&amp;A por procedimiento da Vinci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verbal de la conferencia [26]; en 1T26, ≈1.880 frente a ≈1.780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 da Vinci (procedimientos por sistema y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publica la variación anual, no el nivel [1, 2]; +3 % en 2T26 según la conferencia [26].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recurrentes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I&amp;A + servicio + arrendamiento operativo: 8.465 M USD en 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robots de cirugía endoscópica (laparoscópica y toracoscópica) de tejidos blandos, multipuerto y de puerto único, a escala mundial: sistemas, instrumentos y servicio. Quedan fuera los robots de ortopedia y columna (Mako, ROSA, ExcelsiusGPS) y los endoluminales (Ion). Se usa la serie de Frost &amp; Sullivan publicada en el folleto de salida a bolsa de Edge Medical, en millones de USD a precio de fábrica [34], porque separa el segmento endoscópico y cuadra con la facturación de Intuitive (8.352 M USD en 2024, Ion incluido) [1]. Como contraste, MarketsandMarkets da 11.980 M USD en 2024 para todos los robots quirúrgicos, ortopedia incluida [37]. Esa cifra parece corta: solo Intuitive facturó 8.352 M USD ese 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10.220 M USD en 2024 y 12.450 M USD estimados para 2025 (robots de cirugía endoscópica, mundo, precio de fábrica; Frost &amp; Sullivan) [34]. Contraste: 11.980 M USD en 2024 y 13.690 M USD en 2025 para todo el mercado de robots quirúrgicos, ortopedia incluida, según MarketsandMarkets [37]; Intuitive sola facturó 10.065 M USD en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robots de cirugía endoscópica, mundo, precio de fábrica; Frost &amp; Sulliva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la robótica en la cirugía endoscópica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 cirugía endoscópica asistida por robot fue el 21,9 % del total en 2024 (1,8 millones de intervenciones); en China, el 0,7 %, con previsión del 3,0 % en 2033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procedimientos y nuevas indicaciones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3,153 millones de procedimientos da Vinci en 2025 (+18 %) y +15 % en el 2T26 [1, 7]; Intuitive cifra en 9 millones los procedimientos «en línea de visión» para 2026 (7 millones en 2024) [33]; da Vinci 5 en cirugía cardiaca añade unos 160.000 procedimientos al año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de inversión de los hospitales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espera que los clientes sigan siendo prudentes en inversión por falta de personal, menos financiación pública (Europa, Japón) y tipos altos; lo compensa con arrendamiento operativo, el 51 % de las colocaciones de 2025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cuotas, licitaciones y política industrial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cuota de 2023 permite 559 robots nuevos para todos los fabricantes; Intuitive ha colocado 169 + 3 (a 30-jun-2026) [7]. En China hay 13 robots multipuerto aprobados por la NMPA, 11 de marcas chinas [34]; desde 2022 hay topes provinciales al precio de la cirugía robótica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frente a la cirugía bariátrica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procedimientos bariátricos da Vinci en EE. UU. caen a un ritmo de un dígito alto y son ≈ 2 % del total [7]; Medtronic cita la presión de los fármacos sobre el volumen bariátrico [38].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cadena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aranceles subieron el coste de ventas de Intuitive en 63,0 M USD en 2025 y en 48,8 M USD en el 1S26 (con 35,9 M USD de devoluciones IEEPA en el 2T26) [1,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vendió 1.430 de los 1.726 robots multipuerto colocados en el mundo en 2024 (≈ 83 %) [34]. Pero en 2025-26 entraron en EE. UU. Hugo (urología, dic-2025), Versius Plus (510(k), dic-2025) y Ottava (De Novo, jul-2026) [38, 41, 46], y en China compiten 11 marcas locales aprobadas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hospitales y redes con presupuestos ajustados; en China, por licitación pública y con topes provinciales al precio desde 2022; en Japón, los procedimientos nuevos se reembolsan como la laparoscopia [1]. Lo atenúan los costes de cambio: el 25 % de las colocaciones de 2025 fueron canjes de sistemas propios (437 de 1.721)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componentes de proveedor único y se compra casi todo con órdenes de compra, sin contratos largos [1]; tensiones en semiconductores (memoria) y riesgo de restricciones chinas a las tierras raras [7]. Hasta ahora, sin efecto material, salvo los aranceles (63,0 M USD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ha abierto la puerta a varios rivales (De Novo para Versius en oct-2024 y Ottava en jul-2026; 510(k) solicitado por SS Innovations en dic-2025) [41, 45, 46]. Las barreras siguen siendo altas: más de 5.600 patentes en vigor y 2.500 en trámite, y 11.710 sistemas instalados [1, 7]. Los entrantes pierden dinero: CMR, −134 % de margen operativo en 2025; MicroPort MedBot, −43 % [36, 46].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Compiten la cirugía abierta, la laparoscopia convencional, los fármacos y la radioterapia [1]. La laparoscopia ya domina colecistectomía y apendicectomía, lo que limita la ganancia ahí [1]. Los GLP-1 reducen la bariátrica (≈ 2 % de los procedimientos) [7]. Con un 78 % de la cirugía endoscópica de EE. UU. aún sin robot, la sustitución favorece hoy al robot [34].</w:t>
            </w:r>
          </w:p>
        </w:tc>
      </w:tr>
    </w:tbl>
    <w:p>
      <w:pPr>
        <w:spacing w:after="160" w:before="0"/>
      </w:pPr>
    </w:p>
    <w:p>
      <w:pPr>
        <w:pStyle w:val="Heading2"/>
      </w:pPr>
      <w:r>
        <w:t xml:space="preserve">Ciclo</w:t>
      </w:r>
    </w:p>
    <w:p>
      <w:pPr>
        <w:spacing w:after="100"/>
      </w:pPr>
      <w:r>
        <w:t xml:space="preserve">Los indicadores son los procedimientos (+18 % en 2025, +15 % en el 2T26), las colocaciones (1.721 en 2025, +13 %) y la base instalada (+12 %) [1, 7]. El sector se ha comportado como semidefensivo. En 2009 los ingresos de Intuitive crecieron un 20 % (de 874,9 a 1.052,2 M USD) [24]. En 2020 el COVID dejó los procedimientos en +1 % y los ingresos en −2,7 % (de 4.478,5 a 4.358,4 M USD) [5, 24]. En 2022, con inflación y tipos al alza, los ingresos crecieron un 9,0 % (de 5.710,1 a 6.222,2 M USD) y los procedimientos llegaron a 1,875 millones [3, 24]. La parte cíclica es la de equipos: los hospitales retrasan inversiones con tipos altos [1].</w:t>
      </w:r>
    </w:p>
    <w:p>
      <w:pPr>
        <w:pStyle w:val="Heading2"/>
      </w:pPr>
      <w:r>
        <w:t xml:space="preserve">Regulación</w:t>
      </w:r>
    </w:p>
    <w:p>
      <w:pPr>
        <w:spacing w:after="100"/>
      </w:pPr>
      <w:r>
        <w:t xml:space="preserve">En EE. UU. los productos de Intuitive son de clase II y entran por 510(k); los rivales nuevos sin predicado usan la vía De Novo (Versius en oct-2024, Ottava en jul-2026) [1, 41, 46]. En la UE rige el MDR (Reglamento 2017/745), con transición hasta el 31-dic-2028; da Vinci 5 lo obtuvo en jul-2025, aún sin la retroalimentación de fuerza [1]. En China hacen falta registro de la NMPA, cuota estatal de equipos (559 robots en la de 2023) y licitación; hay topes provinciales de precio desde 2022 y una campaña anticorrupción desde jul-2023 [1, 7]. Aranceles de EE. UU.: el Supremo anuló en feb-2026 los basados en la IEEPA, y desde el 24-feb-2026 rige un 10 % general por la Sección 122, del que se libran los productos USMCA de Mexicali; efecto declarado: 63,0 M USD de coste en 2025 y 48,8 M USD en el 1S26 [1, 7].</w:t>
      </w:r>
    </w:p>
    <w:p>
      <w:pPr>
        <w:pStyle w:val="Heading2"/>
      </w:pPr>
      <w:r>
        <w:t xml:space="preserve">Tendencias y disrupción</w:t>
      </w:r>
    </w:p>
    <w:p>
      <w:pPr>
        <w:spacing w:after="100"/>
      </w:pPr>
      <w:r>
        <w:t xml:space="preserve">En tecnología: retroalimentación de fuerza (da Vinci 5), puerto único (SP, 445 instalados), cirugía cardiaca con da Vinci 5 (FDA, ene-2026) e IA en la navegación de Ion (FDA, oct-2025) [1, 7]. En hábitos: la cirugía se desplaza a centros ambulatorios (ASC), donde Intuitive entra con Xi reacondicionados (42 en 2025) [33]. En competidores: llegan grandes grupos a EE. UU. (Medtronic Hugo, J&amp;J Ottava, CMR Versius Plus) [38, 41, 46], y los fabricantes chinos salen fuera: el 73 % de los ingresos de MicroPort MedBot y 54 de los 100 robots entregados por Edge Medical son ya del exterior [35, 36]. Medtronic pagó unos 700 M USD por entrar en Cornerstone Robotics y distribuir su sistema Sentire fuera de EE. UU. (sep-2026) [39].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robots de cirugía endoscópica de tejidos blandos: ≈ 83 % de las unidades multipuerto vendidas en 2024 (1.430 de 1.726) [34] y 11.710 da Vinci instalados a 30-jun-2026 [7]. En biopsia pulmonar robótica, Ion ya supera la mitad de las biopsias pulmonares de EE. UU.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 (Hugo RAS)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entero, ejercicio cerrado en abril de 2026; Medical Surgical facturó 8.815 M USD con 2.128 M USD de beneficio operativo de segmento (24,1 %) [38]. Hugo obtuvo de la FDA la autorización en urología en diciembre de 2025; cirugía general y ginecología, pendientes [38]. En septiembre de 2026 invirtió unos 700 M USD en Cornerstone Robotics para distribuir su robot fuera de EE. UU.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MedTech (Ottava)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es el beneficio antes de impuestos del segmento MedTech en 2025 (4.113 M USD) [40]. Solicitó la vía De Novo para Ottava el 7-ene-2026 y la FDA la concedió el 22-jul-2026 para nueve procedimientos de cirugía general del abdomen superior (bypass gástrico, colecistectomía, hernia de hiato…); lanzamiento con clientes seleccionados de EE. UU. y ensayo en curso en hernia inguinal [41].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 (Mako)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compite en tejidos blandos: Mako es un robot de ortopedia (rodilla y cadera), con más de 2 millones de procedimientos acumulados y presencia en más de 45 países [42]. Sirve de referencia de margen de la robótica quirúrgica cotizada.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CMR Surgical (Versius)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no cotizada: 51,7 M GBP de ingresos y −69,2 M GBP de pérdida operativa en 2025, convertidos a 1,3192 USD/GBP [46, 48]. 227 Versius instalados (48 colocaciones en 2025) y 13.253 procedimientos [46]. De Novo de la FDA en oct-2024 y 510(k) para Versius Plus en dic-2025 [46]. La cuota es la estimación propia de 34 de 1.726 unidades en 2024 [34,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MicroPort MedBot (Toumai)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2252.HK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551,1 M CNY de ingresos en 2025 (+114 %) y −235,3 M CNY de pérdida operativa, convertidos a 7,1875 CNY/USD [36, 48]. El 73 % de los ingresos viene del exterior; Toumai suma más de 220 pedidos en más de 50 países y más de 140 instalaciones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Edge Medical (MP1000 / SP1000)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2675.HK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455,7 M CNY de ingresos en 2025 (+185 %) y −88,1 M CNY de pérdida operativa, convertidos a 7,1875 CNY/USD [35, 48]. Cotiza en Hong Kong desde el 8-ene-2026; 100 robots entregados a 31-dic-2025, 54 de ellos fuera de China; el MP1000 está aprobado en 22 jurisdicciones extranjeras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 Innovations (SSi Mantra)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SSII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42,5 M USD de ingresos en 2025 y −8,2 M USD de pérdida operativa [45]. 168 sistemas instalados, 154 en India; solicitó el 510(k) a la FDA el 5-dic-2025 [45]. Compite en precio.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Globus Medical (ExcelsiusGPS)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GMED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Robótica de columna, no de tejidos blandos; 479,8 M USD de beneficio operativo en 2025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11.710 sistemas instalados, casi todos conectados a internet, que alimentan los datos de Case Insights, My Intuitive y SimNow; red mundial de cirujanos formadores [1, 2]. Es un efecto de red indirecto (formación, datos y referencias), no un efecto de red puro entre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Cirujanos y equipos formados en la consola da Vinci; 437 de las 1.721 colocaciones de 2025 fueron canjes de sistemas propios [1]. El 51 % de las colocaciones se hace con arrendamiento operativo, y los de pago fijo no se pueden cancelar sin penalización [1]. Los instrumentos llevan un chip que limita sus usos, y los del Si no sirven en el Xi/5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5.600 patentes en vigor y más de 2.500 en trámite a 31-dic-2025 [1]. Más de 70 usos clínicos y autorizaciones en EE. UU., UE, Japón, Corea y China [1]. En EE. UU., da Vinci es el tratamiento de referencia en la cirugía del cáncer de próstata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66,0 % y operativo del 29,3 % en 2025 (2.945,5 M USD sobre 10.064,7 M USD) [1], frente a margen de producto del 42 % y pérdida operativa en CMR y pérdidas en MedBot y Edge [23, 13, 12]. Las ventajas vienen sobre todo de la escala, no de un coste unitario menor: los chinos venden en China más barato (≈ 15 frente a ≈ 22 M CNY por sistema)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83 % de las unidades multipuerto vendidas en 2024 [11]. Los rivales independientes no ganan dinero: CMR −133,7 %, MedBot −42,7 %, Edge −19,3 % y SSII −19,3 % de margen operativo en 2025 [23, 13, 12, 22]. Los rivales con escala son conglomerados (Medtronic, J&amp;J) que acaban de obtener la FDA [15, 18].</w:t>
            </w:r>
          </w:p>
        </w:tc>
      </w:tr>
    </w:tbl>
    <w:p>
      <w:pPr>
        <w:spacing w:after="160" w:before="0"/>
      </w:pPr>
    </w:p>
    <w:p>
      <w:pPr>
        <w:pStyle w:val="Heading2"/>
      </w:pPr>
      <w:r>
        <w:t xml:space="preserve">Amenazas</w:t>
      </w:r>
    </w:p>
    <w:p>
      <w:pPr>
        <w:spacing w:after="100"/>
      </w:pPr>
      <w:r>
        <w:t xml:space="preserve">La amenaza que importa ya no es hipotética: en 2025-2026 la FDA autorizó Hugo de Medtronic (urología, dic-2025), Versius Plus de CMR (dic-2025) y Ottava de J&amp;J (De Novo, jul-2026, nueve procedimientos de cirugía general, el segmento que más crece para Intuitive) [38, 41, 46]. Probabilidad alta de que haya presión de precio en concursos de EE. UU. desde 2027, pero baja de que cambie la cuota en tres años: los rivales parten de cero instalaciones frente a 11.710 da Vinci y de pérdidas operativas (CMR −133,7 %, MedBot −42,7 %) [7, 36, 46]. En China la erosión ya ocurre: 11 de los 13 robots aprobados son locales y Edge vende a ≈ 15 M CNY frente a ≈ 22 M del Xi [34]. A más largo plazo, la remanufactura de EndoWrist y la demanda colectiva de hospitales (juicio el 14-sep-2027) atacan el ingreso por procedimiento [7].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spacing w:after="100"/>
      </w:pPr>
      <w:r>
        <w:t xml:space="preserve">Crecimiento anual compuesto 2016-2025: ingresos </w:t>
      </w:r>
      <w:r>
        <w:rPr>
          <w:b/>
          <w:bCs/>
        </w:rPr>
        <w:t xml:space="preserve">15,7 %</w:t>
      </w:r>
      <w:r>
        <w:t xml:space="preserve">, EBITDA </w:t>
      </w:r>
      <w:r>
        <w:rPr>
          <w:b/>
          <w:bCs/>
        </w:rPr>
        <w:t xml:space="preserve">14,7 %</w:t>
      </w:r>
      <w:r>
        <w:t xml:space="preserve">, BPA </w:t>
      </w:r>
      <w:r>
        <w:rPr>
          <w:b/>
          <w:bCs/>
        </w:rPr>
        <w:t xml:space="preserve">15,9 %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Intuitive ha multiplicado por 3,7 sus ingresos en diez años (2.706,5 a 10.064,7 M USD; TCAC del 15,7 %) sin compras relevantes: todo el crecimiento es orgánico salvo los distribuidores del sur de Europa, que consolidan desde el 1-mar-2026 [1, 23]. El motor es el volumen de procedimientos (+18 % en 2025), que arrastra instrumentos y servicio; los sistemas son más cíclicos (planos en 2022-2023 con 1.680 M USD) [1]. El margen EBITDA GAAP pasó del 38,5 % de 2016 al 30,7 % de 2023 y ha vuelto al 35,5 % en 2025 y al 37,9 % en los últimos 12 meses: la caída vino de la remuneración en acciones (de 178 a 788 M USD), de la depreciación de las nuevas fábricas y de los sistemas en arrendamiento, y la recuperación del apalancamiento operativo y del precio medio del da Vinci 5 (1,60 M USD frente a 1,50 M) [1, 24]. El margen bruto perdió 150 p.b. en 2025 por aranceles (63,0 M USD) y por el coste inicial del da Vinci 5 [1]. No comparables: 2020 (COVID, −2,7 % de ingresos) y el tipo fiscal de 2017 (39,3 %, reforma fiscal) y de 2023 (7,2 %, 92,3 M de beneficios fiscales suizos y 67,1 M de revaluación de activos diferidos), que no se proyecta [3, 6].</w:t>
      </w:r>
    </w:p>
    <w:p>
      <w:pPr>
        <w:pStyle w:val="Heading2"/>
      </w:pPr>
      <w:r>
        <w:t xml:space="preserve">Ajustes y partidas no recurrentes</w:t>
      </w:r>
    </w:p>
    <w:p>
      <w:pPr>
        <w:spacing w:after="100"/>
      </w:pPr>
      <w:r>
        <w:t xml:space="preserve">Cifras reportadas US GAAP. La empresa publica un no GAAP que excluye la remuneración en acciones (788 M USD en 2025; 677 M en 2024), el plan de incentivos de la empresa conjunta china, la amortización de intangibles (13 M), litigios (14 M), las inversiones estratégicas y ajustes fiscales, sobre todo el beneficio fiscal del ejercicio de acciones (246 M en 2025). BPA no GAAP 8,93 USD frente a 7,87 GAAP en 2025 (7,34 frente a 6,42 en 2024); resultado operativo no GAAP 3.760 M frente a 2.946 M [19]. El EBITDA de esta serie es GAAP: la remuneración en acciones es gasto. En 2T26, 35,9 M de devolución de aranceles IEEPA rebajaron el coste de ventas (28 M netos, 0,08 USD por acción), también dentro del no GAAP [7, 21].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Abril (1T26): la dirección subió la guía de procedimientos al 13,5-15,5 % tras un trimestre del 16 %, destacó que el 38 % del volumen ya está fuera de EE. UU., que el ingreso por procedimiento subió a ≈ 1.880 USD por la mezcla de SP y da Vinci 5 y que la base de da Vinci 5 rozaba los 1.500 sistemas; reconoció la caída de la bariátrica (≈ −10 %) y que China no tendrá claridad hasta 2027 [25]. Julio (2T26): mantuvo la horquilla pero la acotó «más cerca del punto medio», con EE. UU. al +12 %, y el discurso pasó de la oportunidad a las moderaciones: efecto «moderado y negativo» de la reforma de la ACA y Medicaid, bariátrica a la baja por los GLP-1 y la robótica china camino de la compra centralizada [26]. El mercado castigó ese cambio (−14,1 % el 17-jul) pese a superar el consenso de BPA no GAAP (2,80 frente a 2,51 USD) [79, 90]. Los analistas repitieron tres preguntas: madurez de EE. UU. frente a efectos de cobertura (BofA), capital hospitalario (JPMorgan) y China (Wells Fargo). La dirección no cuantificó la exposición a Medicaid (Evercore) ni el efecto en el ingreso por procedimiento de los instrumentos de más usos (Wolfe) [26].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(2026: Negocio de distribución da Vinci/Ion de ab medica, Abex y Excelencia Robótica (Italia, España, Portugal, Malta y San Marino), consolidado desde el 1-mar-26 por 533,1 M USD en caja; fondo de comercio +218 M. Sin pro forma por no ser significativo [7].; 2019: Distribuidor de China (Chindex, a través de la empresa conjunta con Fosun) desde el 5-ene-19 y negocio de endoscopios de Schölly desde el 31-ago-19; ingresos no significativos [5].).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no tiene deuda financiera: 8.625,5 M USD de caja e inversiones a 30-jun-2026, el 6 % de la capitalización, frente a 170,9 M de arrendamientos [1, 7]. El circulante comercial (existencias + clientes − proveedores) se mantiene en el 30-31 % de las ventas desde 2023, alto para un fabricante, con 196 días de existencias en 2025: la empresa acumula inventario a propósito para cubrir riesgos de suministro y fabrica en existencias los sistemas que luego cede en arrendamiento (808,9 M traspasados al inmovilizado en 2025) [1]. El activo crece por ahí: el inmovilizado pasó de 1.876 a 5.342 M USD entre 2021 y 2025 (edificios y sistemas arrendados, 1.371 M netos) [1]. La caja bajó 409 M en el 1S26 por la compra de los distribuidores (528 M) y 1.444 M de recompras [7]. El activo diferido cayó de 1.019 a 652 M en el semestre sin explicación en el 10-Q: es una pregunta abierta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12.537</w:t>
      </w:r>
      <w:r>
        <w:t xml:space="preserve">, conversión </w:t>
      </w:r>
      <w:r>
        <w:rPr>
          <w:b/>
          <w:bCs/>
        </w:rPr>
        <w:t xml:space="preserve">84 %</w:t>
      </w:r>
      <w:r>
        <w:t xml:space="preserve"> del beneficio neto; adquisiciones 382, dividendos 0, recompras 8.039.</w:t>
      </w:r>
    </w:p>
    <w:p>
      <w:pPr>
        <w:spacing w:after="100"/>
      </w:pPr>
      <w:r>
        <w:t xml:space="preserve">La conversión del beneficio en caja es buena en el acumulado de diez años (84 %), pero muy desigual: 42 % en 2023 y 56 % en 2024, cuando el capex llegó a 1.064 y 1.111 M USD por las obras de Sunnyvale, Georgia, México y Bulgaria, y 87 % en 2025, cuando bajó a 540 M al terminarlas [1]. Dos ajustes cambian la lectura. El flujo operativo suma la remuneración en acciones (788 M en 2025) como si no fuera coste, y la empresa gastó 419 M más en retenciones fiscales por liquidar acciones de empleados [1]. Y el capex no incluye los sistemas en arrendamiento operativo, que entran por existencias en el flujo operativo (808,9 M traspasados en 2025) [1]. Estimación propia del capex de mantenimiento: la amortización de 2025 (628 M, 6,2 % de las ventas); el resto, incluidos los sistemas arrendados, es crecimiento. En el DCF la inversión total (capex de caja + sistemas arrendados) se lleva al 12 % de las ventas y baja al 8 %.</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 (San José, California)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 (COSO 2013)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fiables y conservadoras en lo que importa: PwC (12 años) firma sin salvedades, sin deterioros, sin capitalizar I+D y con un único asunto clave de auditoría, el reparto del precio entre sistema, instrumentos y servicio [1]. Los indicadores del motor no muestran alertas: Altman Z de 36,30 (sin deuda, zona segura), Piotroski F de 8 sobre 9 (solo falla el margen bruto, que bajó por aranceles) y Beneish M de −2,43, por debajo del umbral de manipulación (−1,78). Lo que hay que ajustar no es contable sino de presentación: la remuneración en acciones (788 M USD en 2025, 27,6 % del beneficio neto) desaparece del no GAAP y del EBITDA del consenso; el tipo fiscal GAAP (13,1 %) está rebajado 7,4 puntos por la deducción del ejercicio de acciones, que depende de la cotización; y el capex no recoge los sistemas en arrendamiento [1, 19]. Por eso este informe usa EBITDA GAAP, un tipo del 19 % y la inversión con los sistemas arrendados.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 y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788 M USD en 2025: 27,6 % del beneficio neto, 7,8 % de las ventas y 26 % del flujo operativo; más 419 M de retenciones fiscales pagadas en caja [1]. Las acciones diluidas pasaron de 365,8 M (2021) a 362,7 M (2025) pese a 5.319 M de recompras en 2022-2025 [24].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fiscal rebajado por el ejercicio de acciones y partidas suizas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fiscal de 246 M en 2025 (7,4 p.p.) y 223 M en 2024 (8,4 p.p.) [1]; 2023 al 7,2 % por beneficios suizos [3]. La guía no GAAP es del 22-23 % [26].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+23,7 % en 2025 frente a +20,5 % de ingresos; 2.028,7 M a jun-26. Parte son sistemas destinados a arrendamiento operativo (808,9 M traspasados al inmovilizado en 2025)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que no recoge los sistemas cedidos en arrendamiento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sistemas en arrendamiento operativo (1.371 M netos a dic-25) entran por existencias en el flujo operativo y se traspasan sin salida de capex; el 51-56 % de las colocaciones van por esta vía [1,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Juicio en el reparto del precio de los sistemas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estimación del precio independiente de cada elemento en las ventas de sistemas (2.473,7 M de ingresos de sistemas en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costes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venta capitalizadas (38,0 M amortizados en 2025) y software capitalizado (299,3 M brutos) [1]. No capitaliza I+D.</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presentación de las amortizaciones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2026 el estado de flujos agrupa «amortization of intangible and other assets» (62,4 M en 2025 frente a 13,2 M solo de intangibles), lo que cambia la cifra de D&amp;A según la fuente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antimonopolio por la reparación de instrumentos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Acción colectiva certificada en marzo de 2025 (sin fecha de juicio) y recursos de SIS y Restore; la empresa no estima la pérdida posible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24,6 % · </w:t>
      </w:r>
      <w:r>
        <w:rPr>
          <w:b/>
          <w:bCs/>
        </w:rPr>
        <w:t xml:space="preserve">WACC</w:t>
      </w:r>
      <w:r>
        <w:t xml:space="preserve">: 10,1 %.</w:t>
      </w:r>
    </w:p>
    <w:p>
      <w:pPr>
        <w:spacing w:after="100"/>
      </w:pPr>
      <w:r>
        <w:t xml:space="preserve">Intuitive crea valor con holgura: un ROIC del 30,2 % en 2025 frente a un WACC del 10,1 %, y por encima del 29 % todos los años desde 2016. Pero la tendencia es a la baja, del 75,7 % de 2016 al 30,2 %: no por margen (el NOPAT se ha multiplicado por 3,6, de 712 a 2.559 M USD) sino por capital, que ha crecido más deprisa por las fábricas, el inventario y, sobre todo, los sistemas cedidos en arrendamiento operativo, el 51 % de las colocaciones [1]. El ROIC incremental de los últimos años, 24,6 %, confirma que el crecimiento sigue siendo rentable aunque menos que el negocio heredado. El ROE (16,7 %) es bajo para ese ROIC porque la caja, el 44 % del activo, rinde a tipos de mercado. Frente a los comparables, el ROIC de Stock Analysis de Intuitive (21,9 %) duplica el de Stryker (12,5 %), Boston Scientific (11,2 %) o Medtronic (8,6 %), y solo IDEXX (47,2 %) y Dexcom (44,5 %) lo superan [80, 96, 100, 104, 116, 124].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de 9.034 M USD a dic-25 (efectivo 3.368, corto plazo 2.567, largo plazo 3.099) y 8.626 M a jun-26 (2.760, 2.456 y 3.409); sin deuda financiera ni líneas de crédito en el 10-K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emitida; el 10-K no menciona calificación crediticia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Arrendamientos operativos como arrendatario: 170,9 M USD a dic-25 (6,0 años de vida media, 4,6 %) [1]. Compromisos de compra de 2.530 M, 2.370 M a un año, un tercio de instalaciones [1]. Sin deuda ni operaciones fuera de balance relevantes [1]. Litigios: responsabilidad por producto autoasegurada, sin estimar la pérdida adicional posible; demandas antimonopolio por la reparación de EndoWrist (SIS, recurrida tras ganar Intuitive en 2025; acción colectiva de Larkin certificada en marzo de 2025, sin fecha de juicio; Restore, desestimada y recurrida) sin estimación de pérdida [1]. Beneficios fiscales no reconocidos 286,1 M [1]. Pagos aplazados de compras: ninguno relevante desde 2023 [1, 3].</w:t>
      </w:r>
    </w:p>
    <w:p>
      <w:pPr>
        <w:pStyle w:val="Heading1"/>
      </w:pPr>
      <w:r>
        <w:t xml:space="preserve">12. Asignación de capital</w:t>
      </w:r>
    </w:p>
    <w:p>
      <w:pPr>
        <w:pStyle w:val="Confianza"/>
        <w:spacing w:after="100"/>
      </w:pPr>
      <w:r>
        <w:t xml:space="preserve">Confianza: Alta</w:t>
      </w:r>
    </w:p>
    <w:p>
      <w:pPr>
        <w:spacing w:after="100"/>
      </w:pPr>
      <w:r>
        <w:t xml:space="preserve">Intuitive nunca ha pagado dividendos y quiere retener el beneficio para el negocio y, cuando convenga, recomprar acciones [1]. El programa de recompra existe desde marzo de 2009 y no caduca: 17.400 M USD autorizados en total; en abril de 2026 el consejo amplió el disponible a 5.000 M (incluido el remanente) y a jun-26 quedaban ≈4.700 M [7]. Recompras: 2.300,9 M en 2025 (4,8 M acciones a 477,84 USD), 1.506,5 M en 1S26 (3,2 M a 475,67 USD) [1, 7]. ASR: 2.274 M en 2017 (Goldman) y 2.000 M en 2022 (Goldman y Citibank) [4, 6]. Sin deuda: la inversión se paga con el flujo operativo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da Vinci/Ion de ab medica, Abex y Excelencia Robótica (Italia, España, Portugal, Malta, San Marino; &gt;470 sistemas instalados y ≈250 empleados)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1-mar-26; fondo de comercio 218,0 M e intangibles 219,4 M (relaciones con clientes 195,5 M a 6,6 años); amortización de intangibles de 24 M en 2T26. Anunciada en ene-25 con un pago inicial de ≈319 M EUR [1, 7, 22,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de robótica e IA para evaluar tejido en biopsias (sin nombre en el 10-K)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no significativo; fondo de comercio +22,3 M en 2025. La cifra es la línea de compras del estado de flujos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Orpheus Medical (Israel; conectividad y vídeo quirúrgico)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plataforma digital; sin deterioros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fabricación de endoscopios de Schölly Fiberoptic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(34,4 M inicial y 67,0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casi terminada a comienzos de 2021; fondo de comercio 58,9 M; Alemania fabrica hoy la mayoría de los endoscopios [5, 21].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de Chindex en China (por la empresa conjunta con Fosun)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(1,3 M inicial y 64,7 M contingentes)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contingentes de 53,7 M en 2020; el mercado chino sufre topes de precio y compra centralizada [1, 5, 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Distribuidores de India (Vattikuti, 38,1 M) y Taiwán (Unison, 35,4 M) y activos de InTouch Technologies (38,7 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Paso a venta directa en India y Taiwán; India destaca hoy por crecimiento de procedimientos [1, 6].</w:t>
            </w:r>
          </w:p>
        </w:tc>
      </w:tr>
    </w:tbl>
    <w:p>
      <w:pPr>
        <w:spacing w:after="160" w:before="0"/>
      </w:pPr>
    </w:p>
    <w:p>
      <w:pPr>
        <w:spacing w:after="100"/>
      </w:pPr>
      <w:r>
        <w:t xml:space="preserve">La dirección asigna el capital con disciplina pero sin brillo. En diez años generó 12.537 M USD de caja libre y devolvió 8.039 M en recompras, sin dividendos ni deuda, y las compras han sido pequeñas y de integración vertical (distribuidores, endoscopios), sin deterioros [1]. El resultado de las recompras es pobre: las acciones diluidas pasaron de 365,8 M en 2021 a 362,7 M en 2025 pese a 5.319 M de recompras en 2022-2025, porque compensan sobre todo la remuneración en acciones; y se compró caro (4,8 M acciones a 477,84 USD en 2025 y 3,2 M a 475,67 USD en el 1S26, un 18 % por encima del precio actual) [1, 7]. La inversión en capacidad (2.175 M de capex en 2023-2024) sí sostiene un ROIC incremental del 24,6 %. Con 8.625,5 M de caja sin uso operativo, el balance es ineficiente: la caja rinde ≈ 4 % frente a un coste del capital del 10,1 %.</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J. (Dave) Rosa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Intuitive desde marzo de 1996 (ingeniería, I+D, comercial, calidad); director científico (2014-2015), director comercial (2015-2019), director de negocio (2019-2022), de estrategia y crecimiento (2022-2023) y presidente (mayo de 2023-junio de 2025); consejero desde julio de 2024 y CEO desde el 1 de julio de 2025 [29, 50, 62]. En sus cuatro trimestres como CEO los procedimientos da Vinci crecieron un 19 %, 17 %, 16 % y 15 % y los ingresos un 23 %, 19 %, 23 % y 19 % [18, 19, 20,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E. Samath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(CFO) y responsable de tecnología corporativa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abril de 2013 como controller y responsable contable; CFO desde enero de 2022 y vicepresidente ejecutivo desde enero de 2025; antes, controller y responsable contable de Atmel y puestos financieros en National Semiconductor; consejero de KLA desde abril de 2025 [50, 56, 78]. Con él como CFO los ingresos pasaron de 5.710 M USD (2021) a 10.065 M USD (2025) y la guía anual de procedimientos se superó los cuatro años [15, 19, 24, 71, 73, 76].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S. Guthart, Ph.D.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 (Executive Chair)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Intuitive desde 1996; presidente y director de operaciones (2006-2010), CEO de 2010 a junio de 2025 y presidente ejecutivo desde el 1 de julio de 2025, como empleado con salario de 700.000 USD y sin bonus anual [29, 50]. Durante su etapa de CEO los ingresos pasaron de 1.413 M USD (2010) a 8.352 M USD (2024)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P. Brosius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de fabricación y cadena de suministro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diciembre de 2012; vicepresidente de operaciones de instrumentos (2017), vicepresidente sénior de operaciones (2020) y director de fabricación y cadena de suministro desde mayo de 2023; ascendido a vicepresidente ejecutivo el 23 de marzo de 2026; antes, presidente y director técnico de Harbor Fluid Products (2002-2011) [50]. La empresa fabrica en México la mayor parte de sus instrumentos y accesorios, expuestos a los aranceles de EE. UU.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H. Loeb</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jurídico y de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septiembre de 2022 como secretario general y director de cumplimiento; vicepresidente ejecutivo desde enero de 2025; antes, secretario general de Mammoth Biosciences, Sangamo Therapeutics y Achaogen, y 11 años en Genentech como responsable de propiedad intelectual y litigios [50].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Taylor Patton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comercial y de marketing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dos décadas en Intuitive; como vicepresidente sénior global del negocio endoluminal dirigió el lanzamiento mundial de Ion; sustituye desde el 1 de julio de 2026 a Henry Charlton, que pasa a vicepresidente sénior de operaciones de negocio global [58, 59]. Su participación no figura en el proxy de 2026, anterior al nombramiento.</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sin guía en enero por la COVID [77]; +22 % a +26 % en abril [69], +27 % a +30 % en julio y +27 % a +29 % en octubre [70]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 (unos 1.594.000 procedimientos) [71]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70 %-71 % en abril [69]; 70,5 %-71,5 % en julio y 71 %-71,5 % en octubre [70]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71,2 % [71]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+11 % a +15 % en enero [71]; +14 % a +16,5 % en julio y +17 % a +18 % en octubre [72]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[73]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69,5 %-70,5 % en enero [71]; rebajado a 69 %-69,5 % en octubre por costes de suministro y dólar fuerte [72]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69,2 % [73]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+12 % a +16 % en enero [73]; +20 % a +22 % en julio y +21 % a +22 % en octubre [74]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68 %-69 % en enero [73]; 68 %-68,5 % en octubre [74]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+13 % a +16 % en enero [76]; +15,5 % a +17 % en julio y +16 % a +17 % en octubre [75]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67 %-68 % en enero [76]; 68,5 %-69 % en octubre [75]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69,1 %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+13 % a +16 % en enero [15]; +15 % a +17 % en abril [16], +15,5 % a +17 % en julio [17] y +17 % a +17,5 % en octubre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no GAAP: 67 %-68 % en enero sin aranceles [15]; 65 %-66,5 % con aranceles (1,7 pp) en abril [16], 66 %-67 % en julio [17] y 67 %-67,5 % en octubre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67,6 %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creíble y estable en lo que importa: la guía de procedimientos se superó los cinco años de 2021 a 2025, casi siempre por encima del techo del rango inicial (18 % frente a 13-16 % en 2025), y solo se falló la de margen bruto de 2022 (69,2 % frente a 69,5-70,5 %) [15, 19, 73]. La sucesión fue ordenada: Dave Rosa, en la empresa desde 1996, sustituyó a Gary Guthart el 1-jul-2025 tras un anuncio de seis semanas, y Guthart sigue como presidente ejecutivo [29, 55]. Dos matices. La guía de 2026 (13,5-15,5 %) es la primera en años que se ha estrechado hacia el punto medio en vez de subir, y el mercado lo leyó como señal de madurez [21, 90]. Y hay rotación en la segunda línea: Charlton deja la dirección comercial a Taylor Patton (jul-2026) y Miller deja de reportar al CEO [57, 58]. La dirección posee el 0,6 % y vendió 93,4 M USD en 12 meses, sin compras [50, 63].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S. Guthart, Ph.D.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J. Rosa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H. Barratt, Ph.D.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 (presidente del consejo 2020-2025)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C. Beery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Retribuciones (desde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Lewis Chew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Sreelakshmi Kolli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L. Ladd,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Keith R. Leonard,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 Dover Nachtsheim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Monica P. Reed,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 (COSO 2013)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93,31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 (todas sus gestoras)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33.613.298 acciones a 31-12-2025 (13F citado en el proxy) [50], frente a 30.375.212 (8,63 %) a 31-12-2023 [66]. Desde el 12-1-2026 informa por gestoras separadas: Vanguard Capital Management declara 26.601.419 acciones (7,49 %) a 31-3-2026 y The Vanguard Group, 0 [64,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30.516.154 acciones a 31-12-2025 (13F citado en el proxy) [50], frente a 29.575.972 (8,4 %) a 31-12-2023 [67]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activo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en su 13G/A de febrero de 2024 (16.990.447 acciones a 31-12-2023); no ha vuelto a declarar [68]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(17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2.260.608 acciones a 31-12-2025, con 555.917 opciones ejercitables; Guthart tiene 1.512.213 (0,43 %)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acciones recompradas se amortizan; 353.278.038 acciones en circulación a 16-7-2026, frente a 355,1 millones a 31-12-2025 [1,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J. Rosa (CEO), plan 10b5-1, tras ejercer 27.000 opciones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Craig H. Barratt (consejero coordinador), plan 10b5-1; también 750 el 12-11-2025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E. Miller (director digital),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Henry L. Charlton (director comercial),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Myriam Curet (directora médica): 16 ventas entre el 28-10-2025 y el 10-3-2026,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Iman Jeddi (directora de plataformas da Vinci),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H. Loeb (director jurídico): 3 ventas entre mayo y agosto de 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a través de fideicomiso familiar,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Amy L. Ladd (consejera): 4 ventas en abril y agosto de 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P. Brosius (director de fabricación): 33 ventas entre el 12-12-2025 y el 11-9-2026,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Fredrik Widman (controller): 7 ventas entre el 5-11-2025 y el 15-9-2026,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bonus anual (CIP) se financia en 2025 al 50 % con el resultado operativo ajustado (umbral 3.210 M USD, objetivo 3.368 M USD, máximo 3.710 M USD; real 3.969 M USD, 125 %) y al 50 % con objetivos de empresa no publicados en cifra (adopción, innovación, eficiencia, calidad y finanzas; 105,3 %); pagó el 115,2 % del objetivo. En 2026 los pesos pasan a 35 % y 65 %, y el máximo sube del 125 % al 150 % del objetivo. El variable a largo plazo es mitad RSU a cuatro años y mitad PSU a tres años (pago entre 75 % y 125 %): dos tercios por crecimiento del número de procedimientos da Vinci e Ion y un tercio por margen operativo ajustado relativo a un grupo de comparables, que en 2025 sustituyó al TSR relativo. Las PSU de 2023 pagaron el 125 %. Hay clawback obligatorio por reformulación, ampliado en enero de 2026 a las acciones en caso de fraude, y un tope de indemnización en efectivo de 2,99 veces salario más bonus sin aprobación de la junta [50].</w:t>
      </w:r>
    </w:p>
    <w:p>
      <w:pPr>
        <w:pStyle w:val="Heading2"/>
      </w:pPr>
      <w:r>
        <w:t xml:space="preserve">Operaciones vinculadas, estructura de control y defensas</w:t>
      </w:r>
    </w:p>
    <w:p>
      <w:pPr>
        <w:spacing w:after="100"/>
      </w:pPr>
      <w:r>
        <w:t xml:space="preserve">No hay accionista de control: los dos mayores son gestoras indexadas (Vanguard 9,5 % y BlackRock 8,6 % a cierre de 2025) y el consejo y la dirección suman el 0,6 % [50]. Una sola clase de acciones con un voto cada una, sin límites de voto [50]. Consejo no escalonado: los diez consejeros se eligen cada año por mayoría de votos, con política de dimisión si no la alcanzan [50]. Los accionistas con el 20 % pueden convocar una junta extraordinaria; no pueden actuar por escrito fuera de junta [61]. Hay acceso a la convocatoria para grupos de hasta 20 accionistas con el 3 % durante tres años, que pueden proponer hasta el 25 % del consejo, y los estatutos se modifican por mayoría simple [50]. El 23 de julio de 2026 el consejo reformó los estatutos sin pasar por la junta: endurece los requisitos para proponer consejeros, exige estar presente en la junta y cambia la mayoría de las demás votaciones a votos emitidos sin contar abstenciones [60]. El proxy no recoge operaciones vinculadas [50].</w:t>
      </w:r>
    </w:p>
    <w:p>
      <w:pPr>
        <w:pStyle w:val="Heading2"/>
      </w:pPr>
      <w:r>
        <w:t xml:space="preserve">Señales de alerta</w:t>
      </w:r>
    </w:p>
    <w:p>
      <w:pPr>
        <w:pStyle w:val="ListParagraph"/>
        <w:numPr>
          <w:ilvl w:val="0"/>
          <w:numId w:val="2"/>
        </w:numPr>
        <w:spacing w:after="60"/>
      </w:pPr>
      <w:r>
        <w:t xml:space="preserve">Ventas continuadas de la dirección: 175.918 acciones por 93,4 M USD en 12 meses, todas con planes 10b5-1 y ninguna compra; el presidente ejecutivo Guthart vendió 91.706 acciones (48,8 M USD) y el CEO Rosa 24.500 (13,4 M USD) [63].</w:t>
      </w:r>
    </w:p>
    <w:p>
      <w:pPr>
        <w:pStyle w:val="ListParagraph"/>
        <w:numPr>
          <w:ilvl w:val="0"/>
          <w:numId w:val="2"/>
        </w:numPr>
        <w:spacing w:after="60"/>
      </w:pPr>
      <w:r>
        <w:t xml:space="preserve">El presidente del consejo es el anterior CEO, que sigue como empleado (presidente ejecutivo); la independencia del consejo descansa en el consejero coordinador Barratt, que además, según el proxy, pasaba a presidir Intel en mayo de 2026 [29, 50].</w:t>
      </w:r>
    </w:p>
    <w:p>
      <w:pPr>
        <w:pStyle w:val="ListParagraph"/>
        <w:numPr>
          <w:ilvl w:val="0"/>
          <w:numId w:val="2"/>
        </w:numPr>
        <w:spacing w:after="60"/>
      </w:pPr>
      <w:r>
        <w:t xml:space="preserve">La propuesta de accionistas para someter a la junta las indemnizaciones excesivas obtuvo el 44,1 % de los votos emitidos en 2025 [53].</w:t>
      </w:r>
    </w:p>
    <w:p>
      <w:pPr>
        <w:pStyle w:val="ListParagraph"/>
        <w:numPr>
          <w:ilvl w:val="0"/>
          <w:numId w:val="2"/>
        </w:numPr>
        <w:spacing w:after="60"/>
      </w:pPr>
      <w:r>
        <w:t xml:space="preserve">La ampliación del plan de acciones tuvo un 10,5 % de votos en contra en 2025 y un 7,8 % en 2026 [52, 53].</w:t>
      </w:r>
    </w:p>
    <w:p>
      <w:pPr>
        <w:pStyle w:val="ListParagraph"/>
        <w:numPr>
          <w:ilvl w:val="0"/>
          <w:numId w:val="2"/>
        </w:numPr>
        <w:spacing w:after="60"/>
      </w:pPr>
      <w:r>
        <w:t xml:space="preserve">El consejo modificó los estatutos el 23-7-2026 sin la junta para endurecer las propuestas de accionistas [60].</w:t>
      </w:r>
    </w:p>
    <w:p>
      <w:pPr>
        <w:pStyle w:val="ListParagraph"/>
        <w:numPr>
          <w:ilvl w:val="0"/>
          <w:numId w:val="2"/>
        </w:numPr>
        <w:spacing w:after="60"/>
      </w:pPr>
      <w:r>
        <w:t xml:space="preserve">Rotación en la dirección comercial y digital en 2025-2026 (Miller deja de reportar al CEO; Charlton cede la dirección comercial a Patton) [57, 58].</w:t>
      </w:r>
    </w:p>
    <w:p>
      <w:pPr>
        <w:pStyle w:val="ListParagraph"/>
        <w:numPr>
          <w:ilvl w:val="0"/>
          <w:numId w:val="2"/>
        </w:numPr>
        <w:spacing w:after="60"/>
      </w:pPr>
      <w:r>
        <w:t xml:space="preserve">El año de entrada de Guthart en el consejo difiere entre proxies: 2009 en el de 2026 y 2010 en el de 2025 [50, 51].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da guía de ingresos ni de beneficio: guía procedimientos, margen bruto y gastos. Para 2026 (confirmada el 16-jul-2026): procedimientos da Vinci +13,5-15,5 %, «más cerca del punto medio»; margen bruto no GAAP del 68-69 %, con un 1,0 % de aranceles; gastos operativos no GAAP +11-13 %; remuneración en acciones de 880-900 M USD; otros ingresos de 315-335 M; tipo fiscal no GAAP del 22-23 % [21, 26]. Ha mejorado en cada trimestre: en enero era +13-15 % y 67-68 % de margen bruto, y en abril +13,5-15,5 % y 67,5-68,5 % [19, 20]. No hay objetivos a medio plazo publicados. El 1S26 ha cumplido: procedimientos +16 % y +15 %, margen bruto no GAAP del 68,9 %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Market Intelligence), 6-oct-2026; 31-32 analistas; EBITDA y EBIT ajustados (sin remuneración en acciones); BPA en base GAAP</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Market Intelligence), 6-oct-2026; EBITDA y EBIT ajustados; BPA en base GAAP</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 Market Intelligence), 6-oct-2026; EBITDA y EBIT ajustados; BPA en base GAAP</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477,21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324,00 – 685,00</w:t>
            </w:r>
          </w:p>
        </w:tc>
      </w:tr>
    </w:tbl>
    <w:p>
      <w:pPr>
        <w:spacing w:after="160" w:before="0"/>
      </w:pPr>
    </w:p>
    <w:p>
      <w:pPr>
        <w:pStyle w:val="Heading2"/>
      </w:pPr>
      <w:r>
        <w:t xml:space="preserve">Revisiones de estimaciones</w:t>
      </w:r>
    </w:p>
    <w:p>
      <w:pPr>
        <w:spacing w:after="100"/>
      </w:pPr>
      <w:r>
        <w:t xml:space="preserve">Las estimaciones suben mientras el precio cae. El BPA GAAP 2026e de MarketScreener pasó de 8,16 USD hace 12 meses a 9,05 hace tres y a 9,23 hoy (+13,1 % y +2,0 %); el EBIT ajustado 2026e, de 4.021 a 4.678 M USD (+16,4 % en 12 meses), y las ventas, de 11.217 a 11.762 M (+4,9 %) [85]. Las causas son los márgenes mejores de lo previsto (70,0 % de margen bruto no GAAP en el 2T26 con la devolución de aranceles) y la consolidación de los distribuidores [21]. En cambio, los precios objetivo bajaron tras el 2T26: Deutsche Bank de 366 a 324 USD (vender), JPMorgan de 550 a 450, Wells Fargo de 654 a 487, Bernstein de 750 a 685 [84]. Se ha recortado el múltiplo, no los beneficios. Hay una sola fuente completa de estimaciones (S&amp;P Global, en MarketScreener y en Stock Analysis); el precio objetivo se contrasta con Nasdaq.com (493,28 USD) [81, 89].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bl>
    <w:p>
      <w:pPr>
        <w:spacing w:after="160" w:before="0"/>
      </w:pPr>
    </w:p>
    <w:p>
      <w:pPr>
        <w:spacing w:after="100"/>
      </w:pPr>
      <w:r>
        <w:t xml:space="preserve">La acción ha pasado de ganar al mercado a perder con claridad: +17,7 % anual en diez años frente al +15,5 % del S&amp;P 500, pero +3,9 % anual en cinco años frente al +13,9 %, y −28,5 % en 2026 frente al +15,1 % [79]. Tres hechos explican el último año. El máximo (603,88 USD el 7-ene-2026) llegó tras cerrar 2025 a 55x el EBITDA de 12 meses; el Tesoro a 10 años ha subido del 4,19 % del 2-ene-2026 al 5,27 % (del 4,79 % al 5,31 % solo en septiembre) y ha comprimido los múltiplos de crecimiento [92, 149]; y el 17-jul-2026 la acción cayó un 14,1 % con cuatro veces el volumen medio porque la guía de procedimientos no subió pese a batir el BPA [79, 90]. El sector de dispositivos (IHI) también cae un 17,7 % en el año. La beta de 1,46 y la volatilidad del 37,1 % son de valor de crecimiento, no de dispositivo médico defensivo. Posición corta baja: 2,31 % del flotante [91].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Por su propia historia, Intuitive nunca ha estado tan barata: 32,5x el EBITDA de 12 meses frente a una media de 49x en 2016-2025 (percentil 10, un 34 % de descuento) y 46,4x el beneficio frente a 69,6x. El argumento de compra del mercado descansa ahí. Pero esa historia se formó con el Tesoro a 10 años entre el 0,52 % (agosto de 2020) y el 4,98 % (octubre de 2023), y hoy está en el 5,27 % [92, 149]: con tipos reales un 2-3 % más altos, el múltiplo justo es menor aunque el negocio sea igual de bueno. Además, el crecimiento de procedimientos ha pasado del 18-22 % de 2022-2025 a una guía del 13,5-15,5 % [19, 21]. Los dos cambios son estructurales; la media histórica no es un ancla válida.</w:t>
      </w:r>
    </w:p>
    <w:p>
      <w:pPr>
        <w:pStyle w:val="Heading1"/>
      </w:pPr>
      <w:r>
        <w:t xml:space="preserve">18. Comparables cotizados</w:t>
      </w:r>
    </w:p>
    <w:p>
      <w:pPr>
        <w:pStyle w:val="Confianza"/>
        <w:spacing w:after="100"/>
      </w:pPr>
      <w:r>
        <w:t xml:space="preserve">Confianza: Media</w:t>
      </w:r>
    </w:p>
    <w:p>
      <w:pPr>
        <w:spacing w:after="100"/>
      </w:pPr>
      <w:r>
        <w:t xml:space="preserve">Fabricantes estadounidenses de tecnología médica de gran capitalización y alto margen, con los que compite por el capital de los mismos fondos: Stryker y Zimmer (robótica ortopédica), Medtronic (Hugo), Boston Scientific, Edwards y Abbott (crecedores de calidad), Dexcom, Insulet, IDEXX y ResMed (modelos de consumible recurrente). Quedan fuera J&amp;J (farma pesa más), CMR (no cotiza) y MicroPort MedBot y Edge (pérdidas operativas: múltiplos de EBITDA sin sentido).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Abbott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Edwards Lifesciences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Dexcom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Insulet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ResMed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Zimmer Biomet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 / 13,7x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15,5x / 20,5x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17,5x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 / 4,4x / 6,0x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(10 comparables): múltiplo = 11,2 + 0,34 × crecimiento; R² = 0,15. El crecimiento explica poco los múltiplos de estos comparables (R² &lt; 0,3): la regresión no se usa en la valoración.</w:t>
      </w:r>
    </w:p>
    <w:p>
      <w:pPr>
        <w:spacing w:after="100"/>
      </w:pPr>
      <w:r>
        <w:t xml:space="preserve">Intuitive cotiza a 28,6x el EBITDA de los próximos 12 meses frente a una mediana de 13,7x, y a 39,2x el beneficio frente a 17,5x: más del doble. La prima tiene base: el mejor margen EBITDA del grupo (37,9 % GAAP), ROIC del 30,2 %, caja neta y un crecimiento previsto del 13,2 %, por encima de la mediana. Pero ningún comparable con crecimiento parecido cotiza así: Abbott (14,9 %) e Insulet (18,9 %) están en 14,0x y 12,1x, y el más caro, IDEXX, en 22,9x con un 10,7 % de crecimiento [107, 119, 123]. La regresión múltiplo-crecimiento no sirve aquí (R² de 0,15): el mercado no paga crecimiento en este grupo sino calidad y duración. Por eso los comparables (192,69 USD por acción en la mediana) solo pesan un 15 %: dicen cuánto vale Intuitive si se valora como un líder maduro, que es el destino del caso base hacia 2035, no hoy. Los EBITDA de MarketScreener no siempre restan la remuneración en acciones; se corrigieron Dexcom e Insulet [115, 119].</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Penumbra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Trombectomía y vascular. 374 USD por acción (73 % en efectivo, 27 % en acciones de BSX); EV ≈ 14.500 M; ventas 2025 ≈ 1.400 M (+17,3 %-17,5 %) [140]. Prima frente al cierre del 14-ene-2026 (313,43 USD) [148]. Cierre previsto en 2026.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Exact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Abbott Laboratories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oncológico. 105 USD por acción en efectivo; precio de las acciones 21.000 M y EV ≈ 23.000 M; ventas 2025 estimadas 3.220-3.235 M (punto medio) [141]. Cierre previsto en el 2T26.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Monogram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Zimmer Biomet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Robótica ortopédica semiautónoma (rodilla). 4,04 USD por acción en efectivo, EV ≈ 168 M, más CVR de hasta 12,37 USD por acción; sin ventas significativas [142].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Paragon 28</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Zimmer Biomet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 y tobillo. 13,00 USD por acción en efectivo más CVR de hasta 1,00 USD; precio de las acciones ≈ 1.100 M y EV ≈ 1.200 M; ventas 2024 de 255,9-256,2 M (+18 %) [138].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Inari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Trombectomía venosa. 80 USD por acción en efectivo; valor de las acciones totalmente diluido ≈ 4.900 M [135]. EV y ventas de 12 meses a sep-2024 calculados con las cuentas de Inari: caja e inversiones 111,5 M, sin deuda; ventas 574,5 M [146] (estimación propia).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Silk Road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Revascularización carotídea (TCAR). 27,50 USD por acción en efectivo; valor de las acciones ≈ 1.260 M; prima del 38 % sobre la media ponderada de 60 días [139]. EV y ventas de 12 meses a mar-2024 con las cuentas de Silk Road: caja e inversiones 174,4 M, deuda 75,9 M, ventas 185,5 M [147] (estimación propia).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Shockwave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Litotricia intravascular. 335 USD por acción en efectivo; EV ≈ 13.100 M incluida la caja [136]; ventas 2023 de 730,2 M [144].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Neuromodulación sacra (urología). 71 USD por acción en efectivo; valor de las acciones ≈ 3.700 M y EV ≈ 3.400 M; ventas 2023 ≈ 366 M (+34 %) [143].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Abiomed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Asistencia cardiaca (Impella). 380 USD por acción en efectivo más CVR de hasta 35 USD; EV ≈ 16.600 M incluida la caja [137]; ventas del ejercicio a mar-2022 de 1.031,8 M [145].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237,31 – 388,35</w:t>
            </w:r>
          </w:p>
        </w:tc>
      </w:tr>
    </w:tbl>
    <w:p>
      <w:pPr>
        <w:spacing w:after="160" w:before="0"/>
      </w:pPr>
    </w:p>
    <w:p>
      <w:pPr>
        <w:spacing w:after="100"/>
      </w:pPr>
      <w:r>
        <w:t xml:space="preserve">Las nueve operaciones de tecnología médica de 2022-2026 se pagaron a una mediana de ≈ 8,8x las ventas (de 4,7x Paragon 28 a 17,9x Shockwave), con primas del 19-38 % donde se pueden medir [135, 136, 137, 138, 139, 140, 141, 142, 143]. Intuitive cotiza a 12,3x las ventas de 12 meses, por encima de esa mediana y sin prima de control. Las transacciones no sirven para valorarla (peso 0): con ≈ 143.000 M USD de capitalización y un 99,5 % de capital flotante, sería casi diez veces mayor que la mayor de la lista, y ningún comprador estratégico (J&amp;J, Medtronic) podría pagarla sin una ampliación enorme [80, 87]. La única operación de robótica quirúrgica de los últimos años (Zimmer-Monogram) no tenía ventas [142].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16,8 %, igual que el consenso (11.755 M USD), con dos trimestres publicados (+23 % y +18,5 %) y los distribuidores de Italia, España y Portugal dentro desde marzo [20, 21, 83]. Para 2027-2028 se usa el 13,0 % y el 12,5 %, en línea con el consenso (12,8 % y 12,7 %) y con la guía de procedimientos del 13,5-15,5 % menos la presión de precio en China y el menor peso de los sistemas [21, 83]. Después, 11 % en 2029 y un punto menos cada año hasta el 5 % en 2035 (media del 9,8 % en 2026-2035). Es lo que la empresa puede financiar: la prueba de sostenibilidad mostró que la senda anterior (12 % en 2029, 9 % en 2033) suponía que el capital nuevo rendía un 45,8 %, frente a un ROIC incremental del 24,6 %. Es menos que el 15,7 % de TCAC de 2016-2025, porque EE. UU. (68 % de las ventas) crece ya al 12 % en procedimientos y la base es diez veces mayor que en 2016 [1, 26]. El sector crecería al 16,1 % en 2024-2029 según Frost &amp; Sullivan, pero Intuitive es el 83 % de ese mercado y la entrada de rivales recorta su parte del crecimiento [34].</w:t>
      </w:r>
    </w:p>
    <w:p>
      <w:pPr>
        <w:keepNext/>
        <w:spacing w:after="100"/>
      </w:pPr>
      <w:r>
        <w:rPr>
          <w:b/>
          <w:bCs/>
        </w:rPr>
        <w:t xml:space="preserve">Márgenes.</w:t>
      </w:r>
    </w:p>
    <w:p>
      <w:pPr>
        <w:spacing w:after="100"/>
      </w:pPr>
      <w:r>
        <w:t xml:space="preserve">Margen EBITDA GAAP (con la remuneración en acciones como gasto) del 38,0 % en 2026e, frente al 37,9 % de los últimos 12 meses y el 39,4 % del 1S26, que incluye la devolución de aranceles [7]. Sube al 39 % en 2028 y se mantiene: es el mejor nivel de la serie (el máximo fue el 38,5 % de 2016) y equivale a lo que descuenta el consenso con su EBIT ajustado (39,7 % en 2027e) menos el 7,5 % de remuneración en acciones más amortizaciones del 7 % [83]. No se proyecta más expansión por tres motivos: aranceles (1,0 % de las ventas), presión de precio de Ottava y Hugo en EE. UU. y la mezcla de arrendamientos por uso, cuyo margen es menor [21, 41]. La diferencia con el EBITDA del consenso en 2027-2028 (+5,6 % y +7,0 %) viene de su EBITDA, que implica amortizaciones que bajan de 653 a 573 M, incoherente con su propio EBIT [83].</w:t>
      </w:r>
    </w:p>
    <w:p>
      <w:pPr>
        <w:keepNext/>
        <w:spacing w:after="100"/>
      </w:pPr>
      <w:r>
        <w:rPr>
          <w:b/>
          <w:bCs/>
        </w:rPr>
        <w:t xml:space="preserve">Inversión y circulante.</w:t>
      </w:r>
    </w:p>
    <w:p>
      <w:pPr>
        <w:spacing w:after="100"/>
      </w:pPr>
      <w:r>
        <w:t xml:space="preserve">La inversión total suma el capex de caja y los sistemas cedidos en arrendamiento operativo, que se fabrican en existencias y pasan al inmovilizado sin salir por la línea de capex: 808,9 M USD en 2025 (8,0 % de las ventas) frente a 539,8 M de capex [1]. Juntas fueron el 12,3 % de las ventas en 2025 (netas de 106 M de devoluciones) y el 21 % en 2023-2024, con las obras. Se proyecta el 12 % en 2026-2033 y el 11,5 % en 2034-2035, por encima de la amortización (del 6,5 % al 7,5 %, que ya incluye la de los sistemas arrendados) [1]. La versión anterior bajaba al 8 %: el capital por unidad de ventas caía de 0,84 a 0,66 y el crecimiento salía casi gratis. Con más de la mitad de las colocaciones en arrendamiento (51 % en 2025, 54 % en el 2T26), la inversión crece con los sistemas colocados [1, 26]. Circulante comercial del 31 % de las ventas (30,9 % en 2025), bajando al 29 %. Tipo fiscal del 19 %, entre el GAAP de 2025 (13,1 %) y el no GAAP guiado (22-23 %) [1, 26].</w:t>
      </w:r>
    </w:p>
    <w:p>
      <w:pPr>
        <w:keepNext/>
        <w:spacing w:after="100"/>
      </w:pPr>
      <w:r>
        <w:rPr>
          <w:b/>
          <w:bCs/>
        </w:rPr>
        <w:t xml:space="preserve">Coste del capital.</w:t>
      </w:r>
    </w:p>
    <w:p>
      <w:pPr>
        <w:spacing w:after="100"/>
      </w:pPr>
      <w:r>
        <w:t xml:space="preserve">Todo en USD. Tasa libre: Tesoro a 10 años al 5,27 % el 6-oct-2026 (curva par del Tesoro; FRED da 5,31 % el día anterior) [92]. Prima de mercado: la implícita de Damodaran a 1-oct-2026, 4,20 %, calculada con un bono del 5,29 %, coherente con esta tasa [93]. Beta de 1,15: entre la propia de cinco años (1,46; 1,31 ajustada a la Blume) y la del sector de productos sanitarios de Damodaran (0,91 apalancada, 0,86 sin deuda y corregida por caja) [79, 80, 94]. La beta propia está inflada por dos caídas idiosincrásicas (−49,9 % en 2021-2022 y −45 % desde enero de 2026); la sectorial infravalora la duración de un valor que cotiza a 39x beneficios. Sin deuda financiera, el WACC es el coste de los fondos propios: 10,1 %. Sin prima adicional: no hay riesgo país ni de tamaño.</w:t>
      </w:r>
    </w:p>
    <w:p>
      <w:pPr>
        <w:keepNext/>
        <w:spacing w:after="100"/>
      </w:pPr>
      <w:r>
        <w:rPr>
          <w:b/>
          <w:bCs/>
        </w:rPr>
        <w:t xml:space="preserve">Valor terminal.</w:t>
      </w:r>
    </w:p>
    <w:p>
      <w:pPr>
        <w:spacing w:after="100"/>
      </w:pPr>
      <w:r>
        <w:t xml:space="preserve">Valor terminal como media de dos métodos. Gordon con un crecimiento del 3,0 % (1-1,5 % real más ≈ 2 % de inflación en USD, por debajo del 5 % del último año proyectado) da un valor que equivale a solo 7,5x el EBITDA de 2035. Es menos que el múltiplo actual de cualquier comparable maduro (Medtronic 11,7x, Boston Scientific 10,9x, Zimmer 8,4x en los próximos 12 meses) [99, 103, 131]. Por eso se promedia con un múltiplo de salida de 13x, la zona de Stryker y Abbott hoy (14,2x y 14,0x) [95, 107]: en 2035 Intuitive crecería al 5 %, como ellos. La media sube el valor un 19 % frente a Gordon puro (168,58 USD), y el valor terminal pesa el 67 % del valor empresa, por debajo del límite del 80 %.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188,80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237,89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12.923 M (27 %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(ROIC 30,2 %)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 (histórico: 24,6 %)</w:t>
            </w:r>
          </w:p>
        </w:tc>
      </w:tr>
    </w:tbl>
    <w:p>
      <w:pPr>
        <w:spacing w:after="160" w:before="0"/>
      </w:pPr>
    </w:p>
    <w:p>
      <w:pPr>
        <w:spacing w:after="100"/>
      </w:pPr>
      <w:r>
        <w:t xml:space="preserve">La proyección reinvierte el 27 % del NOPAT. Con el ROIC del último ejercicio (30,2 %), eso financia un crecimiento del 8,1 % anual, frente al 9,8 % de ingresos proyectado. Supone que el capital nuevo rinde un 30,7 %, frente a un ROIC incremental histórico del 24,6 %.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procedimientos da Vinci e Ion, con guía del 13,5-15,5 % (+16 % y +15 % en el 1T y el 2T) y colocaciones de sistemas al +18 % en el 1S26 [20, 21]. Precio y mezcla: el I&amp;A por procedimiento sube a ≈ 1.880 y ≈ 1.830 USD (+2-6 %) por el da Vinci 5 y el SP, y el ASP del da Vinci pasó de 1,50 a 1,59 M USD [7, 25, 26]. Otros: los distribuidores de Italia, España y Portugal, consolidados desde marzo, y la divisa [7].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procedimientos hacia el 11-12 %, con EE. UU. (68 % de las ventas) al +12 % en el 2T26 y fuera de EE. UU. más rápido [1, 26]. Precio y mezcla: más da Vinci 5 en la base (algo más de 1.700 sistemas en el 2T26) [26]. El consenso da +12,8 % [83].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con la cirugía cardiaca del da Vinci 5 (≈ 160.000 procedimientos al año a su alcance) [33]. El consenso da +12,7 % [83].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precio: Ottava y Hugo en los concursos de EE. UU. y la compra centralizada en China, donde 11 de los 13 robots aprobados son locales [34, 38, 41]. Estimación propia.</w:t>
            </w:r>
          </w:p>
        </w:tc>
      </w:tr>
    </w:tbl>
    <w:p>
      <w:pPr>
        <w:spacing w:after="160" w:before="0"/>
      </w:pPr>
    </w:p>
    <w:p>
      <w:pPr>
        <w:spacing w:after="100"/>
      </w:pPr>
      <w:r>
        <w:t xml:space="preserve">En parte; el caso base ya está dentro de lo financiable. Foso amplio (≈ 83 % de las unidades, cirujanos formados en da Vinci) y poder de precios pequeño: I&amp;A por procedimiento +2-6 % por mezcla [26, 34]. Crecer exige capital: la mitad de las colocaciones va en arrendamiento [1]. La versión anterior suponía que el capital nuevo rendía un 45,8 % (incremental histórico: 24,6 %); ahora el capex se queda en el 12 % y el crecimiento medio (9,8 %) es el financiable (8,1 %) más ≈ 1,7 puntos de precio. Cuota: 14.944 M USD en 2028e sobre un mercado de 18.422 M, el 81 % de 2025, y luego menos crecimiento que el mercado [34].</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21,4 % (base: 9,1 %)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69 % justifica el precio (base: 39,0 %)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 (WACC: 10,1 %)</w:t>
            </w:r>
          </w:p>
        </w:tc>
      </w:tr>
    </w:tbl>
    <w:p>
      <w:pPr>
        <w:spacing w:after="160" w:before="0"/>
      </w:pPr>
    </w:p>
    <w:p>
      <w:pPr>
        <w:spacing w:after="100"/>
      </w:pPr>
      <w:r>
        <w:t xml:space="preserve">El DCF da 200,29 USD por acción, un 50,5 % por debajo de los 404,76 USD de cotización, con un rango de 188,95-214,25 USD al mover WACC y crecimiento terminal medio punto. El valor terminal pesa el 67 %. Qué hace falta creer para pagar el precio: el DCF inverso responde de tres formas. Con nuestro WACC, los ingresos tendrían que crecer un 21,4 % anual de media en 2027-2035, más del doble que nuestro 9,1 % y por encima del 15,7 % histórico, con una base diez veces mayor; Intuitive facturaría en 2035 más de 60.000 M USD. Con nuestro crecimiento, ningún margen EBITDA lo justifica, ni el 69 %, frente al 39 % y a un máximo histórico del 38,5 %. Y con nuestras cifras, el precio implica una rentabilidad anual del 5,3 %, lo mismo que el Tesoro a 10 años (5,27 %). Ninguna es razonable: el mercado paga la calidad de Intuitive como si los tipos siguieran en el 2 %. Nuestros ingresos de 2026-2028 coinciden con el consenso (±0,2 %); después crecen lo que la inversión puede pagar. La discrepancia principal está en el precio que se paga por ellos.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Ottava (J&amp;J) y Hugo (Medtronic) entran en los hospitales de EE. UU. con descuentos en sistemas e instrumentos, China pasa a compra centralizada con marcas locales y los GLP-1 y la reforma de Medicaid restan volumen: el crecimiento de procedimientos baja a un dígito alto, como ya le ocurrió a la laparoscopia al madurar, y el margen cae 3 puntos por precio. Es el camino que ya recorrió el 2T26 en China [7, 26].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al 13-15 % en 2026-2027 y desaceleración gradual (11 % en 2029, un punto menos cada año) hasta el 5 % en 2035, con el da Vinci 5 y la expansión fuera de EE. UU. compensando la madurez de urología y ginecología en EE. UU.; margen EBITDA GAAP estable en torno al 39 % y una inversión del 12 % de las ventas, con los sistemas en arrendamiento dentro.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cirugía general y torácica fuera de EE. UU. (Japón con reembolso desde junio de 2026, Europa tras comprar sus distribuidores) y el canal ambulatorio sostienen crecimientos de procedimientos del 15 % durante cinco años más; el da Vinci 5 sube el ingreso por procedimiento y el apalancamiento operativo añade 2 puntos de margen [23, 25,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40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202,52 USD (-50,0 %).</w:t>
      </w:r>
    </w:p>
    <w:p>
      <w:pPr>
        <w:spacing w:after="100"/>
      </w:pPr>
      <w:r>
        <w:t xml:space="preserve">La asimetría es desfavorable en los tres escenarios: el alcista (262,60 USD) queda un 35,1 % por debajo del precio, el base un 50,5 % y el bajista (146,91 USD) un 63,7 %. Incluso con dos puntos y medio más de crecimiento cada año, dos puntos más de margen y medio punto menos de WACC, el DCF no llega a la cotización. El valor ponderado (202,52 USD) apenas se mueve frente al base, porque el bajista y el alcista son casi simétricos en valor. Lo que haría falta para justificar 405 USD no es un escenario operativo sino de tipos: con nuestras cifras, el precio implica una rentabilidad anual del 5,3 %. El bajista es verosímil: es lo que ya ocurre en China y lo que le pasó a la laparoscopia al madurar.</w:t>
      </w:r>
    </w:p>
    <w:p>
      <w:pPr>
        <w:pStyle w:val="Heading1"/>
      </w:pPr>
      <w:r>
        <w:t xml:space="preserve">22. Suma de partes</w:t>
      </w:r>
    </w:p>
    <w:p>
      <w:pPr>
        <w:pStyle w:val="Confianza"/>
        <w:spacing w:after="100"/>
      </w:pPr>
      <w:r>
        <w:t xml:space="preserve">Confianza: Alta</w:t>
      </w:r>
    </w:p>
    <w:p>
      <w:pPr>
        <w:spacing w:after="100"/>
      </w:pPr>
      <w:r>
        <w:t xml:space="preserve">No aplica: Intuitive reporta un solo segmento y sus líneas de ingresos (instrumentos, sistemas, servicio) son partes del mismo modelo de cuchilla y cartuchos, con los mismos clientes y comparables; Ion (biopsia pulmonar) pesa menos del 5 % de los procedimientos y no se publica por separado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40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199,71 USD (-50,7 % sobre 404,76).</w:t>
      </w:r>
    </w:p>
    <w:p>
      <w:pPr>
        <w:spacing w:after="100"/>
      </w:pPr>
      <w:r>
        <w:t xml:space="preserve">El DCF pesa un 60 % porque es el único método que recoge lo que distingue a Intuitive: crecimiento de dos dígitos durante años, ROIC del 30 % y caja neta. Los escenarios ponderados pesan un 25 % para incorporar la dispersión de resultados. Los comparables, un 15 %: los pares crecen menos o tienen peor ROIC, y la regresión no explica los múltiplos. Las transacciones, cero: nadie puede comprar una empresa de ≈ 143.000 M USD. Lo llamativo es que todos los métodos coinciden: DCF 200,29 USD, comparables 192,69 USD y escenarios 202,52 USD, con un valor objetivo de 199,71 USD. Solo dos referencias están por encima del precio: el precio objetivo medio de los analistas (477,21 USD) y el rango de cotización de las últimas 52 semanas (328,57-603,88 USD). El puente es limpio: sin deuda, 8.625,5 M de caja e inversiones, 129,3 M de minoritarios de la empresa conjunta con Fosun y 170,9 M de arrendamientos (estos, contados dos veces porque el alquiler ya está en el EBITDA, pero son el 0,1 % del valor) [7].</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(tras el cierre)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procedimientos frente a la guía del 13,5-15,5 % y primera lectura del efecto de Medicaid; la acción se movió +13,9 %, +7,2 % y −14,1 % en las tres últimas publicaciones [79, 86].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 (≈ 22-ene)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procedimientos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arranca por debajo del 12 % confirma la madurez que descuenta nuestro caso base; si repite el 13-15 %, el mercado volverá a pagar duración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comercial de Ottava (J&amp;J) en EE. UU. tras el De Novo del 22-jul-2026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instalaciones y precio en concursos de cirugía general; señal de si la competencia es de precio o de nicho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inclusión de la robótica quirúrgica en la compra centralizada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 precios de sistemas e instrumentos y más cuota de las marcas locales; la dirección no espera claridad hasta 2027 [25,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 la apelación de SIS contra Intuitive (vista el 25-jun-2026)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revocación reabriría el modelo de instrumentos con chip de vida limitada, base del ingreso recurrente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 de la demanda colectiva antimonopolio de hospitales (EndoWrist)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indemnizaciones y de cambios en la política de reparación de instrumentos; la empresa no estima la pérdida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remuneración y sobre la reforma estatutaria de julio de 2026 aprobada sin junta [60].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 la tesis vendedora: bajada de tipos o vuelta del mercado a pagar duración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(WACC del 9,1 % y g del 4 %: 232,27 USD en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 con un WACC del 9,1 % el DCF supera los 270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debajo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EE. UU. de Ottava (J&amp;J) y Hugo (Medtronic): precio en concursos y en instrumentos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(escenario bajista: 146,91 frente a 200,29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formación, 11.710 sistemas instalados, contratos de arrendamiento.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 del da Vinci por debajo de 1,5 M USD o ingreso por procedimiento por debajo de 1.800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Madurez de EE. UU. (68 % de las ventas): urología y ginecología saturadas, GLP-1 y reforma de Medicaid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menos de crecimiento anual (189,60 frente a 200,29 USD en la tabla de crecimiento y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Cirugía general, torácica y cardiaca con da Vinci 5; canal ambulatorio.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en EE. UU. por debajo del +10 % dos trimestres seguidos (+12 %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compra centralizada, marcas locales y topes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Dentro del escenario bajista; no se puede aislar: la empresa no publica las ventas de China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con Fosun y fabricación local en Shanghái.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Inclusión formal de la robótica en la compra centralizada.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antimonopolio sobre la reparación de EndoWrist (SIS, Restore, demanda colectiva)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se abre la remanufactura (estimación propia sobre el 60 % de las ventas en instrumentos)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Ganó en primera instancia a SIS (ene-2025) y Restore fue desestimada.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 la apelación de SIS; juicio del 14-sep-2027.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cadena de suministro (México, Alemania, memoria)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punto de margen EBITDA (194,14 frente a 200,29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de Mexicali exentos por el USMCA; inventario de seguridad.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 GAAP por debajo del 67 %.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producto: retiradas y responsabilidad autoasegurada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Difícil de cuantificar; una retirada de clase I del da Vinci 5 retrasaría renovaciones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 retiradas desde 2023, 62 de clase II.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retiradas de clase I o cartas de advertencia de la FDA.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Dilución por remuneración en acciones que absorbe las recompras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a −2 % anual de valor por acción si las recompras no la compensan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recompras con 4.700 M disponibles.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diluidas por encima de 362 M.</w:t>
            </w:r>
          </w:p>
        </w:tc>
      </w:tr>
    </w:tbl>
    <w:p>
      <w:pPr>
        <w:spacing w:after="160" w:before="0"/>
      </w:pPr>
    </w:p>
    <w:p>
      <w:pPr>
        <w:pStyle w:val="Heading2"/>
      </w:pPr>
      <w:r>
        <w:t xml:space="preserve">Pre-mortem</w:t>
      </w:r>
    </w:p>
    <w:p>
      <w:pPr>
        <w:spacing w:after="100"/>
      </w:pPr>
      <w:r>
        <w:t xml:space="preserve">Octubre de 2029. Vender Intuitive a 405 USD fue un error: cotiza a 560 USD, un 38 % más. Qué pasó. Primero, los tipos: la Reserva Federal bajó tipos en 2027 por la desaceleración, el Tesoro a 10 años volvió al 3,75 % y los fondos de crecimiento de calidad recuperaron múltiplos de 40x beneficios. Segundo, la competencia resultó de nicho: Ottava se quedó en cirugía del abdomen superior en unos pocos centros académicos y Hugo no pasó de urología; los hospitales no cambiaron de plataforma porque sus cirujanos estaban formados en da Vinci y los contratos de arrendamiento por uso hacían el cambio caro. Tercero, el da Vinci 5 abrió la cirugía cardiaca y torácica, Japón y Europa crecieron al 20 % y los procedimientos se mantuvieron por encima del 13 % tres años más, en vez de bajar al 11 %. El beneficio por acción creció al 15 % y el múltiplo no cayó. Lo habrían anticipado tres indicadores: la guía de procedimientos de enero de 2027 por encima del 13 %, la utilización por sistema subiendo más del 3 % y un ASP del da Vinci estable pese a los rivales. Nuestro error habría sido tratar como permanente un WACC que dependía de un nivel de tipos.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Seguridad y calidad del producto: entre 2023 y oct-2026 la FDA registra 63 retiradas o correcciones de productos de Intuitive, 62 de clase II y 1 de clase I (cargas grises de la grapadora SureForm 30 de 8 mm, mar-2026, por posible línea de grapado incompleta) [49]; la empresa se autoasegura la responsabilidad por producto [1]. Acceso y precio: los topes de precio en China y los litigios antimonopolio sobre la reparación de instrumentos afectan al modelo de recurrentes, que es el 84 % de los ingresos [1, 7]. Capital humano: 17.021 empleados, rotación del 9,3 %, y 5 de 11 consejeros son mujeres [1]. Cadena de suministro: hay proveedores únicos y dependencia de México y Alemania; los aranceles costaron 63,0 M USD en 2025 [1].</w:t>
      </w:r>
    </w:p>
    <w:p>
      <w:pPr>
        <w:pStyle w:val="Heading2"/>
      </w:pPr>
      <w:r>
        <w:t xml:space="preserve">Controversias</w:t>
      </w:r>
    </w:p>
    <w:p>
      <w:pPr>
        <w:spacing w:after="100"/>
      </w:pPr>
      <w:r>
        <w:t xml:space="preserve">SIS: el tribunal dio la razón a Intuitive en todas las pretensiones antimonopolio (28-ene-2025); SIS recurrió y la vista de apelación fue el 25-jun-2026 [7]. Demanda colectiva de hospitales («In re da Vinci Surgical Robot Antitrust Litigation»): clase certificada el 31-mar-2025, juicio el 14-sep-2027 [7]. Restore Robotics: demanda desestimada el 7-nov-2025 y recurrida [7]; la primera demanda de Restore se cerró con acuerdo en ene-2023 [4]. Hay demandas por daños personales sin cuantía estimable [7].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procedimientos en EE. UU. espera la dirección cuando urología y ginecología estén saturadas, y qué parte del +12 % del 2T26 es efecto de Medicaid y qué parte madurez?</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inverso exige un 21,4 % anual de crecimiento de ingresos; cada punto de crecimiento mueve el valor ≈ 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perdido algún concurso en EE. UU. frente a Ottava o Hugo desde su autorización, y con qué descuento se ha defendido?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primera vez en 25 años que dos grandes grupos tienen autorización de la FDA en tejidos blandos; el precio es la variable del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real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será la inversión en sistemas cedidos en arrendamiento en 2026-2028, y qué rentabilidad tiene un sistema por uso frente a uno vendido?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traspasos (808,9 M en 2025) no aparecen como capex y son el 8 % de las ventas: cambian la caja libre que el mercado ve.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procedimiento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bajará el ingreso de instrumentos por procedimiento con los EndoWrist de más usos y con la remanufactura autorizada por la FDA?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60 % de las ventas son instrumentos; la dirección no lo cuantificó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viene de China y qué precio espera tras la compra centralizada?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publica el desglose; 11 de los 13 robots aprobados allí son locales.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8.625 M USD de caja sin uso operativo y recomprar a 476-478 USD, por encima del valor intrínseco que estima este informe?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rinde por debajo del coste del capital y las recompras apenas compensan la remuneración en acciones.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cayeron los activos por impuesto diferido de 1.019 a 652 M USD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explicación en el 10-Q y afecta al tipo fiscal normalizado (19 % en 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reformaron los estatutos el 23-jul-2026 sin someterlo a la junta, endureciendo las propuestas de los accionistas?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única señal de gobierno que resta y coincide con la peor caída de la cotización en cuatro años.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Fuentes: 150 (76 primarias); citas distintas en el texto: 150.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30,7 % frente a un ROIC de 30,2 % y un incremental histórico de 24,6 %: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31,0 % frente a 30,9 % real: genera una variación de circulante de 532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0,15: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-50,7 % (-50,7 % con la prima del mercado) y el precio pide 12,3 puntos más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fuentes (76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3T24-2T26: solo crecimiento reportado; 2) 10-Q 2T26: efecto divisa solo sobre ingresos fuera de EE. UU. y la compra de distribuidores declarada no significativa, sin cifra; 3) derivarlo exigiría los ingresos de la adquirida, que no se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(salvo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no citan consenso; 2) transcripciones de Stock Analysis y Webull: no dan la previsión previa; 3) Insider Monkey solo da la previsión del 1T26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oficial de las conferencias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isrg.intuitive.com / investor.intuitivesurgical.com (node/23031, 23231): sin respuesta en 60-120 s; 2) isrg.gcs-web.com/node/23036/pdf: sin respuesta; 3) transcripciones de terceros (Stock Analysis 1T26, Webull 2T26) leídas con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2016-2018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XBRL: OperatingLeaseLiability empieza en 2019; 2) 10-K 2018: arrendamientos fuera de balance antes de ASC 842; 3) no procede calcularlo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kpis: nivel de utilización (procedimientos por sistema)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variación (+3 %); 2) conferencias: solo variación; 3) procedimientos/base media daría ≈300 por sistema, pero la empresa no lo publica así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pública de Sustainalytics de Intuitive (sustainalytics.com/esg-rating/intuitive-surgical-inc/1007908485): redirige a una página genérica y la nota solo se carga con JavaScript; 2) MSCI ESG Ratings &amp; Climate Search Tool: la ficha del emisor solo es accesible en MSCI ONE; 3) búsqueda de un informe ESG de Intuitive o de una puntuación de CDP publicada: no aparece en abierto (los resúmenes de buscador con una nota de 18,0 de Sustainalytics no valen,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Edge Medical (Frost &amp; Sullivan): solo da la cuota de Intuitive en unidades multipuerto de 2024 (≈ 83 %); 2) cuentas de los rivales: CMR da 34 colocaciones en 2024, MedBot y Edge dan pedidos acumulados y no unidades de 2024, Medtronic no publica unidades de Hugo; 3) cálculo de la cota inferior Intuitive + CMR = 84,8 % de 1.726 unidades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competidores[].cuota_pct (salvo CMR)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Edge Medical / Frost &amp; Sullivan: no desglosa las unidades de los rivales; 2) cuentas anuales de Medtronic, J&amp;J, MedBot, Edge y SSII: no dan unidades ni ingresos robóticos de 2024 comparables; 3) derivarlo de los pedidos acumulados: no es coherente con las ventas del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equipo[Taylor Patton].participacion_pct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DEF 14A 2026 (tabla de participaciones a 31-12-2025): no figura, aún no era directivo; 2) Form 4 de los últimos 12 meses (90 formularios, API submissions de EDGAR): ninguno suyo; 3) Form 3 tras su nombramiento de julio de 2026: no hay (los únicos Form 3 de 2026 son de Jeddi y Wadors)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 (guía de enero)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del 4T20: sin perspectivas; 2) Transcripción de la conferencia del 4T20: la dirección dijo que no daba guía de procedimientos por la COVID; 3) Se toma como guía inicial la de abril de 2021 (conferencia del 1T21)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serie[].ev_ebitda_ntm y serie[].per_ntm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y valuation): solo da PER y EV/ventas del ejercicio en curso y el siguiente; 2) Stock Analysis (forecast): da un PER adelantado no GAAP por ejercicio, pero no EV/EBITDA adelantado y su BPA no es GAAP; 3) Yahoo / Macrotrends: sin series históricas de múltiplos adelantados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EBITDA en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publica gráficos de ventas, EBIT y BPA, no de EBITDA; 2) Stock Analysis: no publica revisiones; 3) Nasdaq.com: solo precio objetivo y recomendaciones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las revisiones del EBIT ajustado, que excluye las mismas partidas salvo la amortización)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puente.arrendamientos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no desglosa los pasivos por arrendamiento; 2) XBRL del 10-Q: sin la etiqueta OperatingLeaseLiability en el 2T26; 3) 10-K 2025: 170,9 M a 31-dic-2025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usa el dato de 31-dic-2025)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operaciones[].ev_ebitda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de comprador y objetivo (EDGAR): ninguna publica el múltiplo de EBITDA; 2) XBRL de los objetivos: EBITDA bajo o negativo en Monogram, Silk Road y Axonics; 3) prensa: múltiplos no verificables con la nota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operaciones[].prima_pct (salvo Silk Road y Penumbra)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los compradores: no la publican; 2) Yahoo Finance: los objetivos ya no cotizan y no conserva el histórico (HTTP 404); 3) XBRL: no contiene precios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resultados del 3T26 en la web de inversores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isrg.intuitive.com (noticias y eventos): sin respuesta en 60 s; 2) WebFetch de la página de eventos: tiempo agotado; 3) Stock Analysis («next confirmed earnings date» 20-oct-2026) y MarketScreener (calendario: 2026-10-20)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(fecha de dos proveedores, no de la empresa)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https://www.sec.gov/Archives/edgar/data/1035267/000103526726000010/isrg-20251231.htm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https://www.sec.gov/Archives/edgar/data/1035267/000103526725000017/isrg-20241231.htm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https://www.sec.gov/Archives/edgar/data/1035267/000103526724000021/isrg-20231231.htm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https://www.sec.gov/Archives/edgar/data/1035267/000103526723000019/isrg-20221231.htm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https://www.sec.gov/Archives/edgar/data/1035267/000103526721000028/isrg-20201231.htm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https://www.sec.gov/Archives/edgar/data/1035267/000103526719000012/isrg-20181231x10k.htm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(abril-junio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https://www.sec.gov/Archives/edgar/data/1035267/000103526726000058/isrg-20260630.htm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https://www.sec.gov/Archives/edgar/data/1035267/000103526726000032/isrg-20260331.htm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https://www.sec.gov/Archives/edgar/data/1035267/000103526725000209/isrg-20250930.htm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https://www.sec.gov/Archives/edgar/data/1035267/000103526725000192/isrg-20250630.htm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https://www.sec.gov/Archives/edgar/data/1035267/000103526725000109/isrg-20250331.htm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https://www.sec.gov/Archives/edgar/data/1035267/000103526724000247/isrg-20240930.htm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https://www.sec.gov/Archives/edgar/data/1035267/000103526724000207/isrg-20240630.htm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3T24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https://www.sec.gov/Archives/edgar/data/1035267/000103526724000244/q324ex-991earningsrelease.htm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4T24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https://www.sec.gov/Archives/edgar/data/1035267/000103526725000008/q424ex-991earningsrelease.htm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1T25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https://www.sec.gov/Archives/edgar/data/1035267/000103526725000106/q125ex-991earningsrelease.htm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2T25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https://www.sec.gov/Archives/edgar/data/1035267/000103526725000183/q225ex-991earningsrelease.htm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3T25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https://www.sec.gov/Archives/edgar/data/1035267/000103526725000206/q325ex-991earningsrelease.htm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4T25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https://www.sec.gov/Archives/edgar/data/1035267/000103526726000006/q425ex-991earningsrelease.htm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1T26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https://www.sec.gov/Archives/edgar/data/1035267/000103526726000029/q126ex-991earningsrelease.htm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2T26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https://www.sec.gov/Archives/edgar/data/1035267/000103526726000047/q226ex-991earningsrelease.htm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la compra de los distribuidores de Italia, España y Portugal (8-K,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https://www.sec.gov/Archives/edgar/data/1035267/000103526725000008/q424ex-992acquisitionpress.htm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compra del negocio da Vinci/Ion de ab medica, Abex y Excelencia Robótica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https://www.sec.gov/Archives/edgar/data/1035267/000103526726000012/q126ex-991acquisitionpress.htm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CIK 0001035267 (series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https://data.sec.gov/api/xbrl/companyfacts/CIK0001035267.json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https://stockanalysis.com/stocks/isrg/transcripts/544923-q1-2026/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https://www.webull.com/news/15239187065545728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Q1 2026 Earnings Call Transcript (cabecera: BPA frente a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https://www.insidermonkey.com/blog/intuitive-surgical-inc-nasdaqisrg-q1-2026-earnings-call-transcript-1743827/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8-K: cierre de la compra de la distribución de ab medica, Abex y Excelencia Robótica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https://www.sec.gov/Archives/edgar/data/1035267/000103526726000012/isrg-20260301.htm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8-K: nombramiento de David J. Rosa como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https://www.sec.gov/Archives/edgar/data/1035267/000103526725000161/isrg-20250514.htm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8-K: modificación estatutaria para el desdoblamiento 3 por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https://www.sec.gov/Archives/edgar/data/1035267/000103526721000170/isrg-20210920.htm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10-K del ejercicio 2003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2004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https://www.sec.gov/Archives/edgar/data/1035267/000119312504040493/d10k.htm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https://www.sec.gov/Archives/edgar/data/1035267/000103526720000032/isrg-20191231.htm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4T25 de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https://www.marketbeat.com/earnings/reports/2026-1-22-intuitive-surgical-inc-stock/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folleto de la oferta global (Industry Overview con datos de Frost &amp; Sullivan)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https://www1.hkexnews.hk/listedco/listconews/sehk/2025/1230/2025123000029.pdf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anuncio de resultados anuales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https://www1.hkexnews.hk/listedco/listconews/sehk/2026/0327/2026032704562.pdf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MicroPort MedBot, anuncio de resultados anuales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MicroPort MedBot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https://www1.hkexnews.hk/listedco/listconews/sehk/2026/0326/2026032603342.pdf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Surgical Robots Market Report 2025-2030 (resumen público, MD 6781)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https://www.marketsandmarkets.com/Market-Reports/surgical-robotics-market-256618532.html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plc, Form 10-K del ejercicio 2026 (cerrado el 24-abr-2026)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https://www.sec.gov/Archives/edgar/data/1613103/000162828026044354/mdt-20260424.htm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plc, Form 10-Q del 1T del ejercicio 2027 (a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https://www.sec.gov/Archives/edgar/data/1613103/000162828026060473/mdt-20260731.htm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https://www.sec.gov/Archives/edgar/data/200406/000020040626000016/jnj-20251228.htm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Receives FDA Market Authorization in the U.S. for its OTTAVA Robotic Surgical System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https://investor.jnj.com/investor-news/news-details/2026/Johnson--Johnson-Receives-FDA-Market-Authorization-in-the-U-S--for-its-OTTAVA-Robotic-Surgical-System/default.aspx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https://www.sec.gov/Archives/edgar/data/310764/000031076426000010/syk-20251231.htm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https://www.sec.gov/Archives/edgar/data/1237831/000162828026011209/gmed-20251231.htm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https://www.sec.gov/Archives/edgar/data/1136869/000119312526059853/zbh-20251231.htm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 Innovations International,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 Innovations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https://www.sec.gov/Archives/edgar/data/1676163/000121390026025440/ea0277925-10k_ssinnova.htm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CMR Surgical Limited, cuentas consolidadas del ejercicio 2025 (Companies House, sociedad 08863657)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CMR Surgical / Companies House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https://find-and-update.company-information.service.gov.uk/company/08863657/filing-history/MzU0ODc1NzM3N2FkaXF6a2N4/document?format=pdf&amp;download=0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Asensus Surgical, Form 8-K (anexo 99.1): cierre de la compra por KARL STORZ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Asensus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https://www.sec.gov/Archives/edgar/data/876378/000143774924027539/ex_717520.htm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Foreign Exchange Rates G.5A Annual (medias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https://www.federalreserve.gov/releases/g5a/current/default.htm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openFDA, bases de datos de retiradas de dispositivos (device/recall y device/enforcement), consulta Intuitive Surgical 2023-2026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https://api.fda.gov/device/enforcement.json?search=recalling_firm:%22Intuitive+Surgical%22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https://www.sec.gov/Archives/edgar/data/1035267/000103526726000023/isrg-20260313.htm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https://www.sec.gov/Archives/edgar/data/1035267/000103526725000098/isrg-20250314.htm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del 30-4-2026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https://www.sec.gov/Archives/edgar/data/1035267/000103526726000035/isrg-20260430.htm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del 1-5-2025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https://www.sec.gov/Archives/edgar/data/1035267/000103526725000156/isrg-20250501.htm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del 25-4-2024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https://www.sec.gov/Archives/edgar/data/1035267/000103526724000171/isrg-20240425.htm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Intuitive Announces CEO Transition Effective July 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https://www.sec.gov/Archives/edgar/data/1035267/000103526725000161/q225ex-991leadershipchange.htm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ascensos de Samath y Charlton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https://www.sec.gov/Archives/edgar/data/1035267/000103526725000002/isrg-20250101.htm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cambio de funciones de Brian E. Miller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https://www.sec.gov/Archives/edgar/data/1035267/000103526725000211/isrg-20251216.htm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nuevo director comercial y de marketing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https://www.sec.gov/Archives/edgar/data/1035267/000103526726000042/isrg-20260528.htm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Intuitive Announces New Chief Commercial and Marketing Officer Taylor Patton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https://www.sec.gov/Archives/edgar/data/1035267/000103526726000042/q226ex-991appointmentofoff.htm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5.03: reforma de los estatutos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https://www.sec.gov/Archives/edgar/data/1035267/000103526726000063/isrg-20260723.htm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Estatutos refundidos (Amended and Restated Bylaws), anexo 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https://www.sec.gov/Archives/edgar/data/1035267/000103526726000063/ex-31xamendedandrestatedby.htm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David J. Rosa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https://www.sec.gov/Archives/edgar/data/1035267/000103526724000215/isrg-20240724.htm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Intuitive Surgical (90 formularios, 6-10-2025 a 6-10-2026)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https://www.sec.gov/cgi-bin/browse-edgar?action=getcompany&amp;CIK=0001035267&amp;type=4&amp;dateb=&amp;owner=include&amp;count=100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https://www.sec.gov/Archives/edgar/data/1035267/000210011926000758/xslSCHEDULE_13G_X02/primary_doc.xml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10 de The Vanguard Group sobre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https://www.sec.gov/Archives/edgar/data/1035267/000010290926001603/xslSCHEDULE_13G_X02/primary_doc.xml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 13G/A de The Vanguard Group sobre Intuitive Surgical (31-12-2023)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https://www.sec.gov/Archives/edgar/data/1035267/000110465924021224/tv01218-intuitivesurgicalinc.htm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 13G/A de BlackRock, Inc. sobre Intuitive Surgical (31-12-2023)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https://www.sec.gov/Archives/edgar/data/1035267/000108636424003794/us46120e6023_012524.txt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 13G/A de T. Rowe Price Associates sobre Intuitive Surgical (31-12-2023)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 Rowe Price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https://www.sec.gov/Archives/edgar/data/1035267/000008025524000676/isrg13gadec23.txt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https://www.fool.com/earnings/call-transcripts/2021/04/20/intuitive-surgical-isrg-q1-2021-earnings-call-tran/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https://www.fool.com/earnings/call-transcripts/2021/10/20/intuitive-surgical-isrg-q3-2021-earnings-call-tran/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https://www.fool.com/earnings/call-transcripts/2022/01/21/intuitive-surgical-isrg-q4-2021-earnings-call-tran/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https://www.fool.com/earnings/call-transcripts/2022/10/18/intuitive-surgical-isrg-q3-2022-earnings-call-tran/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https://www.fool.com/earnings/call-transcripts/2023/01/24/intuitive-surgical-isrg-q4-2022-earnings-call-tran/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https://www.fool.com/earnings/call-transcripts/2023/10/19/intuitive-surgical-isrg-q3-2023-earnings-call-tran/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https://www.fool.com/earnings/call-transcripts/2024/10/17/intuitive-surgical-isrg-q3-2024-earnings-call-tran/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https://www.fool.com/earnings/call-transcripts/2024/01/23/intuitive-surgical-isrg-q4-2023-earnings-call-tran/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https://www.fool.com/earnings/call-transcripts/2021/01/22/intuitive-surgical-isrg-q4-2020-earnings-call-tran/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Intuitive Announces Executive Leadership Changes (anexo 99.2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https://www.sec.gov/Archives/edgar/data/1035267/000103526721000174/a20210930ex-992leadershipc.htm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ISRG, SPY e IHI (cierre y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https://finance.yahoo.com/quote/ISRG/history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(ISRG)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(ISRG) Stock Forecast (S&amp;P Global Market Intelligence / TipRanks)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 Company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Intuitive Surgical, Inc. (estimaciones 2026-2028,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Intuitive Surgical, Inc.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Estimates Revisions Intuitive Surgical, Inc. (gráficos de evolución de ventas, EBIT y BPA estimados)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https://www.marketscreener.com/quote/stock/INTUITIVE-SURGICAL-INC-9740/consensus-revisions/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 Intuitive Surgical,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 Shareholders (free float)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https://www.marketscreener.com/quote/stock/INTUITIVE-SURGICAL-INC-9740/company-shareholders/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S&amp;P 500 companies (sector y sub-industria GICS de cada componente)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https://en.wikipedia.org/wiki/List_of_S%26P_500_companies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ISRG analyst price target and ratings (API de Nasdaq.com)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https://api.nasdaq.com/api/analyst/ISRG/targetprice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shares slide despite earnings beat as 2026 outlook underwhelms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https://finviz.com/news/369459/intuitive-surgical-shares-slide-despite-earnings-beat-as-2026-outlook-underwhelms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ISRG short interest (fechas de liquidación quincenales, FINRA)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https://www.nasdaq.com/market-activity/stocks/isrg/short-interest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https://home.treasury.gov/resource-center/data-chart-center/interest-rates/TextView?type=daily_treasury_yield_curve&amp;field_tdr_date_value_month=202610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 página principal: Implied ERP on October 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https://pages.stern.nyu.edu/~adamodar/New_Home_Page/home.htm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Stryker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https://www.marketscreener.com/quote/stock/STRYKER-CORPORATION-14536/finances/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(SYK)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https://stockanalysis.com/stocks/syk/statistics/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(SYK)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https://stockanalysis.com/stocks/syk/forecast/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(SYK)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https://stockanalysis.com/stocks/syk/financials/?p=trailing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Boston Scientific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https://www.marketscreener.com/quote/stock/BOSTON-SCIENTIFIC-CORPORA-11935/finances/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(BSX)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(BSX)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(BSX)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https://stockanalysis.com/stocks/bsx/financials/?p=trailing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Medtronic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https://www.marketscreener.com/quote/stock/MEDTRONIC-PLC-20661655/finances/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(MDT)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(MDT)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(MDT)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https://stockanalysis.com/stocks/mdt/financials/?p=trailing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Abbott Laboratories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https://www.marketscreener.com/quote/stock/ABBOTT-LABORATORIES-11506/finances/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(ABT)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https://stockanalysis.com/stocks/abt/statistics/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(ABT)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https://stockanalysis.com/stocks/abt/forecast/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(ABT)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https://stockanalysis.com/stocks/abt/financials/?p=trailing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Edwards Lifesciences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https://www.marketscreener.com/quote/stock/EDWARDS-LIFESCIENCES-CORP-12521/finances/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Dexcom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https://www.marketscreener.com/quote/stock/DEXCOM-INC-9115/finances/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Dexcom (DXCM)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https://stockanalysis.com/stocks/dxcm/statistics/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Dexcom (DXCM)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https://stockanalysis.com/stocks/dxcm/forecast/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Dexcom (DXCM)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https://stockanalysis.com/stocks/dxcm/financials/?p=trailing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Insulet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https://www.marketscreener.com/quote/stock/INSULET-CORPORATION-50468/finances/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Insulet (PODD)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https://stockanalysis.com/stocks/podd/statistics/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Insulet (PODD)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https://stockanalysis.com/stocks/podd/forecast/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Insulet (PODD)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https://stockanalysis.com/stocks/podd/financials/?p=trailing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IDEXX Laboratories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https://www.marketscreener.com/quote/stock/IDEXX-LABORATORIES-INC-9641/finances/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ResMed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https://www.marketscreener.com/quote/stock/RESMED-INC-14259/finances/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Zimmer Biomet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https://www.marketscreener.com/quote/stock/ZIMMER-BIOMET-HOLDINGS-IN-14996/finances/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(ZBH)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https://stockanalysis.com/stocks/zbh/statistics/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(ZBH)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https://stockanalysis.com/stocks/zbh/forecast/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(ZBH)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https://stockanalysis.com/stocks/zbh/financials/?p=trailing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to acquire Inari Medical (nota de prensa, Exhibit 99.1 del 8-K de Stryker)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https://www.sec.gov/Archives/edgar/data/310764/000119312525002537/d899660dex991.htm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Shockwave Medical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 Johnson &amp; Johnson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https://www.sec.gov/Archives/edgar/data/1642545/000119312524087890/d819714dex991.htm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Abiomed (nota de prensa, Exhibit 99.1 del 8-K de J&amp;J)</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https://www.sec.gov/Archives/edgar/data/200406/000119312522274491/d395813dex991.htm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to acquire Paragon 28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https://www.sec.gov/Archives/edgar/data/1136869/000119312525014569/d644888dex991.htm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Silk Road Medical enters into definitive agreement to be acquired by Boston Scientific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Silk Road Medical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https://www.sec.gov/Archives/edgar/data/1397702/000110465924072846/tm2417405d1_ex99-1.htm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to acquire Penumbra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https://www.sec.gov/Archives/edgar/data/885725/000094787126000034/ss5822817_ex9901.htm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acquisition of Exact Sciences (presentación a inversores,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https://www.sec.gov/Archives/edgar/data/1800/000110465925114422/tm2531676d2_ex99-2.htm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to acquire Monogram Technologies (presentación,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https://www.sec.gov/Archives/edgar/data/1136869/000119312525158442/d76564dex991.htm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(sala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https://news.bostonscientific.com/2024-01-08-Boston-Scientific-Announces-Agreement-to-Acquire-Axonics,-Inc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Shockwave Medical (CIK 0001642545)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https://data.sec.gov/api/xbrl/companyfacts/CIK0001642545.json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Abiomed (CIK 0000815094)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https://data.sec.gov/api/xbrl/companyfacts/CIK0000815094.json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Inari Medical (CIK 0001531048)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https://data.sec.gov/api/xbrl/companyfacts/CIK0001531048.json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Silk Road Medical (CIK 0001397702)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https://data.sec.gov/api/xbrl/companyfacts/CIK0001397702.json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Penumbra (PEN),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https://finance.yahoo.com/quote/PEN/history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serie diaria 2016-2026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87,1 %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única (NASDAQ: ISRG), cuentas y cotización en USD: no hay conversiones salvo las de competidores no estadounidenses (CMR en GBP, MicroPort MedBot y Edge en CNY, a la media de 2025 de la Reserva Federal). El EBITDA de las cuentas es GAAP (la remuneración en acciones es gasto); el del consenso es ajustado y el motor le resta el 7,5 % de las ventas. Desglose de amortizaciones y EBITDA trimestral derivados por diferencia de los acumulados de los 10-Q. Las transcripciones de las conferencias del 1T26 y 2T26 son de terceros (la web de inversores no respondió), leídas con WebFetch. Los múltiplos de comparables mezclan EBITDA de MarketScreener ajustado y no ajustado según la empresa (se corrigió Dexcom e Insulet). Las acciones de 2016-2018 y sus precios están reexpresados por el desdoblamiento 3 por 1 de 2021. No se han usado servicios de pago: faltan las calificaciones ESG de MSCI y Sustainalytics y los múltiplos históricos de los próximos 12 meses.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Intuitive Surgical, Inc. (ISRG)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404,76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(188,95 – 214,25)</c:v>
                </c:pt>
                <c:pt idx="6">
                  <c:v>Escenarios (bajista – alcista) (146,91 – 262,60)</c:v>
                </c:pt>
                <c:pt idx="7">
                  <c:v>DCF con la prima implícita del mercado (4,2 %)</c:v>
                </c:pt>
                <c:pt idx="8">
                  <c:v>Precio actual (404,76)</c:v>
                </c:pt>
              </c:strCache>
            </c:strRef>
          </c:cat>
          <c:val>
            <c:numRef>
              <c:f>Hoja1!$B$2:$B$10</c:f>
              <c:numCache>
                <c:formatCode>#,##0</c:formatCode>
                <c:ptCount val="9"/>
                <c:pt idx="0">
                  <c:v>328.57</c:v>
                </c:pt>
                <c:pt idx="1">
                  <c:v>324</c:v>
                </c:pt>
                <c:pt idx="2">
                  <c:v>180.59</c:v>
                </c:pt>
                <c:pt idx="3">
                  <c:v>151.75</c:v>
                </c:pt>
                <c:pt idx="4">
                  <c:v>237.31</c:v>
                </c:pt>
                <c:pt idx="5">
                  <c:v>188.95</c:v>
                </c:pt>
                <c:pt idx="6">
                  <c:v>146.91</c:v>
                </c:pt>
                <c:pt idx="7">
                  <c:v>191.5</c:v>
                </c:pt>
                <c:pt idx="8">
                  <c:v>402.74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(188,95 – 214,25)</c:v>
                </c:pt>
                <c:pt idx="6">
                  <c:v>Escenarios (bajista – alcista) (146,91 – 262,60)</c:v>
                </c:pt>
                <c:pt idx="7">
                  <c:v>DCF con la prima implícita del mercado (4,2 %)</c:v>
                </c:pt>
                <c:pt idx="8">
                  <c:v>Precio actual (404,76)</c:v>
                </c:pt>
              </c:strCache>
            </c:strRef>
          </c:cat>
          <c:val>
            <c:numRef>
              <c:f>Hoja1!$C$2:$C$10</c:f>
              <c:numCache>
                <c:formatCode>#,##0</c:formatCode>
                <c:ptCount val="9"/>
                <c:pt idx="0">
                  <c:v>275.31</c:v>
                </c:pt>
                <c:pt idx="1">
                  <c:v>361</c:v>
                </c:pt>
                <c:pt idx="2">
                  <c:v>74.94999999999999</c:v>
                </c:pt>
                <c:pt idx="3">
                  <c:v>98.59</c:v>
                </c:pt>
                <c:pt idx="4">
                  <c:v>151.04000000000002</c:v>
                </c:pt>
                <c:pt idx="5">
                  <c:v>25.30000000000001</c:v>
                </c:pt>
                <c:pt idx="6">
                  <c:v>115.69000000000003</c:v>
                </c:pt>
                <c:pt idx="7">
                  <c:v>18.53</c:v>
                </c:pt>
                <c:pt idx="8">
                  <c:v>4.039999999999964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Instrumentos y accesorios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1395.8</c:v>
                </c:pt>
                <c:pt idx="1">
                  <c:v>1636.9</c:v>
                </c:pt>
                <c:pt idx="2">
                  <c:v>1962</c:v>
                </c:pt>
                <c:pt idx="3">
                  <c:v>2408.2</c:v>
                </c:pt>
                <c:pt idx="4">
                  <c:v>2455.7</c:v>
                </c:pt>
                <c:pt idx="5">
                  <c:v>3100.5</c:v>
                </c:pt>
                <c:pt idx="6">
                  <c:v>3517.9</c:v>
                </c:pt>
                <c:pt idx="7">
                  <c:v>4276.6</c:v>
                </c:pt>
                <c:pt idx="8">
                  <c:v>5079</c:v>
                </c:pt>
                <c:pt idx="9">
                  <c:v>6018.9</c:v>
                </c:pt>
              </c:numCache>
            </c:numRef>
          </c:val>
        </c:ser>
        <c:ser>
          <c:idx val="1"/>
          <c:order val="1"/>
          <c:tx>
            <c:strRef>
              <c:f>Hoja1!$C$1</c:f>
              <c:strCache>
                <c:ptCount val="1"/>
                <c:pt idx="0">
                  <c:v>Sistemas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800</c:v>
                </c:pt>
                <c:pt idx="1">
                  <c:v>928.4</c:v>
                </c:pt>
                <c:pt idx="2">
                  <c:v>1127.1</c:v>
                </c:pt>
                <c:pt idx="3">
                  <c:v>1346.1</c:v>
                </c:pt>
                <c:pt idx="4">
                  <c:v>1178.9</c:v>
                </c:pt>
                <c:pt idx="5">
                  <c:v>1693.4</c:v>
                </c:pt>
                <c:pt idx="6">
                  <c:v>1680.1</c:v>
                </c:pt>
                <c:pt idx="7">
                  <c:v>1679.7</c:v>
                </c:pt>
                <c:pt idx="8">
                  <c:v>1966</c:v>
                </c:pt>
                <c:pt idx="9">
                  <c:v>2473.7</c:v>
                </c:pt>
              </c:numCache>
            </c:numRef>
          </c:val>
        </c:ser>
        <c:ser>
          <c:idx val="2"/>
          <c:order val="2"/>
          <c:tx>
            <c:strRef>
              <c:f>Hoja1!$D$1</c:f>
              <c:strCache>
                <c:ptCount val="1"/>
                <c:pt idx="0">
                  <c:v>Servicio</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510.7</c:v>
                </c:pt>
                <c:pt idx="1">
                  <c:v>572.9</c:v>
                </c:pt>
                <c:pt idx="2">
                  <c:v>635.1</c:v>
                </c:pt>
                <c:pt idx="3">
                  <c:v>724.2</c:v>
                </c:pt>
                <c:pt idx="4">
                  <c:v>723.8</c:v>
                </c:pt>
                <c:pt idx="5">
                  <c:v>916.2</c:v>
                </c:pt>
                <c:pt idx="6">
                  <c:v>1024.2</c:v>
                </c:pt>
                <c:pt idx="7">
                  <c:v>1167.8</c:v>
                </c:pt>
                <c:pt idx="8">
                  <c:v>1307.1</c:v>
                </c:pt>
                <c:pt idx="9">
                  <c:v>1572.1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Instrumentos y accesorios</c:v>
                </c:pt>
                <c:pt idx="1">
                  <c:v>Sistemas</c:v>
                </c:pt>
                <c:pt idx="2">
                  <c:v>Servicio</c:v>
                </c:pt>
              </c:strCache>
            </c:strRef>
          </c:cat>
          <c:val>
            <c:numRef>
              <c:f>Hoja1!$B$2:$B$4</c:f>
              <c:numCache>
                <c:formatCode>General</c:formatCode>
                <c:ptCount val="3"/>
                <c:pt idx="0">
                  <c:v>59.8</c:v>
                </c:pt>
                <c:pt idx="1">
                  <c:v>24.6</c:v>
                </c:pt>
                <c:pt idx="2">
                  <c:v>15.6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Fuera de EE. UU.</c:v>
                </c:pt>
              </c:strCache>
            </c:strRef>
          </c:cat>
          <c:val>
            <c:numRef>
              <c:f>Hoja1!$B$2:$B$3</c:f>
              <c:numCache>
                <c:formatCode>0"%"</c:formatCode>
                <c:ptCount val="2"/>
                <c:pt idx="0">
                  <c:v>67.7</c:v>
                </c:pt>
                <c:pt idx="1">
                  <c:v>32.3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(robots de cirugía endoscópica, mundo, precio de fábrica; Frost &amp; Sullivan))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2021</c:v>
                </c:pt>
                <c:pt idx="1">
                  <c:v>2022</c:v>
                </c:pt>
                <c:pt idx="2">
                  <c:v>2023</c:v>
                </c:pt>
                <c:pt idx="3">
                  <c:v>2024</c:v>
                </c:pt>
                <c:pt idx="4">
                  <c:v>2025e</c:v>
                </c:pt>
                <c:pt idx="5">
                  <c:v>2026e</c:v>
                </c:pt>
                <c:pt idx="6">
                  <c:v>2027e</c:v>
                </c:pt>
                <c:pt idx="7">
                  <c:v>2028e</c:v>
                </c:pt>
              </c:strCache>
            </c:strRef>
          </c:cat>
          <c:val>
            <c:numRef>
              <c:f>Hoja1!$B$2:$B$9</c:f>
              <c:numCache>
                <c:formatCode>#,##0</c:formatCode>
                <c:ptCount val="8"/>
                <c:pt idx="0">
                  <c:v>6572.8</c:v>
                </c:pt>
                <c:pt idx="1">
                  <c:v>7248.4</c:v>
                </c:pt>
                <c:pt idx="2">
                  <c:v>8449</c:v>
                </c:pt>
                <c:pt idx="3">
                  <c:v>10220.4</c:v>
                </c:pt>
                <c:pt idx="4">
                  <c:v>12449.8</c:v>
                </c:pt>
                <c:pt idx="5">
                  <c:v>14190.7</c:v>
                </c:pt>
                <c:pt idx="6">
                  <c:v>15843</c:v>
                </c:pt>
                <c:pt idx="7">
                  <c:v>18422.3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Intuitive</c:v>
                </c:pt>
                <c:pt idx="1">
                  <c:v>Medtronic (Hugo RAS)</c:v>
                </c:pt>
                <c:pt idx="2">
                  <c:v>Johnson &amp; Johnson MedTech (Ottava)</c:v>
                </c:pt>
                <c:pt idx="3">
                  <c:v>Stryker (Mako)</c:v>
                </c:pt>
                <c:pt idx="4">
                  <c:v>CMR Surgical (Versius)</c:v>
                </c:pt>
                <c:pt idx="5">
                  <c:v>MicroPort MedBot (Toumai)</c:v>
                </c:pt>
                <c:pt idx="6">
                  <c:v>Edge Medical (MP1000 / SP1000)</c:v>
                </c:pt>
                <c:pt idx="7">
                  <c:v>SS Innovations (SSi Mantra)</c:v>
                </c:pt>
                <c:pt idx="8">
                  <c:v>Globus Medical (ExcelsiusGPS)</c:v>
                </c:pt>
              </c:strCache>
            </c:strRef>
          </c:cat>
          <c:val>
            <c:numRef>
              <c:f>Hoja1!$B$2:$B$10</c:f>
              <c:numCache>
                <c:formatCode>0.0"%"</c:formatCode>
                <c:ptCount val="9"/>
                <c:pt idx="0">
                  <c:v>29.3</c:v>
                </c:pt>
                <c:pt idx="1">
                  <c:v>17.8</c:v>
                </c:pt>
                <c:pt idx="2">
                  <c:v>12.2</c:v>
                </c:pt>
                <c:pt idx="3">
                  <c:v>19.5</c:v>
                </c:pt>
                <c:pt idx="4">
                  <c:v>-133.7</c:v>
                </c:pt>
                <c:pt idx="5">
                  <c:v>-42.7</c:v>
                </c:pt>
                <c:pt idx="6">
                  <c:v>-19.3</c:v>
                </c:pt>
                <c:pt idx="7">
                  <c:v>-19.3</c:v>
                </c:pt>
                <c:pt idx="8">
                  <c:v>16.3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2706.5</c:v>
                </c:pt>
                <c:pt idx="1">
                  <c:v>3138.2</c:v>
                </c:pt>
                <c:pt idx="2">
                  <c:v>3724.2</c:v>
                </c:pt>
                <c:pt idx="3">
                  <c:v>4478.5</c:v>
                </c:pt>
                <c:pt idx="4">
                  <c:v>4358.4</c:v>
                </c:pt>
                <c:pt idx="5">
                  <c:v>5710.1</c:v>
                </c:pt>
                <c:pt idx="6">
                  <c:v>6222.2</c:v>
                </c:pt>
                <c:pt idx="7">
                  <c:v>7124.1</c:v>
                </c:pt>
                <c:pt idx="8">
                  <c:v>8352.1</c:v>
                </c:pt>
                <c:pt idx="9">
                  <c:v>10064.7</c:v>
                </c:pt>
                <c:pt idx="10">
                  <c:v>11756</c:v>
                </c:pt>
                <c:pt idx="11">
                  <c:v>13284</c:v>
                </c:pt>
                <c:pt idx="12">
                  <c:v>14944</c:v>
                </c:pt>
                <c:pt idx="13">
                  <c:v>16588</c:v>
                </c:pt>
                <c:pt idx="14">
                  <c:v>18247</c:v>
                </c:pt>
                <c:pt idx="15">
                  <c:v>19889</c:v>
                </c:pt>
                <c:pt idx="16">
                  <c:v>21480</c:v>
                </c:pt>
                <c:pt idx="17">
                  <c:v>22984</c:v>
                </c:pt>
                <c:pt idx="18">
                  <c:v>24363</c:v>
                </c:pt>
                <c:pt idx="19">
                  <c:v>25581</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1041.8</c:v>
                </c:pt>
                <c:pt idx="1">
                  <c:v>1162</c:v>
                </c:pt>
                <c:pt idx="2">
                  <c:v>1322.2</c:v>
                </c:pt>
                <c:pt idx="3">
                  <c:v>1577.5</c:v>
                </c:pt>
                <c:pt idx="4">
                  <c:v>1326</c:v>
                </c:pt>
                <c:pt idx="5">
                  <c:v>2131.2</c:v>
                </c:pt>
                <c:pt idx="6">
                  <c:v>1942.9</c:v>
                </c:pt>
                <c:pt idx="7">
                  <c:v>2188.6</c:v>
                </c:pt>
                <c:pt idx="8">
                  <c:v>2810.9</c:v>
                </c:pt>
                <c:pt idx="9">
                  <c:v>3573.4</c:v>
                </c:pt>
                <c:pt idx="10">
                  <c:v>4467</c:v>
                </c:pt>
                <c:pt idx="11">
                  <c:v>5114</c:v>
                </c:pt>
                <c:pt idx="12">
                  <c:v>5828</c:v>
                </c:pt>
                <c:pt idx="13">
                  <c:v>6469</c:v>
                </c:pt>
                <c:pt idx="14">
                  <c:v>7116</c:v>
                </c:pt>
                <c:pt idx="15">
                  <c:v>7757</c:v>
                </c:pt>
                <c:pt idx="16">
                  <c:v>8377</c:v>
                </c:pt>
                <c:pt idx="17">
                  <c:v>8964</c:v>
                </c:pt>
                <c:pt idx="18">
                  <c:v>9502</c:v>
                </c:pt>
                <c:pt idx="19">
                  <c:v>9977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69.9</c:v>
                </c:pt>
                <c:pt idx="1">
                  <c:v>70.2</c:v>
                </c:pt>
                <c:pt idx="2">
                  <c:v>69.9</c:v>
                </c:pt>
                <c:pt idx="3">
                  <c:v>69.4</c:v>
                </c:pt>
                <c:pt idx="4">
                  <c:v>65.6</c:v>
                </c:pt>
                <c:pt idx="5">
                  <c:v>69.3</c:v>
                </c:pt>
                <c:pt idx="6">
                  <c:v>67.4</c:v>
                </c:pt>
                <c:pt idx="7">
                  <c:v>66.4</c:v>
                </c:pt>
                <c:pt idx="8">
                  <c:v>67.5</c:v>
                </c:pt>
                <c:pt idx="9">
                  <c:v>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38.5</c:v>
                </c:pt>
                <c:pt idx="1">
                  <c:v>37</c:v>
                </c:pt>
                <c:pt idx="2">
                  <c:v>35.5</c:v>
                </c:pt>
                <c:pt idx="3">
                  <c:v>35.2</c:v>
                </c:pt>
                <c:pt idx="4">
                  <c:v>30.4</c:v>
                </c:pt>
                <c:pt idx="5">
                  <c:v>37.3</c:v>
                </c:pt>
                <c:pt idx="6">
                  <c:v>31.2</c:v>
                </c:pt>
                <c:pt idx="7">
                  <c:v>30.7</c:v>
                </c:pt>
                <c:pt idx="8">
                  <c:v>33.7</c:v>
                </c:pt>
                <c:pt idx="9">
                  <c:v>35.5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35.1</c:v>
                </c:pt>
                <c:pt idx="1">
                  <c:v>33.9</c:v>
                </c:pt>
                <c:pt idx="2">
                  <c:v>32.2</c:v>
                </c:pt>
                <c:pt idx="3">
                  <c:v>30.7</c:v>
                </c:pt>
                <c:pt idx="4">
                  <c:v>24.1</c:v>
                </c:pt>
                <c:pt idx="5">
                  <c:v>31.9</c:v>
                </c:pt>
                <c:pt idx="6">
                  <c:v>25.3</c:v>
                </c:pt>
                <c:pt idx="7">
                  <c:v>24.8</c:v>
                </c:pt>
                <c:pt idx="8">
                  <c:v>28.1</c:v>
                </c:pt>
                <c:pt idx="9">
                  <c:v>29.3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27.3</c:v>
                </c:pt>
                <c:pt idx="1">
                  <c:v>21.4</c:v>
                </c:pt>
                <c:pt idx="2">
                  <c:v>30.3</c:v>
                </c:pt>
                <c:pt idx="3">
                  <c:v>30.8</c:v>
                </c:pt>
                <c:pt idx="4">
                  <c:v>24.3</c:v>
                </c:pt>
                <c:pt idx="5">
                  <c:v>29.9</c:v>
                </c:pt>
                <c:pt idx="6">
                  <c:v>21.3</c:v>
                </c:pt>
                <c:pt idx="7">
                  <c:v>25.2</c:v>
                </c:pt>
                <c:pt idx="8">
                  <c:v>27.8</c:v>
                </c:pt>
                <c:pt idx="9">
                  <c:v>28.4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16.9</c:v>
                </c:pt>
                <c:pt idx="1">
                  <c:v>25.2</c:v>
                </c:pt>
                <c:pt idx="2">
                  <c:v>19.2</c:v>
                </c:pt>
                <c:pt idx="3">
                  <c:v>21.4</c:v>
                </c:pt>
                <c:pt idx="4">
                  <c:v>22.9</c:v>
                </c:pt>
                <c:pt idx="5">
                  <c:v>18.8</c:v>
                </c:pt>
                <c:pt idx="6">
                  <c:v>23</c:v>
                </c:pt>
                <c:pt idx="7">
                  <c:v>18.5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58</c:v>
                </c:pt>
                <c:pt idx="1">
                  <c:v>59</c:v>
                </c:pt>
                <c:pt idx="2">
                  <c:v>67</c:v>
                </c:pt>
                <c:pt idx="3">
                  <c:v>53</c:v>
                </c:pt>
                <c:pt idx="4">
                  <c:v>54</c:v>
                </c:pt>
                <c:pt idx="5">
                  <c:v>50</c:v>
                </c:pt>
                <c:pt idx="6">
                  <c:v>55</c:v>
                </c:pt>
                <c:pt idx="7">
                  <c:v>58</c:v>
                </c:pt>
                <c:pt idx="8">
                  <c:v>54</c:v>
                </c:pt>
                <c:pt idx="9">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c:v>
                </c:pt>
                <c:pt idx="1">
                  <c:v>94</c:v>
                </c:pt>
                <c:pt idx="2">
                  <c:v>133</c:v>
                </c:pt>
                <c:pt idx="3">
                  <c:v>159</c:v>
                </c:pt>
                <c:pt idx="4">
                  <c:v>147</c:v>
                </c:pt>
                <c:pt idx="5">
                  <c:v>122</c:v>
                </c:pt>
                <c:pt idx="6">
                  <c:v>161</c:v>
                </c:pt>
                <c:pt idx="7">
                  <c:v>186</c:v>
                </c:pt>
                <c:pt idx="8">
                  <c:v>200</c:v>
                </c:pt>
                <c:pt idx="9">
                  <c:v>196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31</c:v>
                </c:pt>
                <c:pt idx="1">
                  <c:v>32</c:v>
                </c:pt>
                <c:pt idx="2">
                  <c:v>33</c:v>
                </c:pt>
                <c:pt idx="3">
                  <c:v>33</c:v>
                </c:pt>
                <c:pt idx="4">
                  <c:v>20</c:v>
                </c:pt>
                <c:pt idx="5">
                  <c:v>25</c:v>
                </c:pt>
                <c:pt idx="6">
                  <c:v>26</c:v>
                </c:pt>
                <c:pt idx="7">
                  <c:v>29</c:v>
                </c:pt>
                <c:pt idx="8">
                  <c:v>26</c:v>
                </c:pt>
                <c:pt idx="9">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1033.1</c:v>
                </c:pt>
                <c:pt idx="1">
                  <c:v>953.2</c:v>
                </c:pt>
                <c:pt idx="2">
                  <c:v>982.1999999999999</c:v>
                </c:pt>
                <c:pt idx="3">
                  <c:v>1172.6</c:v>
                </c:pt>
                <c:pt idx="4">
                  <c:v>1143.3</c:v>
                </c:pt>
                <c:pt idx="5">
                  <c:v>1749.9</c:v>
                </c:pt>
                <c:pt idx="6">
                  <c:v>958.4</c:v>
                </c:pt>
                <c:pt idx="7">
                  <c:v>749.5999999999999</c:v>
                </c:pt>
                <c:pt idx="8">
                  <c:v>1303.8</c:v>
                </c:pt>
                <c:pt idx="9">
                  <c:v>2490.7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738.3</c:v>
                </c:pt>
                <c:pt idx="1">
                  <c:v>670.9</c:v>
                </c:pt>
                <c:pt idx="2">
                  <c:v>1127.9</c:v>
                </c:pt>
                <c:pt idx="3">
                  <c:v>1379.3</c:v>
                </c:pt>
                <c:pt idx="4">
                  <c:v>1060.6</c:v>
                </c:pt>
                <c:pt idx="5">
                  <c:v>1704.6</c:v>
                </c:pt>
                <c:pt idx="6">
                  <c:v>1322.3</c:v>
                </c:pt>
                <c:pt idx="7">
                  <c:v>1798</c:v>
                </c:pt>
                <c:pt idx="8">
                  <c:v>2322.6</c:v>
                </c:pt>
                <c:pt idx="9">
                  <c:v>2856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75.7</c:v>
                </c:pt>
                <c:pt idx="1">
                  <c:v>68.9</c:v>
                </c:pt>
                <c:pt idx="2">
                  <c:v>75.7</c:v>
                </c:pt>
                <c:pt idx="3">
                  <c:v>57.9</c:v>
                </c:pt>
                <c:pt idx="4">
                  <c:v>33.8</c:v>
                </c:pt>
                <c:pt idx="5">
                  <c:v>52.1</c:v>
                </c:pt>
                <c:pt idx="6">
                  <c:v>33.5</c:v>
                </c:pt>
                <c:pt idx="7">
                  <c:v>30.9</c:v>
                </c:pt>
                <c:pt idx="8">
                  <c:v>29.4</c:v>
                </c:pt>
                <c:pt idx="9">
                  <c:v>30.2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10.1</c:v>
                </c:pt>
                <c:pt idx="1">
                  <c:v>10.1</c:v>
                </c:pt>
                <c:pt idx="2">
                  <c:v>10.1</c:v>
                </c:pt>
                <c:pt idx="3">
                  <c:v>10.1</c:v>
                </c:pt>
                <c:pt idx="4">
                  <c:v>10.1</c:v>
                </c:pt>
                <c:pt idx="5">
                  <c:v>10.1</c:v>
                </c:pt>
                <c:pt idx="6">
                  <c:v>10.1</c:v>
                </c:pt>
                <c:pt idx="7">
                  <c:v>10.1</c:v>
                </c:pt>
                <c:pt idx="8">
                  <c:v>10.1</c:v>
                </c:pt>
                <c:pt idx="9">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12.8</c:v>
                </c:pt>
                <c:pt idx="1">
                  <c:v>12.7</c:v>
                </c:pt>
                <c:pt idx="2">
                  <c:v>19.7</c:v>
                </c:pt>
                <c:pt idx="3">
                  <c:v>18.5</c:v>
                </c:pt>
                <c:pt idx="4">
                  <c:v>11.8</c:v>
                </c:pt>
                <c:pt idx="5">
                  <c:v>15.8</c:v>
                </c:pt>
                <c:pt idx="6">
                  <c:v>11.5</c:v>
                </c:pt>
                <c:pt idx="7">
                  <c:v>14.8</c:v>
                </c:pt>
                <c:pt idx="8">
                  <c:v>15.6</c:v>
                </c:pt>
                <c:pt idx="9">
                  <c:v>16.7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-4.64</c:v>
                </c:pt>
                <c:pt idx="1">
                  <c:v>-3.31</c:v>
                </c:pt>
                <c:pt idx="2">
                  <c:v>-3.66</c:v>
                </c:pt>
                <c:pt idx="3">
                  <c:v>-3.66</c:v>
                </c:pt>
                <c:pt idx="4">
                  <c:v>-5.12</c:v>
                </c:pt>
                <c:pt idx="5">
                  <c:v>-4</c:v>
                </c:pt>
                <c:pt idx="6">
                  <c:v>-3.42</c:v>
                </c:pt>
                <c:pt idx="7">
                  <c:v>-3.31</c:v>
                </c:pt>
                <c:pt idx="8">
                  <c:v>-3.09</c:v>
                </c:pt>
                <c:pt idx="9">
                  <c:v>-2.48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88.2</c:v>
                </c:pt>
                <c:pt idx="3">
                  <c:v>82.3</c:v>
                </c:pt>
                <c:pt idx="4">
                  <c:v>122.7</c:v>
                </c:pt>
                <c:pt idx="5">
                  <c:v>44.6</c:v>
                </c:pt>
                <c:pt idx="6">
                  <c:v>17.3</c:v>
                </c:pt>
                <c:pt idx="7">
                  <c:v>11.8</c:v>
                </c:pt>
                <c:pt idx="8">
                  <c:v>1.5</c:v>
                </c:pt>
                <c:pt idx="9">
                  <c:v>13.9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42.5</c:v>
                </c:pt>
                <c:pt idx="1">
                  <c:v>2274</c:v>
                </c:pt>
                <c:pt idx="2">
                  <c:v>0</c:v>
                </c:pt>
                <c:pt idx="3">
                  <c:v>269.5</c:v>
                </c:pt>
                <c:pt idx="4">
                  <c:v>134.3</c:v>
                </c:pt>
                <c:pt idx="5">
                  <c:v>0</c:v>
                </c:pt>
                <c:pt idx="6">
                  <c:v>2607.4</c:v>
                </c:pt>
                <c:pt idx="7">
                  <c:v>416.3</c:v>
                </c:pt>
                <c:pt idx="8">
                  <c:v>0</c:v>
                </c:pt>
                <c:pt idx="9">
                  <c:v>2295.3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 (todas sus gestoras)</c:v>
                </c:pt>
                <c:pt idx="1">
                  <c:v>BlackRock, Inc.</c:v>
                </c:pt>
                <c:pt idx="2">
                  <c:v>T. Rowe Price Associates</c:v>
                </c:pt>
                <c:pt idx="3">
                  <c:v>Consejeros y directivos (17 personas)</c:v>
                </c:pt>
                <c:pt idx="4">
                  <c:v>Autocartera</c:v>
                </c:pt>
              </c:strCache>
            </c:strRef>
          </c:cat>
          <c:val>
            <c:numRef>
              <c:f>Hoja1!$B$2:$B$6</c:f>
              <c:numCache>
                <c:formatCode>0.0"%"</c:formatCode>
                <c:ptCount val="5"/>
                <c:pt idx="0">
                  <c:v>9.5</c:v>
                </c:pt>
                <c:pt idx="1">
                  <c:v>8.6</c:v>
                </c:pt>
                <c:pt idx="2">
                  <c:v>4.8</c:v>
                </c:pt>
                <c:pt idx="3">
                  <c:v>0.6</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16.1</c:v>
                </c:pt>
                <c:pt idx="1">
                  <c:v>72.6</c:v>
                </c:pt>
                <c:pt idx="2">
                  <c:v>31.2</c:v>
                </c:pt>
                <c:pt idx="3">
                  <c:v>23.4</c:v>
                </c:pt>
                <c:pt idx="4">
                  <c:v>38.4</c:v>
                </c:pt>
                <c:pt idx="5">
                  <c:v>31.8</c:v>
                </c:pt>
                <c:pt idx="6">
                  <c:v>-26.1</c:v>
                </c:pt>
                <c:pt idx="7">
                  <c:v>27.1</c:v>
                </c:pt>
                <c:pt idx="8">
                  <c:v>54.7</c:v>
                </c:pt>
                <c:pt idx="9">
                  <c:v>8.5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19.3</c:v>
                </c:pt>
                <c:pt idx="1">
                  <c:v>33.2</c:v>
                </c:pt>
                <c:pt idx="2">
                  <c:v>39.4</c:v>
                </c:pt>
                <c:pt idx="3">
                  <c:v>41.1</c:v>
                </c:pt>
                <c:pt idx="4">
                  <c:v>69.1</c:v>
                </c:pt>
                <c:pt idx="5">
                  <c:v>57.7</c:v>
                </c:pt>
                <c:pt idx="6">
                  <c:v>46.1</c:v>
                </c:pt>
                <c:pt idx="7">
                  <c:v>51.8</c:v>
                </c:pt>
                <c:pt idx="8">
                  <c:v>64.2</c:v>
                </c:pt>
                <c:pt idx="9">
                  <c:v>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49</c:v>
                </c:pt>
                <c:pt idx="1">
                  <c:v>49</c:v>
                </c:pt>
                <c:pt idx="2">
                  <c:v>49</c:v>
                </c:pt>
                <c:pt idx="3">
                  <c:v>49</c:v>
                </c:pt>
                <c:pt idx="4">
                  <c:v>49</c:v>
                </c:pt>
                <c:pt idx="5">
                  <c:v>49</c:v>
                </c:pt>
                <c:pt idx="6">
                  <c:v>49</c:v>
                </c:pt>
                <c:pt idx="7">
                  <c:v>49</c:v>
                </c:pt>
                <c:pt idx="8">
                  <c:v>49</c:v>
                </c:pt>
                <c:pt idx="9">
                  <c:v>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Intuitive</c:v>
                </c:pt>
                <c:pt idx="1">
                  <c:v>Stryker</c:v>
                </c:pt>
                <c:pt idx="2">
                  <c:v>Boston Scientific</c:v>
                </c:pt>
                <c:pt idx="3">
                  <c:v>Medtronic</c:v>
                </c:pt>
                <c:pt idx="4">
                  <c:v>Abbott Laboratories</c:v>
                </c:pt>
                <c:pt idx="5">
                  <c:v>Edwards Lifesciences</c:v>
                </c:pt>
                <c:pt idx="6">
                  <c:v>Dexcom</c:v>
                </c:pt>
                <c:pt idx="7">
                  <c:v>Insulet</c:v>
                </c:pt>
                <c:pt idx="8">
                  <c:v>IDEXX Laboratories</c:v>
                </c:pt>
                <c:pt idx="9">
                  <c:v>ResMed</c:v>
                </c:pt>
                <c:pt idx="10">
                  <c:v>Zimmer Biomet</c:v>
                </c:pt>
              </c:strCache>
            </c:strRef>
          </c:cat>
          <c:val>
            <c:numRef>
              <c:f>Hoja1!$B$2:$B$12</c:f>
              <c:numCache>
                <c:formatCode>0.0"x"</c:formatCode>
                <c:ptCount val="11"/>
                <c:pt idx="0">
                  <c:v>28.6</c:v>
                </c:pt>
                <c:pt idx="1">
                  <c:v>14.2</c:v>
                </c:pt>
                <c:pt idx="2">
                  <c:v>10.9</c:v>
                </c:pt>
                <c:pt idx="3">
                  <c:v>11.7</c:v>
                </c:pt>
                <c:pt idx="4">
                  <c:v>14</c:v>
                </c:pt>
                <c:pt idx="5">
                  <c:v>19.9</c:v>
                </c:pt>
                <c:pt idx="6">
                  <c:v>18.5</c:v>
                </c:pt>
                <c:pt idx="7">
                  <c:v>12.1</c:v>
                </c:pt>
                <c:pt idx="8">
                  <c:v>22.9</c:v>
                </c:pt>
                <c:pt idx="9">
                  <c:v>13.3</c:v>
                </c:pt>
                <c:pt idx="10">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Intuitive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13.2</c:v>
                </c:pt>
              </c:numCache>
            </c:numRef>
          </c:xVal>
          <c:yVal>
            <c:numRef>
              <c:f>Hoja1!$C$2</c:f>
              <c:numCache>
                <c:formatCode>0.0"x"</c:formatCode>
                <c:ptCount val="1"/>
                <c:pt idx="0">
                  <c:v>28.6</c:v>
                </c:pt>
              </c:numCache>
            </c:numRef>
          </c:yVal>
          <c:smooth val="0"/>
        </c:ser>
        <c:ser>
          <c:idx val="1"/>
          <c:order val="1"/>
          <c:tx>
            <c:strRef>
              <c:f>Hoja1!$A$3</c:f>
              <c:strCache>
                <c:ptCount val="1"/>
                <c:pt idx="0">
                  <c:v>Stryker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12.3</c:v>
                </c:pt>
              </c:numCache>
            </c:numRef>
          </c:xVal>
          <c:yVal>
            <c:numRef>
              <c:f>Hoja1!$C$3</c:f>
              <c:numCache>
                <c:formatCode>0.0"x"</c:formatCode>
                <c:ptCount val="1"/>
                <c:pt idx="0">
                  <c:v>14.2</c:v>
                </c:pt>
              </c:numCache>
            </c:numRef>
          </c:yVal>
          <c:smooth val="0"/>
        </c:ser>
        <c:ser>
          <c:idx val="2"/>
          <c:order val="2"/>
          <c:tx>
            <c:strRef>
              <c:f>Hoja1!$A$4</c:f>
              <c:strCache>
                <c:ptCount val="1"/>
                <c:pt idx="0">
                  <c:v>Boston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4.9</c:v>
                </c:pt>
              </c:numCache>
            </c:numRef>
          </c:xVal>
          <c:yVal>
            <c:numRef>
              <c:f>Hoja1!$C$4</c:f>
              <c:numCache>
                <c:formatCode>0.0"x"</c:formatCode>
                <c:ptCount val="1"/>
                <c:pt idx="0">
                  <c:v>10.9</c:v>
                </c:pt>
              </c:numCache>
            </c:numRef>
          </c:yVal>
          <c:smooth val="0"/>
        </c:ser>
        <c:ser>
          <c:idx val="3"/>
          <c:order val="3"/>
          <c:tx>
            <c:strRef>
              <c:f>Hoja1!$A$5</c:f>
              <c:strCache>
                <c:ptCount val="1"/>
                <c:pt idx="0">
                  <c:v>Medtronic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5.5</c:v>
                </c:pt>
              </c:numCache>
            </c:numRef>
          </c:xVal>
          <c:yVal>
            <c:numRef>
              <c:f>Hoja1!$C$5</c:f>
              <c:numCache>
                <c:formatCode>0.0"x"</c:formatCode>
                <c:ptCount val="1"/>
                <c:pt idx="0">
                  <c:v>11.7</c:v>
                </c:pt>
              </c:numCache>
            </c:numRef>
          </c:yVal>
          <c:smooth val="0"/>
        </c:ser>
        <c:ser>
          <c:idx val="4"/>
          <c:order val="4"/>
          <c:tx>
            <c:strRef>
              <c:f>Hoja1!$A$6</c:f>
              <c:strCache>
                <c:ptCount val="1"/>
                <c:pt idx="0">
                  <c:v>Abbott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14.9</c:v>
                </c:pt>
              </c:numCache>
            </c:numRef>
          </c:xVal>
          <c:yVal>
            <c:numRef>
              <c:f>Hoja1!$C$6</c:f>
              <c:numCache>
                <c:formatCode>0.0"x"</c:formatCode>
                <c:ptCount val="1"/>
                <c:pt idx="0">
                  <c:v>14</c:v>
                </c:pt>
              </c:numCache>
            </c:numRef>
          </c:yVal>
          <c:smooth val="0"/>
        </c:ser>
        <c:ser>
          <c:idx val="5"/>
          <c:order val="5"/>
          <c:tx>
            <c:strRef>
              <c:f>Hoja1!$A$7</c:f>
              <c:strCache>
                <c:ptCount val="1"/>
                <c:pt idx="0">
                  <c:v>Edwards Lifesciences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11.7</c:v>
                </c:pt>
              </c:numCache>
            </c:numRef>
          </c:xVal>
          <c:yVal>
            <c:numRef>
              <c:f>Hoja1!$C$7</c:f>
              <c:numCache>
                <c:formatCode>0.0"x"</c:formatCode>
                <c:ptCount val="1"/>
                <c:pt idx="0">
                  <c:v>19.9</c:v>
                </c:pt>
              </c:numCache>
            </c:numRef>
          </c:yVal>
          <c:smooth val="0"/>
        </c:ser>
        <c:ser>
          <c:idx val="6"/>
          <c:order val="6"/>
          <c:tx>
            <c:strRef>
              <c:f>Hoja1!$A$8</c:f>
              <c:strCache>
                <c:ptCount val="1"/>
                <c:pt idx="0">
                  <c:v>Dexcom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14</c:v>
                </c:pt>
              </c:numCache>
            </c:numRef>
          </c:xVal>
          <c:yVal>
            <c:numRef>
              <c:f>Hoja1!$C$8</c:f>
              <c:numCache>
                <c:formatCode>0.0"x"</c:formatCode>
                <c:ptCount val="1"/>
                <c:pt idx="0">
                  <c:v>18.5</c:v>
                </c:pt>
              </c:numCache>
            </c:numRef>
          </c:yVal>
          <c:smooth val="0"/>
        </c:ser>
        <c:ser>
          <c:idx val="7"/>
          <c:order val="7"/>
          <c:tx>
            <c:strRef>
              <c:f>Hoja1!$A$9</c:f>
              <c:strCache>
                <c:ptCount val="1"/>
                <c:pt idx="0">
                  <c:v>Insulet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18.9</c:v>
                </c:pt>
              </c:numCache>
            </c:numRef>
          </c:xVal>
          <c:yVal>
            <c:numRef>
              <c:f>Hoja1!$C$9</c:f>
              <c:numCache>
                <c:formatCode>0.0"x"</c:formatCode>
                <c:ptCount val="1"/>
                <c:pt idx="0">
                  <c:v>12.1</c:v>
                </c:pt>
              </c:numCache>
            </c:numRef>
          </c:yVal>
          <c:smooth val="0"/>
        </c:ser>
        <c:ser>
          <c:idx val="8"/>
          <c:order val="8"/>
          <c:tx>
            <c:strRef>
              <c:f>Hoja1!$A$10</c:f>
              <c:strCache>
                <c:ptCount val="1"/>
                <c:pt idx="0">
                  <c:v>IDEXX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10.7</c:v>
                </c:pt>
              </c:numCache>
            </c:numRef>
          </c:xVal>
          <c:yVal>
            <c:numRef>
              <c:f>Hoja1!$C$10</c:f>
              <c:numCache>
                <c:formatCode>0.0"x"</c:formatCode>
                <c:ptCount val="1"/>
                <c:pt idx="0">
                  <c:v>22.9</c:v>
                </c:pt>
              </c:numCache>
            </c:numRef>
          </c:yVal>
          <c:smooth val="0"/>
        </c:ser>
        <c:ser>
          <c:idx val="9"/>
          <c:order val="9"/>
          <c:tx>
            <c:strRef>
              <c:f>Hoja1!$A$11</c:f>
              <c:strCache>
                <c:ptCount val="1"/>
                <c:pt idx="0">
                  <c:v>ResMed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4.4</c:v>
                </c:pt>
              </c:numCache>
            </c:numRef>
          </c:xVal>
          <c:yVal>
            <c:numRef>
              <c:f>Hoja1!$C$11</c:f>
              <c:numCache>
                <c:formatCode>0.0"x"</c:formatCode>
                <c:ptCount val="1"/>
                <c:pt idx="0">
                  <c:v>13.3</c:v>
                </c:pt>
              </c:numCache>
            </c:numRef>
          </c:yVal>
          <c:smooth val="0"/>
        </c:ser>
        <c:ser>
          <c:idx val="10"/>
          <c:order val="10"/>
          <c:tx>
            <c:strRef>
              <c:f>Hoja1!$A$12</c:f>
              <c:strCache>
                <c:ptCount val="1"/>
                <c:pt idx="0">
                  <c:v>Zimmer Biomet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Hoja1!$B$12</c:f>
              <c:numCache>
                <c:formatCode>0"%"</c:formatCode>
                <c:ptCount val="1"/>
                <c:pt idx="0">
                  <c:v>3.8</c:v>
                </c:pt>
              </c:numCache>
            </c:numRef>
          </c:xVal>
          <c:yVal>
            <c:numRef>
              <c:f>Hoja1!$C$12</c:f>
              <c:numCache>
                <c:formatCode>0.0"x"</c:formatCode>
                <c:ptCount val="1"/>
                <c:pt idx="0">
                  <c:v>8.4</c:v>
                </c:pt>
              </c:numCache>
            </c:numRef>
          </c:yVal>
          <c:smooth val="0"/>
        </c:ser>
        <c:axId val="10"/>
        <c:axId val="20"/>
      </c:scatterChart>
      <c:valAx>
        <c:axId val="10"/>
        <c:scaling>
          <c:orientation val="minMax"/>
          <c:max val="2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1821</c:v>
                </c:pt>
                <c:pt idx="1">
                  <c:v>2246</c:v>
                </c:pt>
                <c:pt idx="2">
                  <c:v>2686</c:v>
                </c:pt>
                <c:pt idx="3">
                  <c:v>2975</c:v>
                </c:pt>
                <c:pt idx="4">
                  <c:v>3416</c:v>
                </c:pt>
                <c:pt idx="5">
                  <c:v>3687</c:v>
                </c:pt>
                <c:pt idx="6">
                  <c:v>4144</c:v>
                </c:pt>
                <c:pt idx="7">
                  <c:v>4387</c:v>
                </c:pt>
                <c:pt idx="8">
                  <c:v>4957</c:v>
                </c:pt>
                <c:pt idx="9">
                  <c:v>5151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21045</c:v>
                </c:pt>
                <c:pt idx="1">
                  <c:v>42033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404,76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146.91</c:v>
                </c:pt>
                <c:pt idx="1">
                  <c:v>200.29</c:v>
                </c:pt>
                <c:pt idx="2">
                  <c:v>262.6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404,76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(188,95 – 214,25)</c:v>
                </c:pt>
                <c:pt idx="6">
                  <c:v>Escenarios (bajista – alcista) (146,91 – 262,60)</c:v>
                </c:pt>
                <c:pt idx="7">
                  <c:v>DCF con la prima implícita del mercado (4,2 %)</c:v>
                </c:pt>
                <c:pt idx="8">
                  <c:v>Precio actual (404,76)</c:v>
                </c:pt>
              </c:strCache>
            </c:strRef>
          </c:cat>
          <c:val>
            <c:numRef>
              <c:f>Hoja1!$B$2:$B$10</c:f>
              <c:numCache>
                <c:formatCode>#,##0</c:formatCode>
                <c:ptCount val="9"/>
                <c:pt idx="0">
                  <c:v>328.57</c:v>
                </c:pt>
                <c:pt idx="1">
                  <c:v>324</c:v>
                </c:pt>
                <c:pt idx="2">
                  <c:v>180.59</c:v>
                </c:pt>
                <c:pt idx="3">
                  <c:v>151.75</c:v>
                </c:pt>
                <c:pt idx="4">
                  <c:v>237.31</c:v>
                </c:pt>
                <c:pt idx="5">
                  <c:v>188.95</c:v>
                </c:pt>
                <c:pt idx="6">
                  <c:v>146.91</c:v>
                </c:pt>
                <c:pt idx="7">
                  <c:v>191.5</c:v>
                </c:pt>
                <c:pt idx="8">
                  <c:v>402.74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(188,95 – 214,25)</c:v>
                </c:pt>
                <c:pt idx="6">
                  <c:v>Escenarios (bajista – alcista) (146,91 – 262,60)</c:v>
                </c:pt>
                <c:pt idx="7">
                  <c:v>DCF con la prima implícita del mercado (4,2 %)</c:v>
                </c:pt>
                <c:pt idx="8">
                  <c:v>Precio actual (404,76)</c:v>
                </c:pt>
              </c:strCache>
            </c:strRef>
          </c:cat>
          <c:val>
            <c:numRef>
              <c:f>Hoja1!$C$2:$C$10</c:f>
              <c:numCache>
                <c:formatCode>#,##0</c:formatCode>
                <c:ptCount val="9"/>
                <c:pt idx="0">
                  <c:v>275.31</c:v>
                </c:pt>
                <c:pt idx="1">
                  <c:v>361</c:v>
                </c:pt>
                <c:pt idx="2">
                  <c:v>74.94999999999999</c:v>
                </c:pt>
                <c:pt idx="3">
                  <c:v>98.59</c:v>
                </c:pt>
                <c:pt idx="4">
                  <c:v>151.04000000000002</c:v>
                </c:pt>
                <c:pt idx="5">
                  <c:v>25.30000000000001</c:v>
                </c:pt>
                <c:pt idx="6">
                  <c:v>115.69000000000003</c:v>
                </c:pt>
                <c:pt idx="7">
                  <c:v>18.53</c:v>
                </c:pt>
                <c:pt idx="8">
                  <c:v>4.039999999999964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