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Bytes Technology Group plc</w:t>
      </w:r>
    </w:p>
    <w:p>
      <w:pPr>
        <w:spacing w:after="60"/>
        <w:rPr>
          <w:color w:val="52514E"/>
          <w:sz w:val="22"/>
          <w:szCs w:val="22"/>
        </w:rPr>
      </w:pPr>
      <w:r>
        <w:rPr>
          <w:color w:val="52514E"/>
          <w:sz w:val="22"/>
          <w:szCs w:val="22"/>
        </w:rPr>
        <w:t xml:space="preserve">BYIT · London Stock Exchange (Main Market); secundaria en Johannesburgo (BYI) · ISIN GB00BMH18Q19 · Tecnología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GBP</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4,50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4,97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+12,7 % (base +18,4 %)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3,55 GBP · mercado 3,82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1.074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13,3x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-0,9x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Bytes Technology Group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BYIT / GB00BMH18Q19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(Main Market); secundaria en Johannesburgo (BYI)</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250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de la información / Servicios de TI / distribución de software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Leatherhead (Surrey) · 1982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https://www.bytesplc.com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4,50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 – 4,94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1.074 M GBP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1.010 M GBP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3,2 M GBP/día (3 meses; 743.531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may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4,97 GBP</w:t>
      </w:r>
      <w:r>
        <w:t xml:space="preserve"> frente a 4,50 · Rentabilidad a 12 meses </w:t>
      </w:r>
      <w:r>
        <w:rPr>
          <w:b/>
          <w:bCs/>
        </w:rPr>
        <w:t xml:space="preserve">+12,7 % (base +18,4 %)</w:t>
      </w:r>
      <w:r>
        <w:t xml:space="preserve"> · Valor intrínseco 3,55 GBP · con la prima implícita del mercado: 3,82 (-15,2 %) · Alcista / bajista -10,7 % / -44,0 %</w:t>
      </w:r>
    </w:p>
    <w:p>
      <w:pPr>
        <w:spacing w:after="100"/>
      </w:pPr>
      <w:r>
        <w:rPr>
          <w:b/>
        </w:rPr>
        <w:t xml:space="preserve">La recomendación y por qué.</w:t>
      </w:r>
      <w:r>
        <w:t xml:space="preserve"> Mantener, con convicción media. El objetivo ponderado a 12 meses es de 4,97 GBP, un 12,7 % de rentabilidad con dividendos sobre los 4,504 del cierre del 19-oct (18,4 % en el caso base), por debajo del 15 % que pide el Comprar; el valor intrínseco es de 3,55 GBP, un 21,2 % por debajo del precio, y el objetivo medio de los analistas, 4,72. A 12 meses la asimetría es aceptable (+45,9 % frente a −31,7 %), pero no hay margen de seguridad. La convicción es media porque las dos reglas coinciden y la rentabilidad está lejos de sus umbrales; subiría a favor de comprar si el precio bajara de 3,55 GBP o si el FY2027 cerrara con el resultado creciendo al ritmo del beneficio bruto.</w:t>
      </w:r>
    </w:p>
    <w:p>
      <w:pPr>
        <w:spacing w:after="100"/>
      </w:pPr>
      <w:r>
        <w:rPr>
          <w:b/>
        </w:rPr>
        <w:t xml:space="preserve">El negocio.</w:t>
      </w:r>
      <w:r>
        <w:t xml:space="preserve"> Bytes revende software (Microsoft es el 50 % del beneficio bruto) y servicios de seguridad y nube a 5.900 organizaciones británicas, el 70 % de la facturación al sector público [1, 5]. No necesita capital: el circulante lo pagan los proveedores y el rendimiento sobre el capital fijo es del 78,2 %, muy por encima del WACC del 10,81 %. Su debilidad es que no fija su margen: el beneficio bruto es el 6,0 % de la facturación, frente al 9,0 % de hace tres años, porque Microsoft recortó los incentivos de los EA en 2025 y prepara más venta directa [5, 12]. La sostenibilidad del crecimiento es «En parte»: la calidad financia el volumen, pero el margen depende de un tercero.</w:t>
      </w:r>
    </w:p>
    <w:p>
      <w:pPr>
        <w:spacing w:after="100"/>
      </w:pPr>
      <w:r>
        <w:rPr>
          <w:b/>
        </w:rPr>
        <w:t xml:space="preserve">Finanzas.</w:t>
      </w:r>
      <w:r>
        <w:t xml:space="preserve"> El FY2026 fue el primer año de caída del resultado (−5,6 %, a 62,7 M) y el primer semestre del FY2027 la recuperación (beneficio bruto +17,8 %, resultado +6,6 %), con la guía subida en septiembre [1, 5]. Caja de 68,4 M sin deuda tras devolver 41,3 M en el semestre; conversión de caja de más del 100 % en doce meses.</w:t>
      </w:r>
    </w:p>
    <w:p>
      <w:pPr>
        <w:spacing w:after="100"/>
      </w:pPr>
      <w:r>
        <w:rPr>
          <w:b/>
        </w:rPr>
        <w:t xml:space="preserve">Equipo y gobierno.</w:t>
      </w:r>
      <w:r>
        <w:t xml:space="preserve"> Suma poco y resta poco: consejera delegada de la casa desde 2024 tras la salida de Neil Murphy por operaciones no comunicadas, presidente nuevo desde septiembre y un director financiero por nombrar [17, 19]. La cúpula compró acciones en julio [20]. El riesgo de gobierno real es el accionariado: Coronation (22,6 %) y Camissa (10,9 %) venden en mercado desde julio [22, 23].</w:t>
      </w:r>
    </w:p>
    <w:p>
      <w:pPr>
        <w:spacing w:after="100"/>
      </w:pPr>
      <w:r>
        <w:rPr>
          <w:b/>
        </w:rPr>
        <w:t xml:space="preserve">Valoración.</w:t>
      </w:r>
      <w:r>
        <w:t xml:space="preserve"> El precio descuenta un crecimiento de las ventas del 10,1 % anual hasta el FY2034 frente al 6,1 % de nuestro caso base, o un margen EBITDA del 35,6 % frente al 27,5 %; la rentabilidad implícita es del 8,9 %, por debajo del 10,8 % del WACC. Los comparables (3,76 por PER, 3,83 por EV/EBITDA) confirman el DCF. Solo la regla de múltiplos a 12 meses llega al precio, porque Bytes siempre ha cotizado a más de 20 veces el beneficio. Nuestro BPA coincide con el consenso (0,26 GBP en el FY2029e frente a 0,2594).</w:t>
      </w:r>
    </w:p>
    <w:p>
      <w:pPr>
        <w:spacing w:after="100"/>
      </w:pPr>
      <w:r>
        <w:rPr>
          <w:b/>
        </w:rPr>
        <w:t xml:space="preserve">Riesgos y catalizadores.</w:t>
      </w:r>
      <w:r>
        <w:t xml:space="preserve"> El mayor riesgo es otro recorte de Microsoft (escenario bajista, 2,52 GBP, −44,0 %). La IA es un riesgo mixto: Copilot sube el gasto por usuario, pero la IA puede reducir puestos y licencias por usuario y los proveedores de IA venden directo; estimamos −10 % a 3-5 años. Catalizadores: el efecto de los incentivos de octubre en el segundo semestre y la guía del FY2028 hacia marzo de 2027.</w:t>
      </w:r>
    </w:p>
    <w:p>
      <w:pPr>
        <w:spacing w:after="100"/>
      </w:pPr>
      <w:r>
        <w:rPr>
          <w:b/>
        </w:rPr>
        <w:t xml:space="preserve">Qué cambiaría la decisión.</w:t>
      </w:r>
      <w:r>
        <w:t xml:space="preserve"> Compraríamos por debajo de 3,55 GBP (valor intrínseco) si se mantiene la tesis; venderíamos por encima de 5,64. Pasaríamos a vender si el margen sobre facturación baja del 5,5 % o el beneficio bruto de Microsoft cae dos semestres seguidos; mejoraría la nota si el resultado crece al ritmo del beneficio bruto en el FY2028.</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Más de 12 meses (la tesis de valor no tiene catalizador a un año) · Objetivo a 12 meses: </w:t>
      </w:r>
      <w:r>
        <w:rPr>
          <w:b/>
          <w:bCs/>
        </w:rPr>
        <w:t xml:space="preserve">4,97 GBP</w:t>
      </w:r>
      <w:r>
        <w:t xml:space="preserve"> (rentabilidad +12,7 % (base +18,4 %)) · Valor intrínseco: 3,55 GBP (-21,2 % sobre 4,50) · con la prima implícita del mercado: 3,82 (-15,2 %)</w:t>
      </w:r>
    </w:p>
    <w:p>
      <w:pPr>
        <w:spacing w:after="100"/>
      </w:pPr>
      <w:r>
        <w:t xml:space="preserve">Bytes es uno de los mayores socios de Microsoft en el Reino Unido: factura 2.341 M GBP y se queda con 167 M de beneficio bruto, con una relación de 20 años con el sector público y 5.900 clientes que renuevan casi todos [1]. No necesita capital y devuelve casi todo su flujo libre (74 M en el FY2026) [1].</w:t>
      </w:r>
    </w:p>
    <w:p>
      <w:pPr>
        <w:spacing w:after="100"/>
      </w:pPr>
      <w:r>
        <w:t xml:space="preserve">El precio, 4,504 GBP, es 19,2 veces el beneficio de los próximos 12 meses y descuenta un crecimiento del 10,1 % anual de las ventas hasta 2034, el ritmo de 2021-2025. Es lo que el mercado ha pagado siempre por Bytes (PER adelantado medio de 23,3 veces), pero con un gilt al 5,3 % ese flujo de caja vale 3,55 GBP.</w:t>
      </w:r>
    </w:p>
    <w:p>
      <w:pPr>
        <w:spacing w:after="100"/>
      </w:pPr>
      <w:r>
        <w:t xml:space="preserve">Para invertir hay que creer que Bytes seguirá compensando con volumen y servicios lo que Microsoft le quita en margen, como ha hecho en el HY27, y que el mercado seguirá pagando 20 veces el beneficio. Lo primero es probable; lo segundo no se puede asegurar, y el bajista (otro recorte, −44 %) ya ocurrió una vez en 2025 [5, 12].</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 × 0,22 = 2,97 · 20,1x × 0,26 = 5,23 · 23,3x × 0,28 = 6,47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 / 18,4 %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 (nuestro base +10,8 %)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 / -44,0 %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 frente a 10,8 % y 10,0 %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(FY2028e-FY2034e)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 frente a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(7,0 %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3,55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3,55 y 5,64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5,64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3,55 GBP (valor intrínseco) con la tesis intacta: pasaríamos a Comprar si la sostenibilidad deja de depender del margen de Microsoft.</w:t>
      </w:r>
    </w:p>
    <w:p>
      <w:pPr>
        <w:pStyle w:val="ListParagraph"/>
        <w:numPr>
          <w:ilvl w:val="0"/>
          <w:numId w:val="2"/>
        </w:numPr>
        <w:spacing w:after="60"/>
      </w:pPr>
      <w:r>
        <w:t xml:space="preserve">Precio por encima de 5,64 GBP: pasaríamos a Vender.</w:t>
      </w:r>
    </w:p>
    <w:p>
      <w:pPr>
        <w:pStyle w:val="ListParagraph"/>
        <w:numPr>
          <w:ilvl w:val="0"/>
          <w:numId w:val="2"/>
        </w:numPr>
        <w:spacing w:after="60"/>
      </w:pPr>
      <w:r>
        <w:t xml:space="preserve">Margen sobre facturación (beneficio bruto / GII) por debajo del 5,5 % en un semestre: pasaríamos a Vender.</w:t>
      </w:r>
    </w:p>
    <w:p>
      <w:pPr>
        <w:pStyle w:val="ListParagraph"/>
        <w:numPr>
          <w:ilvl w:val="0"/>
          <w:numId w:val="2"/>
        </w:numPr>
        <w:spacing w:after="60"/>
      </w:pPr>
      <w:r>
        <w:t xml:space="preserve">Resultado operativo creciendo al ritmo del beneficio bruto (+10 % o más) en la guía del FY2028: subiríamos el caso base.</w:t>
      </w:r>
    </w:p>
    <w:p>
      <w:pPr>
        <w:pStyle w:val="ListParagraph"/>
        <w:numPr>
          <w:ilvl w:val="0"/>
          <w:numId w:val="2"/>
        </w:numPr>
        <w:spacing w:after="60"/>
      </w:pPr>
      <w:r>
        <w:t xml:space="preserve">Colocación acelerada de Coronation o Camissa: retrasaría cualquier compra hasta su cierre.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recuperación del HY27 (beneficio bruto +17,8 %) es el nuevo ritmo y que los cambios de Microsoft de octubre son positivos, como dice la empresa; por eso cotiza a 19 veces el beneficio, cerca de Softcat, y un 79 % por encima del mínimo de marzo [5, 27].</w:t>
      </w:r>
    </w:p>
    <w:p>
      <w:pPr>
        <w:keepNext/>
        <w:spacing w:after="100"/>
      </w:pPr>
      <w:r>
        <w:rPr>
          <w:b/>
          <w:bCs/>
        </w:rPr>
        <w:t xml:space="preserve">Lo que creemos nosotros.</w:t>
      </w:r>
    </w:p>
    <w:p>
      <w:pPr>
        <w:spacing w:after="100"/>
      </w:pPr>
      <w:r>
        <w:t xml:space="preserve">El volumen está bien, pero el margen lo decide Microsoft y lleva tres años bajando; el crecimiento medio sostenible es del 6 %, no del 10 %. Con esa cifra y un gilt al 5,3 %, el valor es de 3,55 GBP.</w:t>
      </w:r>
    </w:p>
    <w:p>
      <w:pPr>
        <w:keepNext/>
        <w:spacing w:after="100"/>
      </w:pPr>
      <w:r>
        <w:rPr>
          <w:b/>
          <w:bCs/>
        </w:rPr>
        <w:t xml:space="preserve">Por qué podemos tener razón.</w:t>
      </w:r>
    </w:p>
    <w:p>
      <w:pPr>
        <w:spacing w:after="100"/>
      </w:pPr>
      <w:r>
        <w:t xml:space="preserve">Microsoft ha eliminado la comisión de los EA y empuja la venta directa en grandes cuentas, y la IA puede reducir licencias por usuario; ninguna de las dos cosas está en un precio que pide repetir el ritmo de 2021-2025 [12].</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GBP) · precio actual 4,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Crecimiento recuperado</w:t>
      </w:r>
      <w:r>
        <w:t xml:space="preserve">: beneficio bruto +17,8 % y resultado +6,6 % en el HY27, con la guía subida [5].</w:t>
      </w:r>
    </w:p>
    <w:p>
      <w:pPr>
        <w:pStyle w:val="ListParagraph"/>
        <w:numPr>
          <w:ilvl w:val="0"/>
          <w:numId w:val="2"/>
        </w:numPr>
        <w:spacing w:after="60"/>
      </w:pPr>
      <w:r>
        <w:rPr>
          <w:b/>
        </w:rPr>
        <w:t xml:space="preserve">Sin capital y con caja</w:t>
      </w:r>
      <w:r>
        <w:t xml:space="preserve">: rendimiento sobre el capital fijo del 78,2 %, 68,4 M de caja y ninguna deuda [5].</w:t>
      </w:r>
    </w:p>
    <w:p>
      <w:pPr>
        <w:pStyle w:val="ListParagraph"/>
        <w:numPr>
          <w:ilvl w:val="0"/>
          <w:numId w:val="2"/>
        </w:numPr>
        <w:spacing w:after="60"/>
      </w:pPr>
      <w:r>
        <w:rPr>
          <w:b/>
        </w:rPr>
        <w:t xml:space="preserve">Clientes fieles</w:t>
      </w:r>
      <w:r>
        <w:t xml:space="preserve">: el 98,2 % del beneficio bruto viene de clientes del año anterior y ninguno pesa más del 1 % [1, 5].</w:t>
      </w:r>
    </w:p>
    <w:p>
      <w:pPr>
        <w:pStyle w:val="ListParagraph"/>
        <w:numPr>
          <w:ilvl w:val="0"/>
          <w:numId w:val="2"/>
        </w:numPr>
        <w:spacing w:after="60"/>
      </w:pPr>
      <w:r>
        <w:rPr>
          <w:b/>
        </w:rPr>
        <w:t xml:space="preserve">Devolución al accionista</w:t>
      </w:r>
      <w:r>
        <w:t xml:space="preserve">: 74 M en el FY2026 y 41,3 M en el HY27 entre dividendos y recompras; la recompra de 25 M terminó en septiembre y deja 230,1 M de acciones emitidas [1, 5, 10, 46].</w:t>
      </w:r>
    </w:p>
    <w:p>
      <w:pPr>
        <w:pStyle w:val="ListParagraph"/>
        <w:numPr>
          <w:ilvl w:val="0"/>
          <w:numId w:val="2"/>
        </w:numPr>
        <w:spacing w:after="60"/>
      </w:pPr>
      <w:r>
        <w:rPr>
          <w:b/>
        </w:rPr>
        <w:t xml:space="preserve">La cúpula compra</w:t>
      </w:r>
      <w:r>
        <w:t xml:space="preserve">: presidente y consejera delegada compraron ≈ 0,52 M GBP en julio de 2026; la única venta es automática, de 23 acciones del director financiero [20, 21].</w:t>
      </w:r>
    </w:p>
    <w:p>
      <w:pPr>
        <w:pStyle w:val="Heading2"/>
      </w:pPr>
      <w:r>
        <w:t xml:space="preserve">En contra</w:t>
      </w:r>
    </w:p>
    <w:p>
      <w:pPr>
        <w:pStyle w:val="ListParagraph"/>
        <w:numPr>
          <w:ilvl w:val="0"/>
          <w:numId w:val="2"/>
        </w:numPr>
        <w:spacing w:after="60"/>
      </w:pPr>
      <w:r>
        <w:rPr>
          <w:b/>
        </w:rPr>
        <w:t xml:space="preserve">Dependencia de Microsoft</w:t>
      </w:r>
      <w:r>
        <w:t xml:space="preserve">: 50 % del beneficio bruto y margen sobre facturación del 9,0 % al 6,0 % en tres años [1, 5, 7].</w:t>
      </w:r>
    </w:p>
    <w:p>
      <w:pPr>
        <w:pStyle w:val="ListParagraph"/>
        <w:numPr>
          <w:ilvl w:val="0"/>
          <w:numId w:val="2"/>
        </w:numPr>
        <w:spacing w:after="60"/>
      </w:pPr>
      <w:r>
        <w:rPr>
          <w:b/>
        </w:rPr>
        <w:t xml:space="preserve">Precio exigente</w:t>
      </w:r>
      <w:r>
        <w:t xml:space="preserve">: descuenta un 10,1 % de crecimiento anual hasta 2034 frente al 6,1 % de nuestro caso base.</w:t>
      </w:r>
    </w:p>
    <w:p>
      <w:pPr>
        <w:pStyle w:val="ListParagraph"/>
        <w:numPr>
          <w:ilvl w:val="0"/>
          <w:numId w:val="2"/>
        </w:numPr>
        <w:spacing w:after="60"/>
      </w:pPr>
      <w:r>
        <w:rPr>
          <w:b/>
        </w:rPr>
        <w:t xml:space="preserve">Valor intrínseco por debajo</w:t>
      </w:r>
      <w:r>
        <w:t xml:space="preserve">: 3,55 GBP, un 21,2 % menos que el precio.</w:t>
      </w:r>
    </w:p>
    <w:p>
      <w:pPr>
        <w:pStyle w:val="ListParagraph"/>
        <w:numPr>
          <w:ilvl w:val="0"/>
          <w:numId w:val="2"/>
        </w:numPr>
        <w:spacing w:after="60"/>
      </w:pPr>
      <w:r>
        <w:rPr>
          <w:b/>
        </w:rPr>
        <w:t xml:space="preserve">Resultado detrás del beneficio bruto</w:t>
      </w:r>
      <w:r>
        <w:t xml:space="preserve">: resultado / beneficio bruto del 40,7 % al 36,4 % [5].</w:t>
      </w:r>
    </w:p>
    <w:p>
      <w:pPr>
        <w:pStyle w:val="ListParagraph"/>
        <w:numPr>
          <w:ilvl w:val="0"/>
          <w:numId w:val="2"/>
        </w:numPr>
        <w:spacing w:after="60"/>
      </w:pPr>
      <w:r>
        <w:rPr>
          <w:b/>
        </w:rPr>
        <w:t xml:space="preserve">Accionistas vendiendo</w:t>
      </w:r>
      <w:r>
        <w:t xml:space="preserve">: Coronation y Camissa han soltado ≈ 25 M de acciones desde julio [22, 23].</w:t>
      </w:r>
    </w:p>
    <w:p>
      <w:pPr>
        <w:pStyle w:val="Heading2"/>
      </w:pPr>
      <w:r>
        <w:t xml:space="preserve">Qué tiene que pasar para que la tesis funcione</w:t>
      </w:r>
    </w:p>
    <w:p>
      <w:pPr>
        <w:spacing w:after="100"/>
      </w:pPr>
      <w:r>
        <w:t xml:space="preserve">La tesis depende de que el beneficio bruto de Microsoft siga creciendo al ritmo del grupo con los incentivos nuevos de octubre de 2026 y de que el resultado operativo empiece a crecer al ritmo del beneficio bruto en el FY2028, como promete la dirección. La señal de que no se cumple: margen sobre facturación por debajo del 5,5 % o resultado / beneficio bruto por debajo del 36 % en el FY2027.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bruto / GII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(HY27)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cuánto margen le deja Microsoft</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beneficio bruto de Microsoft frente al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En línea (HY27)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puntos por debajo del grupo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de los incentivos de octubre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operativo / beneficio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 (HY27)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36 % en el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operativo prometido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renovación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115,7 % (HY27)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y venta cruzada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Participación de Coronation y Camissa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22,6 % y 10,9 %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Colocación anunciada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Presión vendedora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14,8x / 13,3x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21,0x / 19,2x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 · -0,9x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Bytes nació en 1982 como distribuidor de software en el Reino Unido. En 1998 la compró la sudafricana Altron, que en 2017 añadió Phoenix Software, especializada en el sector público. En diciembre de 2020 Altron la separó y la sacó a bolsa en Londres (cotización principal) y Johannesburgo (secundaria), lo que explica que sus mayores accionistas sean gestoras sudafricanas [1]. En 2023 cambió su criterio de ingresos (software como agente). En febrero de 2024 dimitió el consejero delegado Neil Murphy por operaciones con acciones no comunicadas; le sustituyó Sam Mudd, directora de Phoenix, en mayo de 2024 [1]. En 2025 sufrió el recorte de incentivos de Microsoft y un aviso de beneficios; en 2026 cambió de presidente y compró CyberOne [5,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Bytes como distribuidor de software en el Reino Unido.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Altron, su dueña, compra Phoenix Software (sector público).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Separación de Altron y salida a bolsa en Londres y Johannesburgo (diciembre)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 el software pasa a contabilizarse como agente; las ventas del FY2022 se reexpresan de 448 a 146 M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Dimite el consejero delegado Neil Murphy (operaciones con acciones no comunicadas); Sam Mudd, consejera delegada desde mayo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Microsoft recorta los incentivos de los EA (1-ene); aviso de beneficios en la junta de julio: la acción cae un 29 %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año de caída del resultado operativo (FY2026, −5,6 %); nuevo presidente (Gavin Rochussen); compra de CyberOne; guía del FY2027 al alza [1, 5].</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Bytes Technology Group (BTG) vende y gestiona software, nube, ciberseguridad y algo de hardware a unas 5.900 organizaciones del Reino Unido e Irlanda, a través de dos filiales: Bytes Software Services (sector privado) y Phoenix Software (sector público: NHS, ministerios, universidades), alineadas así desde julio de 2026 [1, 5]. Factura 2.341 M GBP al año (GII), el 95 % software; Microsoft supone el 68 % de la facturación y el 50 % del beneficio bruto, y el resto se reparte entre más de 40 fabricantes (Check Point, CrowdStrike, Zscaler, Palo Alto, Dell, HPE, AWS…) [1, 5]. Añade asesoría de licencias, herramientas propias de gestión de activos de software (Quantum, License Dashboard) y servicios técnicos y gestionados, que son la apuesta de crecimiento (GII de servicios +41 % en el HY27) [5].</w:t>
      </w:r>
    </w:p>
    <w:p>
      <w:pPr>
        <w:pStyle w:val="Heading2"/>
      </w:pPr>
      <w:r>
        <w:t xml:space="preserve">Cómo gana dinero</w:t>
      </w:r>
    </w:p>
    <w:p>
      <w:pPr>
        <w:spacing w:after="100"/>
      </w:pPr>
      <w:r>
        <w:t xml:space="preserve">Cobra un margen sobre lo que el cliente compra a los fabricantes más las rebajas e incentivos que estos pagan por vender, renovar y desplegar: el beneficio bruto fue el 7,1 % de la facturación en el FY2026 (13,0 % en el sector privado y 4,1 % en el público) [1]. Microsoft paga una comisión directa en los acuerdos de empresa (EA, que factura Microsoft) y un margen cuando Bytes factura en el programa CSP; los cambios de esos incentivos mueven el beneficio sin que la empresa los controle [1, 5]. El 97-98 % del beneficio bruto viene de clientes del año anterior y ninguno pesa más del 1 % [1, 5]. El coste es casi todo personal (82 M de 105 M de gastos en el FY2026), con comisiones que suben con el beneficio bruto, así que el apalancamiento operativo es moderado [1]. Estacionalidad: marzo-abril (fin del año fiscal público) y junio y diciembre concentran las renovaciones [1].</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Software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Hardware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propios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 de terceros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Software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Hardware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propios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 de terceros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Unas 5.916 organizaciones con más de 100 GBP de beneficio bruto; beneficio bruto medio de 28.300 GBP por cliente; ninguno supera el 1 % del beneficio bruto [1]. El sector público es el 70 % de la facturación y el 40 % del beneficio bruto (HY27) [5]. Los contratos públicos se ganan por concurso en marcos de compra y duran 3-5 años; el privado renueva EA de tres años o suscripciones CSP [1, 5]. Tasa de renovación del 99 % en el FY2026 y del 115,7 % en el HY27 [1, 5]. Poder de precios: limitado; los precios los fija el fabricante y el margen sobre facturación ha bajado del 9,0 % (FY2023) al 6,0 % (HY27) [1, 5]. Lo que sí demuestra es retención y venta cruzada: el beneficio bruto creció un 11,7 % anual entre el FY2022 y el FY2026.</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Facturación bruta (GII)</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2.099,8 M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2.341,0 M (FY2026); 1.605,2 M en el HY27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 HY27 +19,6 %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compra de los clientes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 M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 M (FY2026); 97,1 M en el HY27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HY27 +17,8 %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medida de actividad que usa la empresa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bruto / GII</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 (FY2025); 8,0 % (FY2024); 9,0 % (FY2023)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 (FY2026); 6,0 % (HY27)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Cae por el paso de EA a CSP y los recortes de incentivos de Microsoft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operativo / beneficio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 (FY2026); 36,4 % (HY27)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Eficiencia operativa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renovación (beneficio bruto de clientes existentes / total del año anterior)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 (FY2026); 115,7 % (HY27)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puntos; repunte en el HY27</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(más de 100 GBP de beneficio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plano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bruto medio por cliente 28.300 GBP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1.245 (feb-25)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1.331 (feb-26); 1.353 (ago-26)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5]</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gasto en software, nube, seguridad y servicios asociados de empresas y Administraciones del Reino Unido e Irlanda que pasa por revendedores con valor añadido. Bytes cifra su mercado direccionable en ≈ 82.000 M GBP (FY2026) y su cuota en ≈ 3 % (medida con su facturación bruta) [1]. No hay estadística oficial de ese perímetro; como contraste del crecimiento usamos la previsión de Gartner del gasto mundial en software (+15,1 % en 2026) [11]. La cuota se mide en facturación bruta, no en ingresos contables.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82.000 M GBP de mercado direccionable en el FY2026 según la empresa [1]; el gasto mundial en software crece un 15,1 % en 2026 hasta 1,44 billones USD según Gartner [11].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GBP (mercado direccionable según la empres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Migración a la nube y suscripciones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GII de software +18,8 % en el HY27; Gartner: software +15,1 % en 2026 [5,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Ciberseguridad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británico de servicios de ciberseguridad ≈ 5.200 M GBP en 2029; «donde más crecen los presupuestos» [5,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(Copilot y consumo)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Copilot para ≈ 500.000 empleados del NHS; pero la IA se cobra por consumo y los nuevos proveedores venden directo o por marketplaces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Incentivos de Microsoft al canal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LSP de EA: 2.500 M USD en 2023 → 583 M en 2025 → cero en 2026 según The Register; recortes en Bytes desde el 1-ene-2025 y nuevos cambios en octubre de 2026 [5,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 público británico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Público = 70 % de la GII; beneficio bruto público +23,1 % en el HY27 [5].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Softcat, Computacenter, CDW UK, SoftwareOne-Crayon y decenas de socios de Microsoft compiten por los mismos marcos públicos y renovaciones; margen público del 3,5-4,1 % de la facturación [1,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(ninguno &gt; 1 % del beneficio bruto), pero el sector público compra por concurso y presiona el margen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Microsoft (50 % del beneficio bruto) fija precios e incentivos cada año y ha recortado los de EA desde 2025 [1,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acreditaciones de los fabricantes (22 especializaciones de Microsoft), marcos públicos y relaciones de años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directa del fabricante a grandes clientes (MCA-E de Microsoft), marketplaces de nube y proveedores de IA que venden directo [5, 12].</w:t>
            </w:r>
          </w:p>
        </w:tc>
      </w:tr>
    </w:tbl>
    <w:p>
      <w:pPr>
        <w:spacing w:after="160" w:before="0"/>
      </w:pPr>
    </w:p>
    <w:p>
      <w:pPr>
        <w:pStyle w:val="Heading2"/>
      </w:pPr>
      <w:r>
        <w:t xml:space="preserve">Ciclo</w:t>
      </w:r>
    </w:p>
    <w:p>
      <w:pPr>
        <w:spacing w:after="100"/>
      </w:pPr>
      <w:r>
        <w:t xml:space="preserve">El gasto en software y seguridad sigue creciendo por encima del de TI (Gartner +15,1 % en software en 2026) y Bytes volvió a crecer a doble dígito en el HY27 tras un FY2026 plano [5, 11]. El negocio es poco cíclico: en 2020 y 2022 Bytes siguió creciendo (beneficio bruto +20,7 % en el FY2023), porque las licencias se renuevan por obligación [4]. Lo que sí le golpeó fue un factor no cíclico: el recorte de incentivos de Microsoft en 2025, que dejó el beneficio bruto plano un año [1].</w:t>
      </w:r>
    </w:p>
    <w:p>
      <w:pPr>
        <w:pStyle w:val="Heading2"/>
      </w:pPr>
      <w:r>
        <w:t xml:space="preserve">Regulación</w:t>
      </w:r>
    </w:p>
    <w:p>
      <w:pPr>
        <w:spacing w:after="100"/>
      </w:pPr>
      <w:r>
        <w:t xml:space="preserve">La CMA británica abrió el 14-may-2026 una investigación de «estatus de mercado estratégico» (SMS) sobre el software empresarial de Microsoft, con sus licencias dentro del alcance; si lo designa, puede imponer condiciones sobre precios y licencias [12]. Para Bytes es de doble filo: menos agresividad de Microsoft con el canal, o licencias más baratas que reducen la facturación. Los marcos de compra pública británicos (Crown Commercial Service) fijan márgenes máximos en el sector público [1].</w:t>
      </w:r>
    </w:p>
    <w:p>
      <w:pPr>
        <w:pStyle w:val="Heading2"/>
      </w:pPr>
      <w:r>
        <w:t xml:space="preserve">Tendencias y disrupción</w:t>
      </w:r>
    </w:p>
    <w:p>
      <w:pPr>
        <w:spacing w:after="100"/>
      </w:pPr>
      <w:r>
        <w:t xml:space="preserve">Tres tendencias: (1) Microsoft lleva a los grandes clientes a contratos directos (MCA-E) y ha eliminado la comisión de los EA, y empuja a los socios hacia el programa CSP y los servicios [5, 12]; (2) la IA se cobra por consumo, más difícil de prever, lo que crea demanda de gestión de costes pero también abre la venta directa de los nuevos proveedores [5]; (3) los fabricantes pagan cada vez más por desplegar y adoptar, no por revender, y Bytes gira a servicios (CyberOne) [5]. Bytes gana con la seguridad y el CSP y pierde con la venta directa en grandes cuentas.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mayores socios de Microsoft en el Reino Unido e Irlanda; ≈ 3 % de su mercado direccionable de ≈ 82.000 M GBP, medido con la facturación bruta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Softcat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SCT.L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más directo: revendedor de software y nube del Reino Unido, más fuerte en medianas empresas; ventas netas parciales. Ventas y margen de los últimos 12 meses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Computacenter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CCC.L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hardware y servicios a grandes cuentas; compite en marcos públicos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CDW Corporation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CDW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CDW UK compite en grandes cuentas y sector público británico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Bechtle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BC8.DE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 socio europeo de Microsoft; poca presencia en el Reino Unido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Insight Enterprises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NSIT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de Microsoft con negocio en el Reino Unido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Cancom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COK.DE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Revendedor y servicios con filial británica [13].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cada cliente compra por separado.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del 99-116 % y 97-98 % del beneficio bruto de clientes del año anterior; contratos públicos de 3-5 años; herramientas propias de licencias [1,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especializaciones y 10 designaciones de Microsoft, socio «Frontier»; marcos públicos ganados (DEFRA, 167 M en tres años) [1,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 beneficio bruto del 37-41 %, superior al de rivales con más hardware; sin capital invertido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con Microsoft que da acceso a fondos de inversión del fabricante (proyecto NHS Copilot) [2].</w:t>
            </w:r>
          </w:p>
        </w:tc>
      </w:tr>
    </w:tbl>
    <w:p>
      <w:pPr>
        <w:spacing w:after="160" w:before="0"/>
      </w:pPr>
    </w:p>
    <w:p>
      <w:pPr>
        <w:pStyle w:val="Heading2"/>
      </w:pPr>
      <w:r>
        <w:t xml:space="preserve">Amenazas</w:t>
      </w:r>
    </w:p>
    <w:p>
      <w:pPr>
        <w:spacing w:after="100"/>
      </w:pPr>
      <w:r>
        <w:t xml:space="preserve">La erosión viene del proveedor, no de los rivales: Microsoft decide cada año cuánto paga al canal, ha eliminado la comisión de los EA (cero en 2026 según The Register) y lleva a las mayores cuentas a contratos directos; Bytes lo ha compensado con CSP y servicios, pero su margen sobre facturación bajó del 9,0 % al 6,0 % en tres años [1, 5, 12]. Probabilidad alta de nuevos recortes en los próximos tres años; el efecto depende de que el beneficio bruto siga creciendo por volumen. Segunda amenaza: la IA vendida directamente por OpenAI, Anthropic o los marketplaces de nube.</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spacing w:after="100"/>
      </w:pPr>
      <w:r>
        <w:t xml:space="preserve">Crecimiento anual compuesto FY2022-FY2026: ingresos </w:t>
      </w:r>
      <w:r>
        <w:rPr>
          <w:b/>
          <w:bCs/>
        </w:rPr>
        <w:t xml:space="preserve">10,9 %</w:t>
      </w:r>
      <w:r>
        <w:t xml:space="preserve">, EBITDA </w:t>
      </w:r>
      <w:r>
        <w:rPr>
          <w:b/>
          <w:bCs/>
        </w:rPr>
        <w:t xml:space="preserve">10,1 %</w:t>
      </w:r>
      <w:r>
        <w:t xml:space="preserve">, BPA </w:t>
      </w:r>
      <w:r>
        <w:rPr>
          <w:b/>
          <w:bCs/>
        </w:rPr>
        <w:t xml:space="preserve">11,5 %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GBP,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contables de Bytes no miden la actividad: desde el FY2023 todo el software se contabiliza como agente (neto) y el hardware y los servicios propios como principal (bruto), así que las ventas mezclan beneficio bruto y facturación [1, 4]. El FY2022 va reexpresado (145,8 M en vez de 447,9 M; beneficio bruto y resultado sin cambios) y el FY2021 no se usa porque no hay cifra reexpresada [4]. La medida de actividad es el beneficio bruto: 107,4 M en el FY2022, 129,6 M en el FY2023, 145,8 M en el FY2024, 163,3 M en el FY2025 y 167,3 M en el FY2026 (+11,7 % anual), sobre una facturación bruta (GII) que pasó de 1.208 a 2.341 M [1, 2, 3, 4]. El FY2026 fue el primer año de caída del resultado operativo (−5,6 %, a 62,7 M): el beneficio bruto solo creció un 2,5 % por el recorte de incentivos de Microsoft en los acuerdos de empresa (EA) desde el 1-ene-2025 y la reorganización comercial del sector privado, mientras los gastos de personal subían un 5,1 % [1]. El primer semestre del FY2027 vuelve a crecer: beneficio bruto +17,8 % y resultado operativo +6,6 %, con 4,5 M de «normalización de costes» (bonus, pagos en acciones, software que se deja de activar) [5].</w:t>
      </w:r>
    </w:p>
    <w:p>
      <w:pPr>
        <w:pStyle w:val="Heading2"/>
      </w:pPr>
      <w:r>
        <w:t xml:space="preserve">Ajustes y partidas no recurrentes</w:t>
      </w:r>
    </w:p>
    <w:p>
      <w:pPr>
        <w:spacing w:after="100"/>
      </w:pPr>
      <w:r>
        <w:t xml:space="preserve">Cifras publicadas. La empresa da un «resultado operativo ajustado» que suma los pagos en acciones y la amortización de intangibles comprados (72,4 M en el FY2025, 63,3 M en el FY2024) y un BPA ajustado para su plan de incentivos (22,64 peniques en el FY2026) [1, 2, 3]; no los usamos. En el FY2026 los pagos en acciones bajaron a 0,75 M (5,05 M en el FY2025) porque los planes no se cumplieron, lo que infló el resultado; en el FY2027 vuelven, y la empresa lo incluye en los 4,5 M de normalización [1, 5]. Se activaron 4,1 M de desarrollo de software en el FY2026 (3,7 M en el FY2025), que desde el FY2027 se amortizan [1].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presentación del 13-oct-2026 la dirección cambió de tono frente a la de mayo: del «año de transición» y la normalización de costes a «crecimiento amplio» en los dos sectores (beneficio bruto público +23,1 %, privado +14,6 %) y con Microsoft creciendo «en línea con el grupo» [5, 6]. Mensajes: la guía del FY2027 subió el 17-sep (beneficio bruto +10-15 %, resultado operativo +1-5 %); los nuevos cambios de incentivos de Microsoft desde octubre (menos rebaja en productos antiguos, más premio en productos de crecimiento y en CSP) «están planificados e incluidos en la guía»; el resultado operativo crecerá en línea con el beneficio bruto desde el FY2028; y la compra de CyberOne (19,4 M iniciales y hasta 18 M variables) da a Bytes su propio centro de operaciones de seguridad [5, 6]. Lo que no se cuantificó: cuánto beneficio bruto depende de las rebajas y comisiones de Microsoft, el efecto neto de los cambios de octubre y por qué el margen de servicios cayó del 24 % al 19 % [5]. El segmento de grandes empresas, «aún centrado en acuerdos EA», avanza «más despacio» [5]. En mayo (resultados FY2026) la dirección había atribuido la caída del resultado a los «conocidos» cambios de incentivos de Microsoft [8].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de Bytes es el de un intermediario que financia su actividad con los proveedores: la caja (98,6 M en febrero) es menor que el circulante negativo (−79,8 M), y la empresa dice que «tiene en cuenta» ese circulante para decidir cuánta caja guardar [1]. Por eso la caja «libre» es menor de lo que parece: si la facturación cayera o Microsoft acortara plazos de pago, parte de ella se iría. La caja bajó de 113,1 a 98,6 M en el FY2026 tras repartir 48,6 M de dividendos y recomprar 25,2 M, y a 68,4 M en agosto tras otro dividendo de 16,3 M y otra recompra de 25 M [1, 5].</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FY2022-FY2026: FCF </w:t>
      </w:r>
      <w:r>
        <w:rPr>
          <w:b/>
          <w:bCs/>
        </w:rPr>
        <w:t xml:space="preserve">262</w:t>
      </w:r>
      <w:r>
        <w:t xml:space="preserve">, conversión </w:t>
      </w:r>
      <w:r>
        <w:rPr>
          <w:b/>
          <w:bCs/>
        </w:rPr>
        <w:t xml:space="preserve">116 %</w:t>
      </w:r>
      <w:r>
        <w:t xml:space="preserve"> del beneficio neto; adquisiciones 3, dividendos 164, recompras 25.</w:t>
      </w:r>
    </w:p>
    <w:p>
      <w:pPr>
        <w:spacing w:after="100"/>
      </w:pPr>
      <w:r>
        <w:t xml:space="preserve">La conversión en caja es alta: el flujo operativo menos inversiones fue de 65,9 M en el FY2026 (105 % del resultado operativo) y de 75,5 M en el FY2025 (114 %) [1]. El flujo operativo publicado incluye los intereses cobrados (7,6 M en el FY2026) y resta los impuestos [1]. El primer semestre siempre convierte poco (46 % en el HY27, 34 % en el HY26) porque se pagan a Microsoft las renovaciones de marzo-abril; en doce meses a agosto pasó del 100 % [5]. La inversión es mínima: 1,8 M de inmovilizado y 4,1 M de software propio en el FY2026; el pico de 10,1 M del FY2025 fue la compra de oficinas [1, 2]. No hay capex de crecimiento relevante: el crecimiento lo financian los proveedores (circulante negativo).</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sencillas: sin deuda, sin pensiones y con un fondo de comercio de 37,5 M (Phoenix y Bytes Software Services) sin deterioros [1]. Los dos juicios contables relevantes son el reconocimiento como agente o principal (cambió en el FY2023 por la decisión del Comité de Interpretaciones de las NIIF; recortó 302 M de ventas del FY2022 sin tocar el beneficio) y la activación de 4,1 M de software propio en el FY2026 [1, 4]. El resultado del FY2026 está favorecido por 4,3 M menos de pagos en acciones y por esa activación; ambas cosas se revierten en el FY2027 [1, 5]. La gran señal de gobierno contable fue la salida del consejero delegado Neil Murphy en febrero de 2024 por operaciones con acciones no comunicadas, que obligó a corregir las participaciones declaradas desde la salida a bolsa [3].</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Operaciones con acciones no comunicadas del anterior consejero delegado (2024)</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Neil Murphy dimitió el 21-feb-2024; se reexpresaron sus participaciones desde 2020 [3]. Sin efecto en cuentas, pero dice algo de los controles de entonces.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del FY2026 con pagos en acciones anormalmente bajos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0,75 M frente a 5,05 M del FY2025; vuelven en el FY2027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Activación de costes de desarrollo propio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4,1 M en el FY2026 y 3,7 M en el FY2025; terminó en el FY2027 y ahora se amortiza [1, 5].</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9"/>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38 M en FY2026; ha subido más de un 5 % en 0 de 4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325,0 % · </w:t>
      </w:r>
      <w:r>
        <w:rPr>
          <w:b/>
          <w:bCs/>
        </w:rPr>
        <w:t xml:space="preserve">WACC</w:t>
      </w:r>
      <w:r>
        <w:t xml:space="preserve">: 10,8 %.</w:t>
      </w:r>
    </w:p>
    <w:p>
      <w:pPr>
        <w:spacing w:after="100"/>
      </w:pPr>
      <w:r>
        <w:t xml:space="preserve">Bytes crea valor con holgura, pero el ROIC convencional no sirve: el capital invertido es negativo (−14 M en el FY2026) porque los proveedores financian el circulante (−79,8 M) y la caja supera al patrimonio [1]. Sobre el capital fijo (inmovilizado, intangibles y el fondo de comercio de Phoenix, 59 M) el rendimiento fue del 78,2 % en el FY2026, del 91,9 % en el FY2025 y del 81,0 % en el FY2023, frente a un WACC del 10,81 %. El ROE es del 57,3 %. Lo que mueve la rentabilidad es el margen sobre el beneficio bruto (resultado operativo / beneficio bruto del 37,5 % en el FY2026 frente al 40,7 % del FY2025), no la rotación: crecer apenas necesita capital y el ROIC incremental es altísimo. Frente a los competidores, Bytes tiene un margen sobre ventas muy superior (28,4 % de margen EBIT frente al 10,7 % de Softcat y el 2,8 % de Computacenter), pero porque contabiliza el software en neto; sobre el beneficio bruto, Softcat convierte una proporción parecida [13]. La calidad del rendimiento depende de que Microsoft no recorte más su margen.</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ago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68,4 M a 31-ago-2026 (98,6 M a 28-feb-2026), sin deuda financiera, y una línea de crédito comprometida de 30 M con HSBC sin disponer, prorrogada en mayo de 2026 hasta el 17-may-2029 [1,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Sin deuda ni pensiones de prestación definida. El circulante es muy negativo: cuentas a cobrar de 299,9 M y a pagar de 359,2 M a 28-feb-2026 (circulante neto −79,8 M según la empresa), porque se cobra a 38-39 días y se paga a 43-48, con el 66-70 % de la facturación al sector público, que paga rápido [1, 5]. A 31-ago-2026 el circulante era de −54,6 M: es estacional (los grandes EA de Microsoft se renuevan en marzo-abril) [5]. Tras el cierre del semestre, CyberOne: 19,4 M en caja al completar (previsto antes de fin de octubre) y hasta 18,0 M de pagos variables en 16 meses [5]. Arrendamientos de 2,1 M [5]. Participación del 25,1 % en Cloud Bridge Technologies (3,0 M) [1].</w:t>
      </w:r>
    </w:p>
    <w:p>
      <w:pPr>
        <w:pStyle w:val="Heading1"/>
      </w:pPr>
      <w:r>
        <w:t xml:space="preserve">12. Asignación de capital</w:t>
      </w:r>
    </w:p>
    <w:p>
      <w:pPr>
        <w:pStyle w:val="Confianza"/>
        <w:spacing w:after="100"/>
      </w:pPr>
      <w:r>
        <w:t xml:space="preserve">Confianza: Alta</w:t>
      </w:r>
    </w:p>
    <w:p>
      <w:pPr>
        <w:spacing w:after="100"/>
      </w:pPr>
      <w:r>
        <w:t xml:space="preserve">Dividendo ordinario del 40-50 % del beneficio después de impuestos sin extraordinarios, a cuenta (3,3 peniques en el HY27) y complementario (7,0 peniques del FY2026) [1, 5]. El exceso de caja se devuelve con dividendos extraordinarios (6,2, 7,5, 8,7 y 10,0 peniques del FY2022 al FY2025) o recompras: 25 M en el FY2026 y otros 25 M terminados en agosto de 2026, amortizando las acciones [1, 5]. Prioridades declaradas: crecimiento orgánico, dividendo, compras (CyberOne) y devolución del exceso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CyberOne (servicios gestionados de ciberseguridad, Reino Unido; 9,5 M de ingresos a jul-26)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(más hasta 18,0 M variables en 16 meses)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 autorización (NSI Act) a fin de octubre; la empresa espera que aumente el BPA desde el FY2028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25,1 % de Cloud Bridge Technologies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atribuida de 0,2 M en el FY2026; valor contable 3,0 M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Phoenix Software (en tiempos de Altron)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Altron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 es la mitad pública del grupo; fondo de comercio de 22,7 M sin deterioros [1].</w:t>
            </w:r>
          </w:p>
        </w:tc>
      </w:tr>
    </w:tbl>
    <w:p>
      <w:pPr>
        <w:spacing w:after="160" w:before="0"/>
      </w:pPr>
    </w:p>
    <w:p>
      <w:pPr>
        <w:spacing w:after="100"/>
      </w:pPr>
      <w:r>
        <w:t xml:space="preserve">Asignación de capital disciplinada y casi toda en efectivo para el accionista: en el FY2026 devolvió 74 M (48,6 M de dividendos y 25,2 M de recompra), más que el flujo libre de 65,9 M, y en el HY27 otros 41,3 M [1, 5]. El crecimiento no consume capital. La primera compra relevante en años, CyberOne, se paga a un múltiplo alto sobre ventas (≈ 2 veces las ventas con el pago inicial y hasta ≈ 3,9 veces con el variable completo) por un negocio de 9,5 M de ingresos [5]: es pequeña frente a la caja, pero marca el giro a servicios. Las recompras se hicieron a 3-4 libras, por debajo del precio de hoy.</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 Mudd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Phoenix desde 2003 y su directora general desde 2014, la llevó a ser «socio del año» de Microsoft en el Reino Unido en 2021; consejera desde julio de 2023, interina en febrero de 2024 y consejera delegada desde el 10-may-2024 [1]. Con ella el grupo tuvo el aviso de julio de 2025 y la caída del FY2026, y la vuelta al doble dígito en el HY27 [5, 15]. Compró 25.000 acciones en julio de 2026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Holden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Venía de Altron; director de operaciones desde junio de 2021 y financiero desde octubre de 2021 [1]. En mayo de 2026 el consejo decidió separar los dos puestos: dejará la dirección financiera (y el consejo) cuando llegue un sustituto y seguirá como director de operaciones; la búsqueda «avanza» a octubre [5,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Gavin Rochussen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consejero delegado de Polar Capital y de J O Hambro Capital Management; independiente al nombrarlo, consejero desde el 10-jul-2026 y presidente desde el 4-sep-2026 [17, 18]. Compró 100.000 acciones (≈ 0,42 M GBP) en julio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Clare Metcalfe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general de Phoenix Software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Phoenix desde 1997; directora general desde el 10-may-2024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 de 2025: beneficio bruto +doble dígito y resultado operativo +un dígito alto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bruto +2,5 %; resultado operativo −5,6 % (aviso en julio de 2025)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 (revisada)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Octubre de 2025: beneficio bruto ≈ 167 M y resultado operativo ≈ 62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167,3 M y 62,7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HY27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Marzo de 2026: FY2027 beneficio bruto +un dígito alto a doble dígito bajo; resultado operativo plano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HY27 beneficio bruto +17,8 % y resultado operativo +6,6 %; guía subida el 17-sep</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Doble dígito en beneficio bruto y resultado operativo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Beneficio bruto +12,0 %; resultado operativo +17,1 %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de casa: la consejera delegada y la directora de Phoenix llevan más de 20 años en el grupo y conocen a Microsoft y al sector público mejor que nadie. La credibilidad sufrió en 2025: la guía de mayo (doble dígito) se retiró dos meses después con una caída del 29 % de la acción [15]; desde entonces la empresa ha cumplido o superado lo que dijo (FY2026 revisado y HY27 por encima) [1, 5]. La estabilidad es menor de lo que parece: nuevo presidente en septiembre de 2026, nuevo consejero dominical y un director financiero por nombrar [17, 18, 19]. La compra de acciones de la consejera delegada y del presidente en julio de 2026 es una señal de confianza [20].</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Gavin Rochussen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(presidente), Retribuciones, ESG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 Mudd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Holden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Erika Schraner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Retribuciones, ESG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Shruthi Chindalur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Retribuciones, ESG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Ross Paterson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Retribuciones, ESG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Anna Vikström Persson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 ESG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Tapiwa Ngara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0,52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Coronation Fund Managers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(Sudáfrica)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Vendiendo: 28,41 % en abril y 29,03 % a mediados de julio → 22,55 % el 28-ago-2026 [1, 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Public Investment Corporation (PIC)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público de pensiones (Sudáfrica)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Comprando: 4,87 % en abril → 9,20 % → 11,06 % el 29-jul-2026 [1, 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Camissa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(Sudáfrica)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Vendiendo: 15,59 % en abril → 15,25 % → 10,93 % el 12-oct-2026 [1,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Biltron (Pty) Ltd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(Sudáfrica)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notificados desde abril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30-abr-2026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Barclays Capital Securities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(acciones e instrumentos)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5,00 % el 21-sep-2026 (3,27 % en acciones) [26]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30-abr-2026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Gavin Rochussen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 Mudd (consejera delegada)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31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Andrew Holden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Salario de la consejera delegada de 459.000 GBP; bonus máximo del 125 % del salario, con el 72 % ligado al resultado operativo (umbral de 64,0 M en el FY2026, no alcanzado) y el resto a objetivos estratégicos; el comité decidió no pagar ningún bonus en el FY2026 aunque la fórmula daba un 25 % del máximo [1]. Plan a largo plazo (PSP) al 75 % por BPA ajustado y 25 % por rentabilidad total relativa al FTSE 250; el de 2023 consolidó solo el 16,2 % [1]. Total de la consejera delegada: 0,51 M GBP (1,01 M en el FY2025); 9 veces la mediana de la plantilla [1]. No hay métrica de rentabilidad sobre el capital (el capital invertido es negativo). Votos de remuneración: 99,61 % a favor en 2026, 98,83 % en 2025 y 98,71 % en la política de 2024 [1, 16].</w:t>
      </w:r>
    </w:p>
    <w:p>
      <w:pPr>
        <w:pStyle w:val="Heading2"/>
      </w:pPr>
      <w:r>
        <w:t xml:space="preserve">Operaciones vinculadas, estructura de control y defensas</w:t>
      </w:r>
    </w:p>
    <w:p>
      <w:pPr>
        <w:spacing w:after="100"/>
      </w:pPr>
      <w:r>
        <w:t xml:space="preserve">Sin accionista de control, una acción un voto y sin blindajes [1]. El accionariado está muy concentrado en gestoras sudafricanas (herencia de Altron): a 30-abr-2026, Coronation 28,4 %, Camissa 15,6 %, Biltron 7,7 % y PIC 4,9 % [1]. Desde julio Coronation y Camissa venden con regularidad (−6,5 y −4,3 puntos) y PIC compra (+6,2 puntos) [22, 23, 24]. En la junta de 2026 los accionistas rechazaron la autorización para emitir acciones (45,6 % a favor) y la supresión del derecho de suscripción preferente (52,4 % y 55,0 %, por debajo del 75 % exigido); la empresa dice que «algunos de sus mayores accionistas» se oponen por política [16]. El nuevo consejero Tapiwa Ngara es directivo de Value Capital Partners, accionista de la empresa [17].</w:t>
      </w:r>
    </w:p>
    <w:p>
      <w:pPr>
        <w:pStyle w:val="Heading2"/>
      </w:pPr>
      <w:r>
        <w:t xml:space="preserve">Señales de alerta</w:t>
      </w:r>
    </w:p>
    <w:p>
      <w:pPr>
        <w:pStyle w:val="ListParagraph"/>
        <w:numPr>
          <w:ilvl w:val="0"/>
          <w:numId w:val="2"/>
        </w:numPr>
        <w:spacing w:after="60"/>
      </w:pPr>
      <w:r>
        <w:t xml:space="preserve">Ventas continuadas de los dos mayores accionistas (Coronation y Camissa) desde julio de 2026, ≈ 25 M de acciones en tres meses [22, 23].</w:t>
      </w:r>
    </w:p>
    <w:p>
      <w:pPr>
        <w:pStyle w:val="ListParagraph"/>
        <w:numPr>
          <w:ilvl w:val="0"/>
          <w:numId w:val="2"/>
        </w:numPr>
        <w:spacing w:after="60"/>
      </w:pPr>
      <w:r>
        <w:t xml:space="preserve">Director financiero por sustituir desde mayo de 2026 [5, 19].</w:t>
      </w:r>
    </w:p>
    <w:p>
      <w:pPr>
        <w:pStyle w:val="ListParagraph"/>
        <w:numPr>
          <w:ilvl w:val="0"/>
          <w:numId w:val="2"/>
        </w:numPr>
        <w:spacing w:after="60"/>
      </w:pPr>
      <w:r>
        <w:t xml:space="preserve">Rechazo en junta de las autorizaciones para emitir acciones y suprimir la suscripción preferente (julio de 2026) [16].</w:t>
      </w:r>
    </w:p>
    <w:p>
      <w:pPr>
        <w:pStyle w:val="ListParagraph"/>
        <w:numPr>
          <w:ilvl w:val="0"/>
          <w:numId w:val="2"/>
        </w:numPr>
        <w:spacing w:after="60"/>
      </w:pPr>
      <w:r>
        <w:t xml:space="preserve">Dimisión del anterior consejero delegado en 2024 por operaciones con acciones no comunicadas [3].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del FY2027 (a feb-2027), subida el 17-sep-2026 y confirmada el 13-oct: beneficio bruto +«diez y pocos a quince» por ciento y resultado operativo +«uno a cinco» por ciento, sin CyberOne; desde el FY2028, resultado operativo en línea con el beneficio bruto y apalancamiento operativo después [5]. La guía de marzo de 2026 era más baja (beneficio bruto +8-11 % y resultado plano)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11 analistas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 3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3,65 – 5,25</w:t>
            </w:r>
          </w:p>
        </w:tc>
      </w:tr>
    </w:tbl>
    <w:p>
      <w:pPr>
        <w:spacing w:after="160" w:before="0"/>
      </w:pPr>
    </w:p>
    <w:p>
      <w:pPr>
        <w:pStyle w:val="Heading2"/>
      </w:pPr>
      <w:r>
        <w:t xml:space="preserve">Revisiones de estimaciones</w:t>
      </w:r>
    </w:p>
    <w:p>
      <w:pPr>
        <w:spacing w:after="100"/>
      </w:pPr>
      <w:r>
        <w:t xml:space="preserve">Al alza en los últimos tres meses: la subida de guía del 17-sep llevó a Deutsche Bank y Berenberg a «comprar» y el objetivo medio a 4,72 GBP [28, 35]. En contra, UBS bajó a «vender» el 27-jul por el doble golpe de Microsoft (recorte de 5 puntos en los incentivos de Office 365, Exchange, OneDrive y SharePoint desde octubre) y JP Morgan empezó con «infraponderar» el 7-sep por el retraso en IA [35]. Solo una fuente (MarketScreener) da estimaciones completas; el objetivo y las recomendaciones se contrastan con Investing.com (472 peniques, 6/3/2) [29]. Los dividendos estimados de MarketScreener incluyen extraordinarios.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ha ido en montaña rusa: −30,9 % en 2024 y −15,1 % en 2025 frente a un FTSE 250 que subió, con un mínimo de 248,6 peniques el 24-mar-2026 (caída máxima del 61,4 % desde enero de 2024) [27]. Dos hechos explican la caída: el aviso de beneficios de julio de 2025 (−29 % en el día) por el recorte de incentivos de Microsoft y la reorganización comercial, y la guía de marzo de 2026 con el resultado operativo plano (−15,4 % en el día) [15, 25]. Desde entonces ha subido un 79 %: resultados del FY2026 con el segundo semestre recuperándose y recompra de 25 M (mayo), subida de guía del 17-sep (+12 %) y un HY27 con el beneficio bruto +17,8 % [5, 8, 41]. En el año sube un 25,6 % frente al 8,5 % del FTSE 250; a cinco años sigue en −2,4 % anual [27]. Beta mensual de 0,68 frente al FTSE 250 y semanal de 1,01; volatilidad del 36 % [27].</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 / +8,5 % / +44,1 % / +23,4 %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 / +79,0 %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2027-05-11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15,4 % el 24-mar-2026 con la actualización del FY2026: guía del FY2027 con el resultado operativo plano por 4,5 M de «normalización de costes» [25, 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del 28,5 % en el mes a 1-jun-2026: resultados del FY2026 en línea, segundo semestre con el beneficio bruto +4,6 % y nueva recompra de 25 M [1,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8,2 % en el mes a 9-sep-2026: JP Morgan empieza con «infraponderar» por el retraso en IA (7-sep)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del 12 % el 17-sep-2026 (de 401,8 a 450,0 peniques) con la subida de la guía del FY2027 [38,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5 % el 13-oct-2026, día de resultados: abrió un 3,9 % arriba y cerró abajo; el resultado operativo crece menos que el beneficio bruto y se anuncia CyberOne [5,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HY27: beneficio bruto +17,8 %, resultado operativo +6,6 %, guía del FY2027 confirmada; compra de CyberOne por 19,4 M más hasta 18,0 M variables, pendiente de la autorización NSI a fin de octubre [5,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Camissa Asset Management baja del 15,25 % al 10,93 % entre agosto y octubre, y Coronation Fund Managers del 29,03 % al 22,55 % entre julio y agosto, vendiendo en mercado; PIC sube del 9,20 % al 11,06 % [22, 23, 24]. No hay colocación anunciada; las ventas se han absorbido con la acción al alza (+8,5 % en tres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Coronation o Camissa anuncian una colocación acelerada, retrasa hasta que se cierre.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Entran en vigor los nuevos incentivos de Microsoft para socios: menos rebaja en productos antiguos (UBS: −5 puntos en Office 365, Exchange, OneDrive y SharePoint, al 15 %), más premio en productos de crecimiento y en CSP; la empresa dice que están en la guía [5,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la guía del FY2027: beneficio bruto +10-15 % y resultado operativo +1-5 %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 Morgan empieza con «infraponderar» por el retraso en IA; Deutsche Bank y Berenberg, «comprar» tras la subida de guía; UBS «vender» desde el 27-jul por los cambios de Microsoft [35, 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100.000 acciones del nuevo presidente y de 25.000 de la consejera delegada a ≈ 4,15 GBP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junta rechaza la autorización para emitir acciones (45,6 % a favor) y la supresión del derecho de suscripción preferente; reduce el riesgo de dilución; ese día la empresa dijo que los cuatro primeros meses llevaban el beneficio bruto creciendo a doble dígito y el resultado plano [16, 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CMA abre una investigación de estatus de mercado estratégico sobre el software empresarial de Microsoft, licencias incluidas; decisión prevista en 2027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director financiero dejará el puesto cuando haya sustituto (seguirá como director de operaciones); en junio, retiro del presidente y llegada de Gavin Rochussen [17,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Próxima actualización de cifras del FY2027 hacia finales de marzo de 2027 y resultados anuales hacia mayo de 2027 (fechas estimadas con el calendario de 2026) [8,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subida del 79 % desde marzo tiene causas recogidas en el informe: recuperación del beneficio bruto tras absorber el recorte de Microsoft de 2025, recompras y subida de guía [5, 41]. No hay hechos pendientes con fecha que puedan mover el precio más de un 5 % en contra: los cambios de incentivos de octubre ya están en la guía, CyberOne es pequeña (19,4 M, el 2 % de la capitalización) y la investigación de la CMA no tiene fecha de decisión. El único riesgo de mercado identificable es la venta continuada de Coronation (22,6 %) y Camissa (10,9 %), que se ha absorbido sin colocación anunciada; si se anunciara una, se retrasaría hasta su cierre. Veredicto global: no cambia (la señal sale de la valoración, que da Mantener).</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la historia al cierre de febrero, Bytes cotiza a 14,8 veces el EBITDA de los últimos 12 meses y a 21,0 veces el beneficio, un 14-15 % por debajo de su media de cinco años (17,2 y 24,6 veces) [27]. Pero esa media incluye los años de crecimiento del 20 % y tipos bajos (PER adelantado de 31,2 y 28,3 veces en 2021 y 2022); el mínimo, 13,3 veces el BPA del FY2027e, fue el de febrero de 2026, en pleno recorte de Microsoft. El cambio estructural es doble: el gilt ha pasado del 1 % al 5,3 % y Microsoft ha recortado el margen del canal. La prima de 2021-2022 no debería volver.</w:t>
      </w:r>
    </w:p>
    <w:p>
      <w:pPr>
        <w:pStyle w:val="Heading1"/>
      </w:pPr>
      <w:r>
        <w:t xml:space="preserve">18. Comparables cotizados</w:t>
      </w:r>
    </w:p>
    <w:p>
      <w:pPr>
        <w:pStyle w:val="Confianza"/>
        <w:spacing w:after="100"/>
      </w:pPr>
      <w:r>
        <w:t xml:space="preserve">Confianza: Media</w:t>
      </w:r>
    </w:p>
    <w:p>
      <w:pPr>
        <w:spacing w:after="100"/>
      </w:pPr>
      <w:r>
        <w:t xml:space="preserve">Revendedores de software y TI con servicios: Softcat (el rival británico más parecido), Computacenter, Bechtle, Cancom y Atea en Europa, y CDW, Insight y ePlus en EE. UU. [13, 30]. Bytes y Softcat publican el software como agente, así que su EV/ventas y su margen sobre ventas no son comparables con los demás (que facturan en bruto); la comparación útil es el PER y el EV/EBITDA. Fuera SoftwareOne (fusión con Crayon y pérdidas) y los mayoristas puros. Datos del 20-oct-2026, en millones de GBP convertidos por Yahoo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Bytes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Softcat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Computacenter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Bechtle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Atea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Insight Enterprises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ePlus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 / 12,4x / 13,1x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 / 16,1x / 16,8x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 / 0,7x / 0,9x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Bytes cotiza a 19,2 veces el beneficio de los próximos 12 meses, por encima de la mediana de 16,1 de los ocho comparables y en línea con Softcat (18,8) y Computacenter (18,1), los dos británicos [13, 30]. A la mediana del PER valdría 3,76 GBP y a la del EV/EBITDA (12,4 veces), 3,83. El EV/ventas (1,00 GBP a la mediana) no se usa: Bytes y Softcat contabilizan el software en neto y sus ventas no son comparables con las de quienes facturan en bruto. La prima frente a los europeos y americanos se justifica por caja neta, rendimiento sobre el capital altísimo y crecimiento del beneficio bruto de doble dígito; frente a Softcat, que crece más en ventas (20,2 %) y no sufrió el mismo golpe de Microsoft, no hay razón para pagar más. Usaríamos 16-19 veces.</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CyberOne (servicios gestionados de ciberseguridad,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Bytes Technology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19,4 M iniciales sobre 9,5 M de ingresos (hasta 37,4 M y ≈ 3,9 veces con todo el variable) [14, 33].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GAI (Government Acquisitions Inc.)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Computacenter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Revendedor al sector público de EE. UU. [32].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AgreeYa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Computacenter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profesionales de TI [32].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 Technology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H.I.G.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Revendedor y servicios de Canadá y EE. UU.; ≈ 1.300 M CAD convertidos a ≈ 1,79 CAD por GBP (estimación propia) [31].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8,6x (8,0x – 10,1x)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 – 3,15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compras de revendedores y servicios de TI se pagan a 7,4-11,5 veces el EBITDA (Converge 7,4 con prima del 56 %, AgreeYa 8,6, GAI 11,5), lo que daría 2,56-3,15 GBP por acción, muy por debajo del precio [31, 32]. CyberOne, la compra de Bytes, se paga a ≈ 2 veces las ventas sin el variable [14, 33]. Bytes no parece objetivo de una opa a corto plazo: el accionariado lo controlan gestoras sudafricanas que están vendiendo en mercado, no buscando comprador, y la valoración de mercado ya supera lo que pagan los compradores del sector. No se pondera.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+13,0 % en ventas, coherente con un primer semestre del +18,7 % y una guía de beneficio bruto del +10-15 % con un segundo semestre de comparación más dura [5, 41]; el consenso espera +14,0 % (251,4 M) [28]. FY2028e +10,0 %, con ≈ 3,5 puntos de CyberOne (9,5 M de ingresos) [14]; después +8, +7, +6, +5, +4 y +3 % hasta el FY2034e. El crecimiento medio de los años no fijos es del 6,1 %, por debajo del 10,9 % anual de las ventas y del 11,7 % del beneficio bruto entre el FY2022 y el FY2026 [1, 2, 3, 4], porque Microsoft seguirá comprimiendo el margen sobre la facturación. El consenso espera +9,8 % y +8,7 % en el FY2028 y FY2029 [28].</w:t>
      </w:r>
    </w:p>
    <w:p>
      <w:pPr>
        <w:keepNext/>
        <w:spacing w:after="100"/>
      </w:pPr>
      <w:r>
        <w:rPr>
          <w:b/>
          <w:bCs/>
        </w:rPr>
        <w:t xml:space="preserve">Márgenes.</w:t>
      </w:r>
    </w:p>
    <w:p>
      <w:pPr>
        <w:spacing w:after="100"/>
      </w:pPr>
      <w:r>
        <w:t xml:space="preserve">Margen EBITDA sobre ventas del 27,7 % en el FY2027e (resultado operativo +4 %, centro de la guía del +1-5 %, más 3,9 M de amortización) y del 27,5 % después, por debajo del 29,8 % del FY2026 y del 31,8 % del FY2025 [1, 5]. La razón: los servicios, que se contabilizan en bruto, crecen más que el software (que va en neto) y bajan el margen sobre ventas aunque suban el beneficio; y la empresa solo promete que el resultado crezca en línea con el beneficio bruto desde el FY2028 [5]. El consenso da un margen EBITDA del 28,0 % en el FY2027 y del 28,3 % en el FY2029 [28].</w:t>
      </w:r>
    </w:p>
    <w:p>
      <w:pPr>
        <w:keepNext/>
        <w:spacing w:after="100"/>
      </w:pPr>
      <w:r>
        <w:rPr>
          <w:b/>
          <w:bCs/>
        </w:rPr>
        <w:t xml:space="preserve">Inversión y circulante.</w:t>
      </w:r>
    </w:p>
    <w:p>
      <w:pPr>
        <w:spacing w:after="100"/>
      </w:pPr>
      <w:r>
        <w:t xml:space="preserve">Capex del 1,0 % de las ventas en el FY2027e (terminó la activación de software; 0,7 M en el HY27) que converge al 1,6 % de la amortización [5]. Circulante comercial del −34 % de las ventas en el FY2027e al −30 % al final (−35,6 % en el FY2026, −30,7 % en el FY2024): suponemos que se hace algo menos negativo porque crecen los servicios brutos y Microsoft factura directamente más EA [1]. Arrendamientos (2,1 M) en la deuda.</w:t>
      </w:r>
    </w:p>
    <w:p>
      <w:pPr>
        <w:keepNext/>
        <w:spacing w:after="100"/>
      </w:pPr>
      <w:r>
        <w:rPr>
          <w:b/>
          <w:bCs/>
        </w:rPr>
        <w:t xml:space="preserve">Coste del capital.</w:t>
      </w:r>
    </w:p>
    <w:p>
      <w:pPr>
        <w:spacing w:after="100"/>
      </w:pPr>
      <w:r>
        <w:t xml:space="preserve">Coste del capital del 10,81 % sin deuda: gilt a 10 años del 5,31 % (15-oct-2026) [34], beta 1,0 (semanal de 5 años 1,01 y de 2 años 0,96 frente al FTSE 250; la mensual de 0,68 sale baja por la cotización poco líquida de 2021-2022) [27], prima de mercado del 5,0 % y 0,5 puntos adicionales por depender de un solo proveedor que fija su margen. Con la prima implícita del mercado (4,2 %) el WACC sería del 10,0 % [36].</w:t>
      </w:r>
    </w:p>
    <w:p>
      <w:pPr>
        <w:keepNext/>
        <w:spacing w:after="100"/>
      </w:pPr>
      <w:r>
        <w:rPr>
          <w:b/>
          <w:bCs/>
        </w:rPr>
        <w:t xml:space="preserve">Valor terminal.</w:t>
      </w:r>
    </w:p>
    <w:p>
      <w:pPr>
        <w:spacing w:after="100"/>
      </w:pPr>
      <w:r>
        <w:t xml:space="preserve">Gordon con un crecimiento del 2,5 %: inflación británica esperada del 2-2,5 % más algo de volumen, por debajo del gilt menos medio punto (4,8 %). El valor terminal pesa el 56 % del valor. El múltiplo de salida de 13 veces el EBITDA (Softcat 14,4 y mediana de comparables 12,4 en los últimos 12 meses) [13] se da como contraste.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M (-7 %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675,0 % (histórico: 325,0 %)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 frente al 7,0 %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-37 M, con un capex bruto medio del 1,5 % de las ventas). En un negocio de activos ligeros, el crecimiento medio del 7,0 %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GII +19,6 % en el HY27 con beneficio bruto público +23,1 % y privado +14,6 %; nuevos clientes y más gasto por cliente (renovación del 115,7 %) [5]. Precio: subidas de lista de Microsoft y de los fabricantes de seguridad («precios firmes») [5]. El margen sobre facturación sigue bajando (6,0 %), lo que resta del volumen.</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crecimiento orgánico a la mitad del FY2027 por la comparación más dura y la cuenta de grandes empresas que va lenta [5]. Otros: CyberOne, 9,5 M de ingresos a jul-26 con crecimiento alto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precio en línea con el gasto en software (+15 % mundial en 2026 según Gartner, más bajo en el Reino Unido) menos la compresión del margen de Microsoft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Desaceleración hacia el crecimiento del mercado; sin nuevas compras.</w:t>
            </w:r>
          </w:p>
        </w:tc>
      </w:tr>
    </w:tbl>
    <w:p>
      <w:pPr>
        <w:spacing w:after="160" w:before="0"/>
      </w:pPr>
    </w:p>
    <w:p>
      <w:pPr>
        <w:spacing w:after="100"/>
      </w:pPr>
      <w:r>
        <w:t xml:space="preserve">El crecimiento proyectado (6,1 % medio en los años no fijos) se financia solo: el negocio no necesita capital y el circulante lo pagan los proveedores, así que las pruebas de reinversión del motor pasan sin esfuerzo, y la cuota es del 3 % de un mercado de ≈ 82.000 M [1]. Lo que no está asegurado es el margen: Bytes no tiene poder de precios propio, Microsoft (50 % del beneficio bruto) fija cada año los incentivos, eliminó la comisión de los EA (cero en 2026 según The Register) y lleva a los grandes clientes a contratos directos [1, 12]. El margen sobre facturación ha caído tres años seguidos (9,0 % → 7,8 % → 7,1 % → 6,0 % en el HY27) [1, 5]. La empresa lo ha compensado con volumen, CSP y servicios, pero esa compensación depende de una decisión de un tercero. Por eso «En parte»: la calidad sostiene el volumen, no el margen.</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(FY2028e-FY2034e)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 (base: 6,1 %)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35,6 % (base: 27,5 %)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 (WACC: 10,8 %)</w:t>
            </w:r>
          </w:p>
        </w:tc>
      </w:tr>
    </w:tbl>
    <w:p>
      <w:pPr>
        <w:spacing w:after="160" w:before="0"/>
      </w:pPr>
    </w:p>
    <w:p>
      <w:pPr>
        <w:spacing w:after="100"/>
      </w:pPr>
      <w:r>
        <w:t xml:space="preserve">El DCF da 3,55 GBP por acción, un 21,2 % por debajo del precio de 4,504 GBP; con la prima implícita del mercado, 3,90. El valor terminal pesa el 56 %. El DCF inverso dice que el precio descuenta un crecimiento de las ventas del 10,1 % anual entre el FY2028 y el FY2034 (frente al 6,1 % de nuestro caso base) o, con nuestro crecimiento, un margen EBITDA del 35,6 % (frente al 27,5 %); la rentabilidad implícita es del 8,9 %, por debajo del 10,8 % de nuestro WACC y del 10,0 % del mercado. Pedir un 10 % anual durante siete años más es repetir la historia de 2021-2025 (ventas +10,9 % anual), que se hizo con el canal de Microsoft intacto y tipos bajos. Es exigente, no imposible: si Bytes mantiene el beneficio bruto al +12 % y el resultado lo sigue, el precio se justifica. El DCF es más fiable que los múltiplos para Bytes porque casi no reinvierte: lo que mide es cuánto vale un flujo libre de ≈ 60 M que crece; la diferencia con el mercado está en la tasa de descuento con un gilt al 5,3 % y en cuánto dura el crecimiento.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Microsoft recorta otra vez los incentivos (como en enero de 2025) y lleva más EA a contratos directos; el beneficio bruto crece al 4-5 % y el resultado operativo cae como en el FY2026; el margen EBITDA baja 2,5 puntos.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beneficio bruto crece al 10-15 % en el FY2027 y luego al ritmo del mercado; el resultado operativo sigue al beneficio bruto desde el FY2028; Microsoft compensa con CSP lo que quita en EA.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Servicios y seguridad (CyberOne) crecen al 30-40 %, la IA (Copilot, gestión del consumo) añade volumen y el apalancamiento operativo sube el margen 1 punto.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GBP) · precio actual 4,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3,41 GBP (-24,3 %).</w:t>
      </w:r>
    </w:p>
    <w:p>
      <w:pPr>
        <w:spacing w:after="100"/>
      </w:pPr>
      <w:r>
        <w:t xml:space="preserve">La asimetría del DCF es mala: el alcista vale 4,02 GBP (−10,7 %) y el bajista 2,52 (−44,0 %), así que ni el escenario bueno llega al precio. El bajista no es cosmético: es lo que pasó en el FY2026 (beneficio bruto +2,5 %, resultado −5,6 %) prolongado. A 12 meses, con la regla de múltiplos, la asimetría es mejor (alcista +45,9 %, bajista −31,7 %) porque el mercado ha pagado históricamente más de 20 veces el beneficio de Bytes; la diferencia entre los dos horizontes es la tesis: el precio de hoy apuesta a que el mercado siga pagando ese múltiplo, no a que el negocio lo valga con un gilt al 5,3 %.</w:t>
      </w:r>
    </w:p>
    <w:p>
      <w:pPr>
        <w:pStyle w:val="Heading1"/>
      </w:pPr>
      <w:r>
        <w:t xml:space="preserve">22. Suma de partes</w:t>
      </w:r>
    </w:p>
    <w:p>
      <w:pPr>
        <w:pStyle w:val="Confianza"/>
        <w:spacing w:after="100"/>
      </w:pPr>
      <w:r>
        <w:t xml:space="preserve">Confianza: Alta</w:t>
      </w:r>
    </w:p>
    <w:p>
      <w:pPr>
        <w:spacing w:after="100"/>
      </w:pPr>
      <w:r>
        <w:t xml:space="preserve">Un solo negocio (reventa de software y servicios con dos marcas por sector); no hay partes con perfiles distintos que valorar por separado.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GBP) · precio actual 4,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3,55 GBP (-21,2 % sobre 4,50).</w:t>
      </w:r>
    </w:p>
    <w:p>
      <w:pPr>
        <w:spacing w:after="100"/>
      </w:pPr>
      <w:r>
        <w:t xml:space="preserve">Pesos: DCF 50 %, escenarios 30 % y comparables 20 %; las transacciones no se usan (Bytes no es objetivo probable y los múltiplos de compra del sector son de 7-12 veces el EBITDA). El DCF pesa más porque el negocio casi no reinvierte y su valor depende del flujo libre y de cuánto dure el crecimiento, que el DCF hace explícito. Los comparables (3,76 por PER y 3,83 por EV/EBITDA) confirman el DCF (3,55); el único método que llega al precio es la regla de múltiplos a 12 meses, porque usa el PER histórico de la propia Bytes. La dispersión entre métodos (2,52-4,02 en el DCF y escenarios, 4,97 a 12 meses) dice que la acción se paga por historia y momento, no por flujo de caja.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(19.1x) a mitad de camino hacia la mediana de 5 años (21.2x)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+45,9 %</w:t>
            </w:r>
          </w:p>
        </w:tc>
      </w:tr>
    </w:tbl>
    <w:p>
      <w:pPr>
        <w:spacing w:after="160" w:before="0"/>
      </w:pPr>
    </w:p>
    <w:p>
      <w:pPr>
        <w:spacing w:after="100"/>
      </w:pPr>
      <w:r>
        <w:rPr>
          <w:b/>
          <w:bCs/>
        </w:rPr>
        <w:t xml:space="preserve">Objetivo a 12 meses (ponderado):</w:t>
      </w:r>
      <w:r>
        <w:t xml:space="preserve"> 4,97 GBP · rentabilidad +12,7 % (base +18,4 %) · señal Mantener.</w:t>
      </w:r>
    </w:p>
    <w:p>
      <w:pPr>
        <w:keepNext/>
        <w:spacing w:after="100"/>
      </w:pPr>
      <w:r>
        <w:rPr>
          <w:b/>
          <w:bCs/>
        </w:rPr>
        <w:t xml:space="preserve">Frente al consenso (solo contraste).</w:t>
      </w:r>
    </w:p>
    <w:p>
      <w:pPr>
        <w:spacing w:after="100"/>
      </w:pPr>
      <w:r>
        <w:t xml:space="preserve">Nuestro BPA coincide con el consenso: 0,2273 frente a 0,22 GBP en el FY2027e (+3 %, por más intereses de la caja), 0,2407 frente a 0,2421 en el FY2028e y 0,26 frente a 0,2594 en el FY2029e [28]. Nuestro precio base (5,23 GBP) queda un 10,8 % por encima del objetivo medio de los analistas (4,72) porque la regla aplica 20,1 veces el BPA del FY2029e y los analistas valoran sobre el FY2028 o con múltiplos más bajos (Simply Wall St resume la tesis bajista en 13,6 veces) [37]. El objetivo medio queda dentro de nuestro rango (2,97-6,47).</w:t>
      </w:r>
    </w:p>
    <w:p>
      <w:pPr>
        <w:keepNext/>
        <w:spacing w:after="100"/>
      </w:pPr>
      <w:r>
        <w:rPr>
          <w:b/>
          <w:bCs/>
        </w:rPr>
        <w:t xml:space="preserve">Del valor intrínseco al objetivo a 12 meses.</w:t>
      </w:r>
    </w:p>
    <w:p>
      <w:pPr>
        <w:spacing w:after="100"/>
      </w:pPr>
      <w:r>
        <w:t xml:space="preserve">El objetivo ponderado a 12 meses es de 4,97 GBP (+12,7 % con dividendos) y el base de 5,23 (+18,4 %), mientras el valor intrínseco es de 3,55: la distancia, del 29 %, es la diferencia entre lo que el mercado ha pagado por Bytes (20-25 veces el beneficio) y lo que vale su flujo de caja descontado al 10,8 %. Para cerrarla haría falta que el crecimiento dure más de lo que suponemos (un 10 % anual hasta 2034) o que bajen los tipos británicos; ninguna de las dos cosas tiene fecha. La tesis de valor, por tanto, no es a 12 meses: a 12 meses el precio puede subir con el múltiplo, pero no hay margen de seguridad.</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octubre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CyberOne (autorización NSI)</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paso del giro a servicios gestionados; 19,4 M de caja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Octubre de 2026 a 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real de los nuevos incentivos de Microsoft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verá en el beneficio bruto del segundo semestre y en la guía del FY2028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nuevos comerciales en las dos filiales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coste en el segundo semestre; capacidad para el FY2028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Hacia marzo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 cifras del FY2027 y primera guía del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que el resultado crece en línea con el beneficio bruto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CMA sobre el estatus de Microsoft en software empresarial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Condiciones sobre licencias y canal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Próximos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del nuevo director financiero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la renovación de la cúpula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Coronation y Camissa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Presión sobre el precio o colocación acelerada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 recorta otra vez los incentivos del canal o lleva más grandes clientes a contratos directos (MCA-E)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−29 % (escenario bajista del DCF: 2,52 frente a 3,55)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CSP, servicios y otros fabricantes (48 % del beneficio bruto); historial de absorber cambios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bruto de Microsoft creciendo menos que el del grupo; margen sobre facturación por debajo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resultado operativo sigue creciendo menos que el beneficio bruto (normalización de costes, comerciales nuevos, servicios con menos margen)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cada 2 puntos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Promesa de la dirección para el FY2028; comisiones variables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 beneficio bruto por debajo del 36 % en el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de los grandes accionistas sudafricanos (Coronation 22,6 %, Camissa 10,9 %)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−5-10 % en una colocación acelerada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PIC comprando (11,1 %); recompras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colocación; nuevas notificaciones de bajada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menos puestos de oficina y menos licencias por usuario en los clientes; proveedores de IA que venden directo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Copilot y consumo de nube suben el gasto por usuario; gestión de costes de 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Número de puestos de Microsoft 365 de los clientes; peso del consumo frente a las licencias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grandes marcos del sector público (70 % de la facturación)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3-5 años; renovaciones recientes (DEFRA, NHS)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Concursos perdidos de Crown Commercial Service o del NHS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menos ingresos financieros y tasa de descuento alta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cada punto de WACC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deuda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Gilt a 10 años y tipo del Banco de Inglaterra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Rotación en la cúpula (presidente nuevo, director financiero por nombrar) y antecedentes de gobierno (caso Murphy, 2024)</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mayoritariamente independiente; compras de acciones de la cúpula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 en el nombramiento del director financiero; salidas en Phoenix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Integración de CyberOne y pago variable de hasta 18 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Adquisición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pequeño (2 % de la capitalización); el variable solo se paga si cumple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de servicios por debajo del 19 %</w:t>
            </w:r>
          </w:p>
        </w:tc>
      </w:tr>
    </w:tbl>
    <w:p>
      <w:pPr>
        <w:spacing w:after="160" w:before="0"/>
      </w:pPr>
    </w:p>
    <w:p>
      <w:pPr>
        <w:pStyle w:val="Heading2"/>
      </w:pPr>
      <w:r>
        <w:t xml:space="preserve">Pre-mortem</w:t>
      </w:r>
    </w:p>
    <w:p>
      <w:pPr>
        <w:spacing w:after="100"/>
      </w:pPr>
      <w:r>
        <w:t xml:space="preserve">Es octubre de 2029 y Bytes ha perdido un 40 %. Lo más probable: en 2027 Microsoft amplió los contratos directos (MCA-E) a clientes de 1.000-3.000 usuarios y redujo de nuevo los incentivos de CSP para financiar sus agentes de IA. El beneficio bruto de Microsoft, que era la mitad del total, cayó un 10 % en el FY2028 aunque la facturación seguía subiendo. A la vez, los clientes empezaron a recortar puestos de oficina y licencias por usuario gracias a la IA, y los proveedores de IA (OpenAI, Anthropic) vendieron directamente o por los marketplaces de Azure y AWS. Los servicios crecieron, pero con márgenes del 19 % no compensaron. El resultado operativo cayó dos años seguidos, la dirección retiró la guía y el mercado dejó de pagar 20 veces el beneficio: pasó a 13 veces, el mínimo de 2026. Coronation terminó de vender en una colocación. Las señales que lo habrían anticipado: el margen sobre facturación bajando del 6 %, el beneficio bruto de Microsoft creciendo menos que el del grupo y el número de puestos de Microsoft 365 de los clientes estancado.</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−10 % a 3-5 años (con un rango de −25 % a +10 %)</w:t>
      </w:r>
    </w:p>
    <w:p>
      <w:pPr>
        <w:spacing w:after="100"/>
      </w:pPr>
      <w:r>
        <w:t xml:space="preserve">La IA toca a Bytes por los dos lados. A favor: Copilot es un producto más caro por usuario (y Microsoft dobló al 20 % el margen base de Copilot para el canal), los clientes necesitan identidad, gobierno de datos, seguridad y formación antes de desplegarla, y la IA se cobra por consumo, lo que crea demanda de gestión de costes; Bytes ayuda al NHS a desplegar Copilot para ≈ 500.000 empleados [5, 35]. En contra: la IA puede reducir puestos de oficina y, con ellos, licencias por usuario de Microsoft 365, que son el corazón del beneficio bruto; y los nuevos proveedores de IA venden directo o por marketplaces, sin revendedor (lo que llevó a JP Morgan a infraponderar y a UBS a dudar) [35]. Internamente, la IA ya le ahorra plantilla (revisión de presupuestos de 30 a 7 minutos) [6]. Señal a vigilar: número de puestos de Microsoft 365 en los clientes y peso de los ingresos de consumo frente a licencias; umbral: dos semestres seguidos de caída de puestos.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Los asuntos que mueven cifras son tres: (1) seguridad de la información, porque gestiona licencias y datos de 5.900 clientes, muchos públicos, y una brecha le costaría acreditaciones; (2) retención y formación del personal, que es el 78 % del gasto (82 M de 105 M en el FY2026) [1]; y (3) gobierno, tras el caso Murphy de 2024 y la concentración del accionariado en gestoras sudafricanas [1]. Las emisiones son irrelevantes para las cifras.</w:t>
      </w:r>
    </w:p>
    <w:p>
      <w:pPr>
        <w:pStyle w:val="Heading2"/>
      </w:pPr>
      <w:r>
        <w:t xml:space="preserve">Controversias</w:t>
      </w:r>
    </w:p>
    <w:p>
      <w:pPr>
        <w:spacing w:after="100"/>
      </w:pPr>
      <w:r>
        <w:t xml:space="preserve">Dimisión del consejero delegado en febrero de 2024 por operaciones con acciones no comunicadas, con reexpresión de sus participaciones desde 2020 [1]. Sin sanciones ni litigios materiales conocidos en los últimos tres años tras revisar los informes anuales y los RNS.</w:t>
      </w:r>
    </w:p>
    <w:p>
      <w:pPr>
        <w:pStyle w:val="Heading1"/>
      </w:pPr>
      <w:r>
        <w:t xml:space="preserve">27. Preguntas abiertas para la dirección y la due diligence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beneficio bruto son rebajas, comisiones e incentivos pagados por Microsoft (no margen de reventa), y cuánto les quitan los cambios de octubre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cifra que más mueve el valor y la empresa no la publica.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directa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de EA han pasado a contratos directos (MCA-E) y qué beneficio bruto se ha perdido con ellos?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comisión de los EA desaparece en 2026 según la prensa del sector.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crecimiento del beneficio bruto se cumple el «resultado en línea con el beneficio bruto» del FY2028?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resultado ha crecido menos que el beneficio bruto dos años seguidos.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evoluciona el número de puestos de Microsoft 365 de los clientes y el gasto por usuario?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puede reducir puestos y licencias por usuario.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Accionistas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¿Conoce la empresa la intención de Coronation y Camissa con lo que les queda?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33 % del capital en dos gestoras que venden.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bajó el margen de servicios del 24 % al 19 % y cuándo se recupera?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servicios son la apuesta para compensar a Microsoft.</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¿Cuánta caja considera la empresa «necesaria» para su circulante negativo y cuánto es excedente?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Define cuánto puede devolver y el puente del DCF.</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narrativa bajista pasa de un riesgo lejano (IA y venta directa) a uno inmediato: margen sobre facturación a la baja por Microsoft y resultado que crece menos que el beneficio bruto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AskTraders (análisis y comentarios de operadores)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Buen semestre, pero «el beneficio va por detrás del crecimiento»; la acción abrió +3,9 % el día de resultados y lo devolvió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BusinessDay (Sudáfrica, inversores de la cotización en Johannesburgo)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lee como recuperación tras el aviso de 2025 y apuesta por seguridad e IA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The Register (comentarios del canal de Microsoft)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canal ve la eliminación de las comisiones de los EA como un cambio estructural sin puente para los socios [12].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Microsoft y sus incentivos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en el riesgo: el margen sobre facturación bajó del 9,0 % al 6,0 % y Microsoft es la mitad del beneficio bruto; pero el beneficio bruto de Microsoft creció en línea con el grupo (+17,8 %) en el HY27 [12, 37].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resultado crece menos que el beneficio bruto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el FY2026 y el HY27 (resultado / beneficio bruto del 40,7 % al 36,4 %); la empresa promete que crecerán igual desde el FY2028 [38].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Recuperación tras el aviso de 2025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Respaldado por las cifras: beneficio bruto +17,8 % y guía subida [39].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 Copilot frente a venta directa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pruebas de las dos cosas: proyecto NHS Copilot y, a la vez, la rebaja de JP Morgan por «retraso en IA» [39].</w:t>
            </w:r>
          </w:p>
        </w:tc>
      </w:tr>
    </w:tbl>
    <w:p>
      <w:pPr>
        <w:spacing w:after="160" w:before="0"/>
      </w:pPr>
    </w:p>
    <w:p>
      <w:pPr>
        <w:spacing w:after="100"/>
      </w:pPr>
      <w:r>
        <w:t xml:space="preserve">El sentimiento no es extremo: tras subir un 79 % desde el mínimo de marzo de 2026, el debate es si el crecimiento del beneficio bruto llegará al resultado. Los foros coinciden con el riesgo central del informe (Microsoft decide el margen) y no aportan uno nuevo. Hay poco debate abierto en los foros británicos (LSE Chat no abre); la base de inversores es en gran parte institucional y sudafricana, y su movimiento real se ve en las notificaciones de participaciones (Coronation y Camissa vendiendo), no en los foros.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18 controles correctos. Fuentes: 46 (29 primarias); citas distintas en el texto: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-34,0 % frente a -35,6 % real: genera una variación de circulante de -6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 fuentes (29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del informe anual: no hay deuda; 2) RNS HY27: línea de 30 M sin disponer; 3)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(ESG): sin calificaciones con fecha; 2) web de MSCI y Sustainalytics: no accesibles sin registro; 3) prensa: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FY2026: tabla de participaciones sin texto legible en la extracción; 2) RNS de compras de julio de 2026: solo la operación; 3) informe FY2024: 137.855 acciones de Sam Mudd entonces (&lt; 0,1 %)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de la FCA: sin posiciones publicadas por encima del 0,5 % en la consulta; 2) Barclays declara 1,73 % en instrumentos (no es corta); 3) prensa: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sin históricos gratuitos; 2) Yahoo: solo actuales; 3) se calcula la historia adelantada con el BPA real del año siguiente en el objetivo a 12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and Accounts 2025/26 (ejercicio a 28-feb-2026; ESEF): cuentas, notas 2-4, 11, 23, 27, revisión financiera, riesgos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Bytes Technology Group plc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https://filings.xbrl.org/213800LA4DZLFBAC9O33/2026-02-28/ESEF/GB/0/213800LA4DZLFBAC9O33-2026-02-28/reports/213800LA4DZLFBAC9O33-2026-02-28-T01.xhtml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and Accounts 2024/25 (ejercicio a 28-feb-2025;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Bytes Technology Group plc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https://filings.xbrl.org/213800LA4DZLFBAC9O33/2025-02-28/ESEF/GB/0/213800LA4DZLFBAC9O33-2025-02-28/reports/213800LA4DZLFBAC9O33-2025-02-28-T01.xhtml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and Accounts 2023/24 (ejercicio a 29-feb-2024;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Bytes Technology Group plc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https://filings.xbrl.org/213800LA4DZLFBAC9O33/2024-02-29/ESEF/GB/0/213800LA4DZLFBAC9O33-2024-02-29/reports/213800LA4DZLFBAC9O33-2024-02-29-T01.xhtml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FY23 (ejercicio a 28-feb-2023), con el FY22 reexpresado (software como agente: −302 M de ventas y coste)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Bytes Technology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https://www.investegate.co.uk/announcement/rns/bytes-technology-group--byit/preliminary-results/7538129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HY27 (seis meses a 31-ago-2026): cuenta, balance, flujos, BPA, guía FY27, Microsoft, CyberOne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Bytes Technology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https://www.investegate.co.uk/announcement/rns/bytes-technology-group--byit/interim-results/9819138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for the six months ended 31 August 2026 (presentación a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Bytes Technology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https://www.directorstalkinterviews.com/wp-content/uploads/2026/10/btg-hy27-results-presentation.pdf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HY26 (seis meses a 31-ago-2025)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Bytes Technology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https://www.investegate.co.uk/announcement/rns/bytes-technology-group--byit/interim-results/9168725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Audited Results FY26 (12-may-2026)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Bytes Technology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https://www.investegate.co.uk/announcement/rns/bytes-technology-group--byit/audited-results/9562912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ESEF de los ejercicios FY2021-FY2026 (herramienta cuentas.mjs sobre filings.xbrl.org)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https://filings.xbrl.org/213800LA4DZLFBAC9O33/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Voting Rights (230.109.146 acciones tras la recompra)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Bytes Technology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https://www.investegate.co.uk/announcement/rns/bytes-technology-group--byit/total-voting-rights/9800150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gasto mundial en software de 1,44 billones USD en 2026 (+15,1 %)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SaaStr (resumen de Gartner)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https://www.saastr.com/gartner-software-spend-now-1-44-trillion-in-2026-revised-back-up-to-15-1-the-slowdown-never-came-are-you-grabbing-it/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 designed Microsoft's $5B EA channel architecture in 2001. The 2026 transition is missing what made it work (comisiones LSP de EA: 2.500 M USD en 2023, 1.670 en 2024, 583 en 2025, cero en 2026; investigación SMS de la CMA)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https://www.theregister.com/os-platforms/2026/06/01/i-designed-microsofts-5b-ea-channel-architecture-in-2001-the-2026-transition-is-missing-what-made-it-work/5248235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ventas de los últimos 12 meses y margen operativo de Softcat, Computacenter, CDW, Bechtle, Insight, Cancom y Atea (tomado del expediente de Computacenter del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https://finance.yahoo.com/quote/SCT.L/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Bytes Technology To Acquire UK-based CyberOne (mercado británico de servicios de ciberseguridad ≈ 5.200 M GBP en 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RTTNews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https://www.rttnews.com/3698414/bytes-technology-to-acquire-uk-based-cyberone-for-initial-19-4-mln-in-cash-shares-down.aspx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Bytes plunges as profit warning spooks market (julio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https://www.businessday.co.za/bd/companies/telecoms-and-technology/2025-07-02-bytes-plunges-as-profit-warning-spooks-market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(9-jul-2026): votos por resolución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Bytes Technology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https://www.investegate.co.uk/announcement/rns/bytes-technology-group--byit/result-of-agm/9661816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Retirement of Chair and Board appointments (Gavin Rochussen y Tapiwa Ngara)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Bytes Technology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https://www.investegate.co.uk/announcement/rns/bytes-technology-group--byit/retirement-of-chair-and-board-appointments/9645686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Directorate change (Rochussen presidente desde el 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Bytes Technology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https://www.investegate.co.uk/announcement/rns/bytes-technology-group--byit/directorate-change/9754933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 change: separación de los puestos de director financiero y de operaciones (Andrew Holden)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Bytes Technology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https://www.investegate.co.uk/announcement/rns/bytes-technology-group--byit/board-change-/9562969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compras de Sam Mudd y Gavin Rochussen (13-jul-2026)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Bytes Technology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https://www.investegate.co.uk/announcement/rns/bytes-technology-group--byit/director-pdmr-shareholding/9667848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venta automática de 23 acciones de Andrew Holden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Bytes Technology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https://www.investegate.co.uk/announcement/rns/bytes-technology-group--byit/director-pdmr-shareholding/9704874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Coronation Fund Managers baja del 29,03 % al 22,55 % (jul-ago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Bytes Technology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https://www.investegate.co.uk/announcement/rns/bytes-technology-group--byit/holding-s-in-company/9749105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Camissa Asset Management baja del 15,25 % al 10,93 % (ago-oct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Bytes Technology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https://www.investegate.co.uk/announcement/rns/bytes-technology-group--byit/holding-s-in-company/9818549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Public Investment Corporation sube del 9,20 % al 11,06 % (jul-2026)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Bytes Technology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https://www.investegate.co.uk/announcement/rns/bytes-technology-group--byit/holding-s-in-company/9699240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Trading Update (24-mar-2026): guía FY2027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Bytes Technology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https://www.investegate.co.uk/announcement/rns/bytes-technology-group--byit/full-year-trading-update/9487892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Barclays Capital Securities 5,00 % (acciones e instrumentos, 21-sep-2026)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Bytes Technology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https://www.investegate.co.uk/announcement/rns/bytes-technology-group--byit/holding-s-in-company/9782051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BYIT.L, ^FTMC y EXV3.DE hasta el 19-oct-2026 (herramienta bolsa.mjs): precio, rango, betas, volatilidad, cierres de febrero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https://finance.yahoo.com/quote/BYIT.L/history/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Bytes Technology Group plc: estimaciones anuales FY2027-FY2029, objetivo medio de 11 analistas (4,72 GBP), máximo 5,25 y mínimo 3,65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https://www.marketscreener.com/quote/stock/BYTES-TECHNOLOGY-GROUP-PL-116485507/finances/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Bytes Technology: consenso (6 comprar, 3 mantener, 2 vender; objetivo medio 472 peniques, 525 máximo y 365 mínimo)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https://uk.investing.com/equities/bytes-technology-consensus-estimates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Computacenter: informe value del 20-oct-2026 (precio 50,25 GBP, PER de los próximos 12 meses 18,1, EV/EBITDA 12,7 y 10,8)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(informes/computacenter-2026-10-20)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informes/computacenter-2026-10-20/datos.json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 Technology Solutions to be Acquired by H.I.G. Capital (≈ 7,4 veces el EBITDA ajustado, prima del 56 %)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 Technology Solutions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https://convergetp.com/2025/02/07/converge-technology-solutions-to-be-acquired-by-h-i-g-capital/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Computacenter 2026 Half Year Results (compras de GAI y AgreeYa con su EBITDA)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Computacenter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https://www.directorstalkinterviews.com/wp-content/uploads/2026/09/Computacenter-2026-Half-Year-Results.pdf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Acquisition of CyberOne (19,4 M iniciales, hasta 18,0 M variables)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Bytes Technology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https://www.investegate.co.uk/announcement/rns/bytes-technology-group--byit/acquisition-of-cyberone-/9819095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nominal a 10 años de la deuda pública británica (serie IUDMNPY, 5,31 % el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 Interactive Database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https://www.bankofengland.co.uk/boeapps/database/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cambios de recomendación (JP Morgan infraponderar 7-sep; Deutsche Bank comprar 26-ago; UBS vender 27-jul; Berenberg comprar)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https://www.marketscreener.com/quote/stock/BYTES-TECHNOLOGY-GROUP-PL-116485507/consensus/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prima implícita del S&amp;P 500 (ERP T12m with sustainable payout),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BYIT: Reseller Margin Pressure And Slower Services Scaling Will Weigh On Long Term Earnings (narrativa de la comunidad,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(comunidad)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https://simplywall.st/community/narratives/gb/software/lse-byit/bytes-technology-group-shares/azb7sibs-margin-and-microsoft-risk-will-curb-gains-yet-spark-hope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Bytes Technology Holds Guidance as Profit Lags Growth and CyberOne Deal Lands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AskTraders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https://www.asktraders.com/analysis/bytes-technology-holds-guidance-as-profit-lags-growth-and-cyberone-deal-lands/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Bytes focuses on AI, cybersecurity and cloud for growth (y comentarios en la prensa sudafricana)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https://www.businessday.co.za/companies/2026-10-14-bytes-focuses-on-ai-cybersecurity-and-cloud-for-growth/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Cálculos propios de la historia del PER adelantado, del BPA de los escenarios y del puente (este expediente: notas/propio.mjs)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informes/bytes-2026-10-20/notas/propio.mjs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Trading Update (17-sep-2026): guía del FY2027 subida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Bytes Technology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https://www.investegate.co.uk/announcement/rns/bytes-technology-group--byit/half-year-trading-update/9776191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Movimiento del precio de BYIT.L a 20-oct-2026 (herramienta movimiento.mjs) y precio intradía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(chart API)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https://finance.yahoo.com/quote/BYIT.L/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Noticias de 12 meses de Bytes (herramienta noticias.mjs: recomendaciones, recompras,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Varios medios (Proactive, Yahoo Finance UK, BusinessCloud,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Bytes Technology Group's share price drops 15% after trading update (24-mar-2026)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BusinessCloud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https://businesscloud.co.uk/news/bytes-technology-groups-share-price-drops-15-after-trading-update/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Statement (9-jul-2026): cuatro primeros meses con beneficio bruto de doble dígito y resultado plano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Bytes Technology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https://www.investegate.co.uk/announcement/rns/bytes-technology-group--byit/agm-statement/9659644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 in Own Shares (7-8 sep-2026, últimas compras a 404-415 peniques) y cierre de la recompra de 25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Bytes Technology Group plc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https://www.investegate.co.uk/announcement/rns/bytes-technology-group--byit/transaction-in-own-shares/9762690</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90,2 %</w:t>
      </w:r>
      <w:r>
        <w:t xml:space="preserve"> · Secciones con menos del 60 % de campos cubiertos: </w:t>
      </w:r>
      <w:r>
        <w:rPr>
          <w:b/>
          <w:bCs/>
        </w:rPr>
        <w:t xml:space="preserve">ninguna</w:t>
      </w:r>
      <w:r>
        <w:t xml:space="preserve"> · Generado el 20 oct 2026.</w:t>
      </w:r>
    </w:p>
    <w:p>
      <w:pPr>
        <w:pStyle w:val="Nota"/>
        <w:spacing w:after="100"/>
      </w:pPr>
      <w:r>
        <w:t xml:space="preserve">Cotiza en Londres en peniques (450,4 GBp al cierre del 19-oct-2026); el informe trabaja en libras (4,504 GBP), la divisa de las cuentas, con tipo de cambio 1. El precio es el cierre del 19-oct-2026 porque la sesión del 20-oct no había cerrado al empezar; a las 14:45 UTC del 20-oct cotizaba a 454,0 peniques (+0,8 %) [42]. La línea principal es Londres; hay una secundaria en Johannesburgo (BYI). Ejercicio a 28/29 de febrero, etiquetado por el año en que termina (FY2026 = mar-25 a feb-26). Las cuentas salen del XBRL ESEF del regulador (FY2021-FY2026) [9]. Las ventas NIIF mezclan software neto (agente) con hardware y servicios propios brutos: no miden la actividad, que se mide con el beneficio bruto (167,3 M en el FY2026). El FY2021 no se usa porque sus ventas no están reexpresadas al criterio de agente; el FY2022 sí (reexpresado en las cuentas del FY2023). Comparables tomados de la misma consulta de Yahoo del 20-oct-2026 que el informe de Computacenter del mismo día. Gilt a 10 años del 15-oct-2026 (la base de datos del Banco de Inglaterra no respondió el 20-oct).</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Bytes Technology Group plc (BYIT)</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4,50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(2,49 – 4,94)</c:v>
                </c:pt>
                <c:pt idx="1">
                  <c:v>Precio objetivo de los analistas (3,65 – 5,25)</c:v>
                </c:pt>
                <c:pt idx="2">
                  <c:v>Comparables: PER NTM (3,20 – 3,94)</c:v>
                </c:pt>
                <c:pt idx="3">
                  <c:v>Transacciones precedentes (EV/EBITDA) (2,56 – 3,15)</c:v>
                </c:pt>
                <c:pt idx="4">
                  <c:v>DCF (WACC y g ± 0,5) (3,27 – 3,91)</c:v>
                </c:pt>
                <c:pt idx="5">
                  <c:v>Escenarios (bajista – alcista) (2,52 – 4,02)</c:v>
                </c:pt>
                <c:pt idx="6">
                  <c:v>DCF con la prima implícita del mercado (4,2 %)</c:v>
                </c:pt>
                <c:pt idx="7">
                  <c:v>Precio actual (4,50)</c:v>
                </c:pt>
              </c:strCache>
            </c:strRef>
          </c:cat>
          <c:val>
            <c:numRef>
              <c:f>Hoja1!$B$2:$B$9</c:f>
              <c:numCache>
                <c:formatCode>#,##0.00</c:formatCode>
                <c:ptCount val="8"/>
                <c:pt idx="0">
                  <c:v>2.49</c:v>
                </c:pt>
                <c:pt idx="1">
                  <c:v>3.65</c:v>
                </c:pt>
                <c:pt idx="2">
                  <c:v>3.2</c:v>
                </c:pt>
                <c:pt idx="3">
                  <c:v>2.56</c:v>
                </c:pt>
                <c:pt idx="4">
                  <c:v>3.27</c:v>
                </c:pt>
                <c:pt idx="5">
                  <c:v>2.52</c:v>
                </c:pt>
                <c:pt idx="6">
                  <c:v>3.68</c:v>
                </c:pt>
                <c:pt idx="7">
                  <c:v>4.48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(2,49 – 4,94)</c:v>
                </c:pt>
                <c:pt idx="1">
                  <c:v>Precio objetivo de los analistas (3,65 – 5,25)</c:v>
                </c:pt>
                <c:pt idx="2">
                  <c:v>Comparables: PER NTM (3,20 – 3,94)</c:v>
                </c:pt>
                <c:pt idx="3">
                  <c:v>Transacciones precedentes (EV/EBITDA) (2,56 – 3,15)</c:v>
                </c:pt>
                <c:pt idx="4">
                  <c:v>DCF (WACC y g ± 0,5) (3,27 – 3,91)</c:v>
                </c:pt>
                <c:pt idx="5">
                  <c:v>Escenarios (bajista – alcista) (2,52 – 4,02)</c:v>
                </c:pt>
                <c:pt idx="6">
                  <c:v>DCF con la prima implícita del mercado (4,2 %)</c:v>
                </c:pt>
                <c:pt idx="7">
                  <c:v>Precio actual (4,50)</c:v>
                </c:pt>
              </c:strCache>
            </c:strRef>
          </c:cat>
          <c:val>
            <c:numRef>
              <c:f>Hoja1!$C$2:$C$9</c:f>
              <c:numCache>
                <c:formatCode>#,##0.00</c:formatCode>
                <c:ptCount val="8"/>
                <c:pt idx="0">
                  <c:v>2.45</c:v>
                </c:pt>
                <c:pt idx="1">
                  <c:v>1.6</c:v>
                </c:pt>
                <c:pt idx="2">
                  <c:v>0.7399999999999998</c:v>
                </c:pt>
                <c:pt idx="3">
                  <c:v>0.5899999999999999</c:v>
                </c:pt>
                <c:pt idx="4">
                  <c:v>0.6400000000000001</c:v>
                </c:pt>
                <c:pt idx="5">
                  <c:v>1.4999999999999996</c:v>
                </c:pt>
                <c:pt idx="6">
                  <c:v>0.48</c:v>
                </c:pt>
                <c:pt idx="7">
                  <c:v>0.04999999999999982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(GBP, millones)</a:t>
            </a:r>
          </a:p>
        </c:rich>
      </c:tx>
      <c:overlay val="0"/>
    </c:title>
    <c:autoTitleDeleted val="0"/>
    <c:plotArea>
      <c:layout/>
      <c:barChart>
        <c:barDir val="col"/>
        <c:grouping val="stacked"/>
        <c:varyColors val="0"/>
        <c:ser>
          <c:idx val="0"/>
          <c:order val="0"/>
          <c:tx>
            <c:strRef>
              <c:f>Hoja1!$B$1</c:f>
              <c:strCache>
                <c:ptCount val="1"/>
                <c:pt idx="0">
                  <c:v>Software</c:v>
                </c:pt>
              </c:strCache>
            </c:strRef>
          </c:tx>
          <c:spPr>
            <a:solidFill>
              <a:srgbClr val="2A78D6"/>
            </a:solidFill>
            <a:ln w="12700">
              <a:solidFill>
                <a:srgbClr val="FFFFFF"/>
              </a:solidFill>
            </a:ln>
          </c:spPr>
          <c:invertIfNegative val="0"/>
          <c:cat>
            <c:strRef>
              <c:f>Hoja1!$A$2:$A$4</c:f>
              <c:strCache>
                <c:ptCount val="3"/>
                <c:pt idx="0">
                  <c:v>FY2024</c:v>
                </c:pt>
                <c:pt idx="1">
                  <c:v>FY2025</c:v>
                </c:pt>
                <c:pt idx="2">
                  <c:v>FY2026</c:v>
                </c:pt>
              </c:strCache>
            </c:strRef>
          </c:cat>
          <c:val>
            <c:numRef>
              <c:f>Hoja1!$B$2:$B$4</c:f>
              <c:numCache>
                <c:formatCode>#,##0</c:formatCode>
                <c:ptCount val="3"/>
                <c:pt idx="0">
                  <c:v>130.4</c:v>
                </c:pt>
                <c:pt idx="1">
                  <c:v>146</c:v>
                </c:pt>
                <c:pt idx="2">
                  <c:v>145.2</c:v>
                </c:pt>
              </c:numCache>
            </c:numRef>
          </c:val>
        </c:ser>
        <c:ser>
          <c:idx val="1"/>
          <c:order val="1"/>
          <c:tx>
            <c:strRef>
              <c:f>Hoja1!$C$1</c:f>
              <c:strCache>
                <c:ptCount val="1"/>
                <c:pt idx="0">
                  <c:v>Hardware</c:v>
                </c:pt>
              </c:strCache>
            </c:strRef>
          </c:tx>
          <c:spPr>
            <a:solidFill>
              <a:srgbClr val="EB6834"/>
            </a:solidFill>
            <a:ln w="12700">
              <a:solidFill>
                <a:srgbClr val="FFFFFF"/>
              </a:solidFill>
            </a:ln>
          </c:spPr>
          <c:invertIfNegative val="0"/>
          <c:cat>
            <c:strRef>
              <c:f>Hoja1!$A$2:$A$4</c:f>
              <c:strCache>
                <c:ptCount val="3"/>
                <c:pt idx="0">
                  <c:v>FY2024</c:v>
                </c:pt>
                <c:pt idx="1">
                  <c:v>FY2025</c:v>
                </c:pt>
                <c:pt idx="2">
                  <c:v>FY2026</c:v>
                </c:pt>
              </c:strCache>
            </c:strRef>
          </c:cat>
          <c:val>
            <c:numRef>
              <c:f>Hoja1!$C$2:$C$4</c:f>
              <c:numCache>
                <c:formatCode>#,##0</c:formatCode>
                <c:ptCount val="3"/>
                <c:pt idx="0">
                  <c:v>41.4</c:v>
                </c:pt>
                <c:pt idx="1">
                  <c:v>33.2</c:v>
                </c:pt>
                <c:pt idx="2">
                  <c:v>31.3</c:v>
                </c:pt>
              </c:numCache>
            </c:numRef>
          </c:val>
        </c:ser>
        <c:ser>
          <c:idx val="2"/>
          <c:order val="2"/>
          <c:tx>
            <c:strRef>
              <c:f>Hoja1!$D$1</c:f>
              <c:strCache>
                <c:ptCount val="1"/>
                <c:pt idx="0">
                  <c:v>Servicios propios</c:v>
                </c:pt>
              </c:strCache>
            </c:strRef>
          </c:tx>
          <c:spPr>
            <a:solidFill>
              <a:srgbClr val="1BAF7A"/>
            </a:solidFill>
            <a:ln w="12700">
              <a:solidFill>
                <a:srgbClr val="FFFFFF"/>
              </a:solidFill>
            </a:ln>
          </c:spPr>
          <c:invertIfNegative val="0"/>
          <c:cat>
            <c:strRef>
              <c:f>Hoja1!$A$2:$A$4</c:f>
              <c:strCache>
                <c:ptCount val="3"/>
                <c:pt idx="0">
                  <c:v>FY2024</c:v>
                </c:pt>
                <c:pt idx="1">
                  <c:v>FY2025</c:v>
                </c:pt>
                <c:pt idx="2">
                  <c:v>FY2026</c:v>
                </c:pt>
              </c:strCache>
            </c:strRef>
          </c:cat>
          <c:val>
            <c:numRef>
              <c:f>Hoja1!$D$2:$D$4</c:f>
              <c:numCache>
                <c:formatCode>#,##0</c:formatCode>
                <c:ptCount val="3"/>
                <c:pt idx="0">
                  <c:v>31.5</c:v>
                </c:pt>
                <c:pt idx="1">
                  <c:v>34</c:v>
                </c:pt>
                <c:pt idx="2">
                  <c:v>39.3</c:v>
                </c:pt>
              </c:numCache>
            </c:numRef>
          </c:val>
        </c:ser>
        <c:ser>
          <c:idx val="3"/>
          <c:order val="3"/>
          <c:tx>
            <c:strRef>
              <c:f>Hoja1!$E$1</c:f>
              <c:strCache>
                <c:ptCount val="1"/>
                <c:pt idx="0">
                  <c:v>Servicios de terceros</c:v>
                </c:pt>
              </c:strCache>
            </c:strRef>
          </c:tx>
          <c:spPr>
            <a:solidFill>
              <a:srgbClr val="EDA100"/>
            </a:solidFill>
            <a:ln w="12700">
              <a:solidFill>
                <a:srgbClr val="FFFFFF"/>
              </a:solidFill>
            </a:ln>
          </c:spPr>
          <c:invertIfNegative val="0"/>
          <c:cat>
            <c:strRef>
              <c:f>Hoja1!$A$2:$A$4</c:f>
              <c:strCache>
                <c:ptCount val="3"/>
                <c:pt idx="0">
                  <c:v>FY2024</c:v>
                </c:pt>
                <c:pt idx="1">
                  <c:v>FY2025</c:v>
                </c:pt>
                <c:pt idx="2">
                  <c:v>FY2026</c:v>
                </c:pt>
              </c:strCache>
            </c:strRef>
          </c:cat>
          <c:val>
            <c:numRef>
              <c:f>Hoja1!$E$2:$E$4</c:f>
              <c:numCache>
                <c:formatCode>#,##0</c:formatCode>
                <c:ptCount val="3"/>
                <c:pt idx="0">
                  <c:v>3.7</c:v>
                </c:pt>
                <c:pt idx="1">
                  <c:v>3.9</c:v>
                </c:pt>
                <c:pt idx="2">
                  <c:v>4.8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Software</c:v>
                </c:pt>
                <c:pt idx="1">
                  <c:v>Hardware</c:v>
                </c:pt>
                <c:pt idx="2">
                  <c:v>Servicios propios</c:v>
                </c:pt>
                <c:pt idx="3">
                  <c:v>Servicios de terceros</c:v>
                </c:pt>
              </c:strCache>
            </c:strRef>
          </c:cat>
          <c:val>
            <c:numRef>
              <c:f>Hoja1!$B$2:$B$5</c:f>
              <c:numCache>
                <c:formatCode>General</c:formatCode>
                <c:ptCount val="4"/>
                <c:pt idx="0">
                  <c:v>65.8</c:v>
                </c:pt>
                <c:pt idx="1">
                  <c:v>14.2</c:v>
                </c:pt>
                <c:pt idx="2">
                  <c:v>17.8</c:v>
                </c:pt>
                <c:pt idx="3">
                  <c:v>2.2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Reino Unido</c:v>
                </c:pt>
                <c:pt idx="1">
                  <c:v>Europa</c:v>
                </c:pt>
                <c:pt idx="2">
                  <c:v>Resto del mundo</c:v>
                </c:pt>
              </c:strCache>
            </c:strRef>
          </c:cat>
          <c:val>
            <c:numRef>
              <c:f>Hoja1!$B$2:$B$4</c:f>
              <c:numCache>
                <c:formatCode>0"%"</c:formatCode>
                <c:ptCount val="3"/>
                <c:pt idx="0">
                  <c:v>96.1</c:v>
                </c:pt>
                <c:pt idx="1">
                  <c:v>2.3</c:v>
                </c:pt>
                <c:pt idx="2">
                  <c:v>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GBP (mercado direccionable según la empresa))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2026</c:v>
                </c:pt>
              </c:strCache>
            </c:strRef>
          </c:cat>
          <c:val>
            <c:numRef>
              <c:f>Hoja1!$B$2</c:f>
              <c:numCache>
                <c:formatCode>#,##0</c:formatCode>
                <c:ptCount val="1"/>
                <c:pt idx="0">
                  <c:v>82000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5</c:v>
                </c:pt>
                <c:pt idx="3">
                  <c:v>2</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Bytes</c:v>
                </c:pt>
                <c:pt idx="1">
                  <c:v>Softcat</c:v>
                </c:pt>
                <c:pt idx="2">
                  <c:v>Computacenter</c:v>
                </c:pt>
                <c:pt idx="3">
                  <c:v>CDW Corporation</c:v>
                </c:pt>
                <c:pt idx="4">
                  <c:v>Bechtle</c:v>
                </c:pt>
                <c:pt idx="5">
                  <c:v>Insight Enterprises</c:v>
                </c:pt>
                <c:pt idx="6">
                  <c:v>Cancom</c:v>
                </c:pt>
              </c:strCache>
            </c:strRef>
          </c:cat>
          <c:val>
            <c:numRef>
              <c:f>Hoja1!$B$2:$B$8</c:f>
              <c:numCache>
                <c:formatCode>0.0"%"</c:formatCode>
                <c:ptCount val="7"/>
                <c:pt idx="0">
                  <c:v>28.4</c:v>
                </c:pt>
                <c:pt idx="1">
                  <c:v>10.7</c:v>
                </c:pt>
                <c:pt idx="2">
                  <c:v>2.8</c:v>
                </c:pt>
                <c:pt idx="3">
                  <c:v>7.3</c:v>
                </c:pt>
                <c:pt idx="4">
                  <c:v>4.9</c:v>
                </c:pt>
                <c:pt idx="5">
                  <c:v>6.2</c:v>
                </c:pt>
                <c:pt idx="6">
                  <c:v>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3</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(GBP,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strCache>
            </c:strRef>
          </c:cat>
          <c:val>
            <c:numRef>
              <c:f>Hoja1!$B$2:$B$14</c:f>
              <c:numCache>
                <c:formatCode>#,##0</c:formatCode>
                <c:ptCount val="13"/>
                <c:pt idx="0">
                  <c:v>145.8</c:v>
                </c:pt>
                <c:pt idx="1">
                  <c:v>184.4</c:v>
                </c:pt>
                <c:pt idx="2">
                  <c:v>207</c:v>
                </c:pt>
                <c:pt idx="3">
                  <c:v>217.1</c:v>
                </c:pt>
                <c:pt idx="4">
                  <c:v>220.6</c:v>
                </c:pt>
                <c:pt idx="5">
                  <c:v>249</c:v>
                </c:pt>
                <c:pt idx="6">
                  <c:v>274</c:v>
                </c:pt>
                <c:pt idx="7">
                  <c:v>296</c:v>
                </c:pt>
                <c:pt idx="8">
                  <c:v>317</c:v>
                </c:pt>
                <c:pt idx="9">
                  <c:v>336</c:v>
                </c:pt>
                <c:pt idx="10">
                  <c:v>353</c:v>
                </c:pt>
                <c:pt idx="11">
                  <c:v>367</c:v>
                </c:pt>
                <c:pt idx="12">
                  <c:v>378</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strCache>
            </c:strRef>
          </c:cat>
          <c:val>
            <c:numRef>
              <c:f>Hoja1!$C$2:$C$14</c:f>
              <c:numCache>
                <c:formatCode>#,##0</c:formatCode>
                <c:ptCount val="13"/>
                <c:pt idx="0">
                  <c:v>44.8</c:v>
                </c:pt>
                <c:pt idx="1">
                  <c:v>53.4</c:v>
                </c:pt>
                <c:pt idx="2">
                  <c:v>59.1</c:v>
                </c:pt>
                <c:pt idx="3">
                  <c:v>69</c:v>
                </c:pt>
                <c:pt idx="4">
                  <c:v>65.8</c:v>
                </c:pt>
                <c:pt idx="5">
                  <c:v>69</c:v>
                </c:pt>
                <c:pt idx="6">
                  <c:v>75</c:v>
                </c:pt>
                <c:pt idx="7">
                  <c:v>81</c:v>
                </c:pt>
                <c:pt idx="8">
                  <c:v>87</c:v>
                </c:pt>
                <c:pt idx="9">
                  <c:v>92</c:v>
                </c:pt>
                <c:pt idx="10">
                  <c:v>97</c:v>
                </c:pt>
                <c:pt idx="11">
                  <c:v>101</c:v>
                </c:pt>
                <c:pt idx="12">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73.7</c:v>
                </c:pt>
                <c:pt idx="1">
                  <c:v>70.3</c:v>
                </c:pt>
                <c:pt idx="2">
                  <c:v>70.4</c:v>
                </c:pt>
                <c:pt idx="3">
                  <c:v>75.2</c:v>
                </c:pt>
                <c:pt idx="4">
                  <c:v>75.8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30.7</c:v>
                </c:pt>
                <c:pt idx="1">
                  <c:v>29</c:v>
                </c:pt>
                <c:pt idx="2">
                  <c:v>28.6</c:v>
                </c:pt>
                <c:pt idx="3">
                  <c:v>31.8</c:v>
                </c:pt>
                <c:pt idx="4">
                  <c:v>29.8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28.9</c:v>
                </c:pt>
                <c:pt idx="1">
                  <c:v>27.6</c:v>
                </c:pt>
                <c:pt idx="2">
                  <c:v>27.4</c:v>
                </c:pt>
                <c:pt idx="3">
                  <c:v>30.6</c:v>
                </c:pt>
                <c:pt idx="4">
                  <c:v>28.4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Hoja1!$E$2:$E$6</c:f>
              <c:numCache>
                <c:formatCode>0"%"</c:formatCode>
                <c:ptCount val="5"/>
                <c:pt idx="0">
                  <c:v>22.6</c:v>
                </c:pt>
                <c:pt idx="1">
                  <c:v>21.9</c:v>
                </c:pt>
                <c:pt idx="2">
                  <c:v>22.7</c:v>
                </c:pt>
                <c:pt idx="3">
                  <c:v>25.2</c:v>
                </c:pt>
                <c:pt idx="4">
                  <c:v>23.3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1S25</c:v>
                </c:pt>
                <c:pt idx="1">
                  <c:v>2S25</c:v>
                </c:pt>
                <c:pt idx="2">
                  <c:v>1S26</c:v>
                </c:pt>
                <c:pt idx="3">
                  <c:v>2S26</c:v>
                </c:pt>
                <c:pt idx="4">
                  <c:v>1S27</c:v>
                </c:pt>
              </c:strCache>
            </c:strRef>
          </c:cat>
          <c:val>
            <c:numRef>
              <c:f>Hoja1!$B$2:$B$6</c:f>
              <c:numCache>
                <c:formatCode>0.0"%"</c:formatCode>
                <c:ptCount val="5"/>
                <c:pt idx="2">
                  <c:v>2.5</c:v>
                </c:pt>
                <c:pt idx="3">
                  <c:v>0.8</c:v>
                </c:pt>
                <c:pt idx="4">
                  <c:v>18.7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1S25</c:v>
                </c:pt>
                <c:pt idx="1">
                  <c:v>2S25</c:v>
                </c:pt>
                <c:pt idx="2">
                  <c:v>1S26</c:v>
                </c:pt>
                <c:pt idx="3">
                  <c:v>2S26</c:v>
                </c:pt>
                <c:pt idx="4">
                  <c:v>1S27</c:v>
                </c:pt>
              </c:strCache>
            </c:strRef>
          </c:cat>
          <c:val>
            <c:numRef>
              <c:f>Hoja1!$C$2:$C$6</c:f>
              <c:numCache>
                <c:formatCode>0.0"%"</c:formatCode>
                <c:ptCount val="5"/>
                <c:pt idx="2">
                  <c:v>2.5</c:v>
                </c:pt>
                <c:pt idx="3">
                  <c:v>0.8</c:v>
                </c:pt>
                <c:pt idx="4">
                  <c:v>18.7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395</c:v>
                </c:pt>
                <c:pt idx="1">
                  <c:v>368</c:v>
                </c:pt>
                <c:pt idx="2">
                  <c:v>391</c:v>
                </c:pt>
                <c:pt idx="3">
                  <c:v>451</c:v>
                </c:pt>
                <c:pt idx="4">
                  <c:v>496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c:v>
                </c:pt>
                <c:pt idx="1">
                  <c:v>1</c:v>
                </c:pt>
                <c:pt idx="2">
                  <c:v>1</c:v>
                </c:pt>
                <c:pt idx="3">
                  <c:v>0</c:v>
                </c:pt>
                <c:pt idx="4">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2068</c:v>
                </c:pt>
                <c:pt idx="1">
                  <c:v>1543</c:v>
                </c:pt>
                <c:pt idx="2">
                  <c:v>1657</c:v>
                </c:pt>
                <c:pt idx="3">
                  <c:v>2218</c:v>
                </c:pt>
                <c:pt idx="4">
                  <c:v>2460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(GBP,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51.1</c:v>
                </c:pt>
                <c:pt idx="1">
                  <c:v>36.6</c:v>
                </c:pt>
                <c:pt idx="2">
                  <c:v>55.5</c:v>
                </c:pt>
                <c:pt idx="3">
                  <c:v>64.30000000000001</c:v>
                </c:pt>
                <c:pt idx="4">
                  <c:v>54.2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32.9</c:v>
                </c:pt>
                <c:pt idx="1">
                  <c:v>40.4</c:v>
                </c:pt>
                <c:pt idx="2">
                  <c:v>46.9</c:v>
                </c:pt>
                <c:pt idx="3">
                  <c:v>54.8</c:v>
                </c:pt>
                <c:pt idx="4">
                  <c:v>51.3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WACC actual</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10.8</c:v>
                </c:pt>
                <c:pt idx="1">
                  <c:v>10.8</c:v>
                </c:pt>
                <c:pt idx="2">
                  <c:v>10.8</c:v>
                </c:pt>
                <c:pt idx="3">
                  <c:v>10.8</c:v>
                </c:pt>
                <c:pt idx="4">
                  <c:v>10.8</c:v>
                </c:pt>
              </c:numCache>
            </c:numRef>
          </c:val>
          <c:smooth val="0"/>
        </c:ser>
        <c:ser>
          <c:idx val="1"/>
          <c:order val="1"/>
          <c:tx>
            <c:strRef>
              <c:f>Hoja1!$C$1</c:f>
              <c:strCache>
                <c:ptCount val="1"/>
                <c:pt idx="0">
                  <c:v>ROE</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69.3</c:v>
                </c:pt>
                <c:pt idx="1">
                  <c:v>74.1</c:v>
                </c:pt>
                <c:pt idx="2">
                  <c:v>67.1</c:v>
                </c:pt>
                <c:pt idx="3">
                  <c:v>62.2</c:v>
                </c:pt>
                <c:pt idx="4">
                  <c:v>57.3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-1.47</c:v>
                </c:pt>
                <c:pt idx="1">
                  <c:v>-1.35</c:v>
                </c:pt>
                <c:pt idx="2">
                  <c:v>-1.47</c:v>
                </c:pt>
                <c:pt idx="3">
                  <c:v>-1.61</c:v>
                </c:pt>
                <c:pt idx="4">
                  <c:v>-1.47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(GBP,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0</c:v>
                </c:pt>
                <c:pt idx="1">
                  <c:v>0</c:v>
                </c:pt>
                <c:pt idx="2">
                  <c:v>3</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4.8</c:v>
                </c:pt>
                <c:pt idx="1">
                  <c:v>30.7</c:v>
                </c:pt>
                <c:pt idx="2">
                  <c:v>36.6</c:v>
                </c:pt>
                <c:pt idx="3">
                  <c:v>42.8</c:v>
                </c:pt>
                <c:pt idx="4">
                  <c:v>48.6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0</c:v>
                </c:pt>
                <c:pt idx="1">
                  <c:v>0</c:v>
                </c:pt>
                <c:pt idx="2">
                  <c:v>0</c:v>
                </c:pt>
                <c:pt idx="3">
                  <c:v>0</c:v>
                </c:pt>
                <c:pt idx="4">
                  <c:v>25.2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Ejecutivo</c:v>
                </c:pt>
                <c:pt idx="2">
                  <c:v>Dominical</c:v>
                </c:pt>
              </c:strCache>
            </c:strRef>
          </c:cat>
          <c:val>
            <c:numRef>
              <c:f>Hoja1!$B$2:$B$4</c:f>
              <c:numCache>
                <c:formatCode>0</c:formatCode>
                <c:ptCount val="3"/>
                <c:pt idx="0">
                  <c:v>5</c:v>
                </c:pt>
                <c:pt idx="1">
                  <c:v>2</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Coronation Fund Managers</c:v>
                </c:pt>
                <c:pt idx="1">
                  <c:v>Public Investment Corporation (PIC)</c:v>
                </c:pt>
                <c:pt idx="2">
                  <c:v>Camissa Asset Management</c:v>
                </c:pt>
                <c:pt idx="3">
                  <c:v>Biltron (Pty) Ltd</c:v>
                </c:pt>
                <c:pt idx="4">
                  <c:v>BlackRock</c:v>
                </c:pt>
                <c:pt idx="5">
                  <c:v>Barclays Capital Securities</c:v>
                </c:pt>
                <c:pt idx="6">
                  <c:v>Vanguard Group</c:v>
                </c:pt>
              </c:strCache>
            </c:strRef>
          </c:cat>
          <c:val>
            <c:numRef>
              <c:f>Hoja1!$B$2:$B$8</c:f>
              <c:numCache>
                <c:formatCode>0.0"%"</c:formatCode>
                <c:ptCount val="7"/>
                <c:pt idx="0">
                  <c:v>22.55</c:v>
                </c:pt>
                <c:pt idx="1">
                  <c:v>11.06</c:v>
                </c:pt>
                <c:pt idx="2">
                  <c:v>10.93</c:v>
                </c:pt>
                <c:pt idx="3">
                  <c:v>7.73</c:v>
                </c:pt>
                <c:pt idx="4">
                  <c:v>5.81</c:v>
                </c:pt>
                <c:pt idx="5">
                  <c:v>5</c:v>
                </c:pt>
                <c:pt idx="6">
                  <c:v>4.19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69.4</c:v>
                </c:pt>
                <c:pt idx="1">
                  <c:v>-31.8</c:v>
                </c:pt>
                <c:pt idx="2">
                  <c:v>58.1</c:v>
                </c:pt>
                <c:pt idx="3">
                  <c:v>-30.9</c:v>
                </c:pt>
                <c:pt idx="4">
                  <c:v>-15.1</c:v>
                </c:pt>
              </c:numCache>
            </c:numRef>
          </c:val>
        </c:ser>
        <c:ser>
          <c:idx val="1"/>
          <c:order val="1"/>
          <c:tx>
            <c:strRef>
              <c:f>Hoja1!$C$1</c:f>
              <c:strCache>
                <c:ptCount val="1"/>
                <c:pt idx="0">
                  <c:v>Índice</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14.6</c:v>
                </c:pt>
                <c:pt idx="1">
                  <c:v>-19.7</c:v>
                </c:pt>
                <c:pt idx="2">
                  <c:v>4.4</c:v>
                </c:pt>
                <c:pt idx="3">
                  <c:v>4.7</c:v>
                </c:pt>
                <c:pt idx="4">
                  <c:v>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23.7</c:v>
                </c:pt>
                <c:pt idx="1">
                  <c:v>17.2</c:v>
                </c:pt>
                <c:pt idx="2">
                  <c:v>22</c:v>
                </c:pt>
                <c:pt idx="3">
                  <c:v>13.6</c:v>
                </c:pt>
                <c:pt idx="4">
                  <c:v>9.9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0.0"x"</c:formatCode>
                <c:ptCount val="5"/>
                <c:pt idx="0">
                  <c:v>17.2</c:v>
                </c:pt>
                <c:pt idx="1">
                  <c:v>17.2</c:v>
                </c:pt>
                <c:pt idx="2">
                  <c:v>17.2</c:v>
                </c:pt>
                <c:pt idx="3">
                  <c:v>17.2</c:v>
                </c:pt>
                <c:pt idx="4">
                  <c:v>17.2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Bytes</c:v>
                </c:pt>
                <c:pt idx="1">
                  <c:v>Softcat</c:v>
                </c:pt>
                <c:pt idx="2">
                  <c:v>Computacenter</c:v>
                </c:pt>
                <c:pt idx="3">
                  <c:v>Bechtle</c:v>
                </c:pt>
                <c:pt idx="4">
                  <c:v>Cancom</c:v>
                </c:pt>
                <c:pt idx="5">
                  <c:v>Atea</c:v>
                </c:pt>
                <c:pt idx="6">
                  <c:v>CDW</c:v>
                </c:pt>
                <c:pt idx="7">
                  <c:v>Insight Enterprises</c:v>
                </c:pt>
                <c:pt idx="8">
                  <c:v>ePlus</c:v>
                </c:pt>
              </c:strCache>
            </c:strRef>
          </c:cat>
          <c:val>
            <c:numRef>
              <c:f>Hoja1!$B$2:$B$10</c:f>
              <c:numCache>
                <c:formatCode>0.0"x"</c:formatCode>
                <c:ptCount val="9"/>
                <c:pt idx="0">
                  <c:v>13.3</c:v>
                </c:pt>
                <c:pt idx="2">
                  <c:v>10.8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CyberOne (servicios gestionados de ciberseguridad, Reino Unido)</c:v>
                </c:pt>
                <c:pt idx="1">
                  <c:v>GAI (Government Acquisitions Inc.)</c:v>
                </c:pt>
                <c:pt idx="2">
                  <c:v>AgreeYa Solutions</c:v>
                </c:pt>
                <c:pt idx="3">
                  <c:v>Converge Technology Solutions</c:v>
                </c:pt>
              </c:strCache>
            </c:strRef>
          </c:cat>
          <c:val>
            <c:numRef>
              <c:f>Hoja1!$B$2:$B$5</c:f>
              <c:numCache>
                <c:formatCode>0.0"x"</c:formatCode>
                <c:ptCount val="4"/>
                <c:pt idx="1">
                  <c:v>11.5</c:v>
                </c:pt>
                <c:pt idx="2">
                  <c:v>8.6</c:v>
                </c:pt>
                <c:pt idx="3">
                  <c:v>7.4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(GBP,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FY2027e</c:v>
                </c:pt>
                <c:pt idx="1">
                  <c:v>FY2028e</c:v>
                </c:pt>
                <c:pt idx="2">
                  <c:v>FY2029e</c:v>
                </c:pt>
                <c:pt idx="3">
                  <c:v>FY2030e</c:v>
                </c:pt>
                <c:pt idx="4">
                  <c:v>FY2031e</c:v>
                </c:pt>
                <c:pt idx="5">
                  <c:v>FY2032e</c:v>
                </c:pt>
                <c:pt idx="6">
                  <c:v>FY2033e</c:v>
                </c:pt>
                <c:pt idx="7">
                  <c:v>FY2034e</c:v>
                </c:pt>
              </c:strCache>
            </c:strRef>
          </c:cat>
          <c:val>
            <c:numRef>
              <c:f>Hoja1!$B$2:$B$9</c:f>
              <c:numCache>
                <c:formatCode>#,##0</c:formatCode>
                <c:ptCount val="8"/>
                <c:pt idx="0">
                  <c:v>56</c:v>
                </c:pt>
                <c:pt idx="1">
                  <c:v>59</c:v>
                </c:pt>
                <c:pt idx="2">
                  <c:v>62</c:v>
                </c:pt>
                <c:pt idx="3">
                  <c:v>65</c:v>
                </c:pt>
                <c:pt idx="4">
                  <c:v>68</c:v>
                </c:pt>
                <c:pt idx="5">
                  <c:v>73</c:v>
                </c:pt>
                <c:pt idx="6">
                  <c:v>75</c:v>
                </c:pt>
                <c:pt idx="7">
                  <c:v>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(GBP,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342</c:v>
                </c:pt>
                <c:pt idx="1">
                  <c:v>442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(GBP) · precio actual 4,50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2.52</c:v>
                </c:pt>
                <c:pt idx="1">
                  <c:v>3.55</c:v>
                </c:pt>
                <c:pt idx="2">
                  <c:v>4.02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4,50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(2,49 – 4,94)</c:v>
                </c:pt>
                <c:pt idx="1">
                  <c:v>Precio objetivo de los analistas (3,65 – 5,25)</c:v>
                </c:pt>
                <c:pt idx="2">
                  <c:v>Comparables: PER NTM (3,20 – 3,94)</c:v>
                </c:pt>
                <c:pt idx="3">
                  <c:v>Transacciones precedentes (EV/EBITDA) (2,56 – 3,15)</c:v>
                </c:pt>
                <c:pt idx="4">
                  <c:v>DCF (WACC y g ± 0,5) (3,27 – 3,91)</c:v>
                </c:pt>
                <c:pt idx="5">
                  <c:v>Escenarios (bajista – alcista) (2,52 – 4,02)</c:v>
                </c:pt>
                <c:pt idx="6">
                  <c:v>DCF con la prima implícita del mercado (4,2 %)</c:v>
                </c:pt>
                <c:pt idx="7">
                  <c:v>Precio actual (4,50)</c:v>
                </c:pt>
              </c:strCache>
            </c:strRef>
          </c:cat>
          <c:val>
            <c:numRef>
              <c:f>Hoja1!$B$2:$B$9</c:f>
              <c:numCache>
                <c:formatCode>#,##0.00</c:formatCode>
                <c:ptCount val="8"/>
                <c:pt idx="0">
                  <c:v>2.49</c:v>
                </c:pt>
                <c:pt idx="1">
                  <c:v>3.65</c:v>
                </c:pt>
                <c:pt idx="2">
                  <c:v>3.2</c:v>
                </c:pt>
                <c:pt idx="3">
                  <c:v>2.56</c:v>
                </c:pt>
                <c:pt idx="4">
                  <c:v>3.27</c:v>
                </c:pt>
                <c:pt idx="5">
                  <c:v>2.52</c:v>
                </c:pt>
                <c:pt idx="6">
                  <c:v>3.68</c:v>
                </c:pt>
                <c:pt idx="7">
                  <c:v>4.48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(2,49 – 4,94)</c:v>
                </c:pt>
                <c:pt idx="1">
                  <c:v>Precio objetivo de los analistas (3,65 – 5,25)</c:v>
                </c:pt>
                <c:pt idx="2">
                  <c:v>Comparables: PER NTM (3,20 – 3,94)</c:v>
                </c:pt>
                <c:pt idx="3">
                  <c:v>Transacciones precedentes (EV/EBITDA) (2,56 – 3,15)</c:v>
                </c:pt>
                <c:pt idx="4">
                  <c:v>DCF (WACC y g ± 0,5) (3,27 – 3,91)</c:v>
                </c:pt>
                <c:pt idx="5">
                  <c:v>Escenarios (bajista – alcista) (2,52 – 4,02)</c:v>
                </c:pt>
                <c:pt idx="6">
                  <c:v>DCF con la prima implícita del mercado (4,2 %)</c:v>
                </c:pt>
                <c:pt idx="7">
                  <c:v>Precio actual (4,50)</c:v>
                </c:pt>
              </c:strCache>
            </c:strRef>
          </c:cat>
          <c:val>
            <c:numRef>
              <c:f>Hoja1!$C$2:$C$9</c:f>
              <c:numCache>
                <c:formatCode>#,##0.00</c:formatCode>
                <c:ptCount val="8"/>
                <c:pt idx="0">
                  <c:v>2.45</c:v>
                </c:pt>
                <c:pt idx="1">
                  <c:v>1.6</c:v>
                </c:pt>
                <c:pt idx="2">
                  <c:v>0.7399999999999998</c:v>
                </c:pt>
                <c:pt idx="3">
                  <c:v>0.5899999999999999</c:v>
                </c:pt>
                <c:pt idx="4">
                  <c:v>0.6400000000000001</c:v>
                </c:pt>
                <c:pt idx="5">
                  <c:v>1.4999999999999996</c:v>
                </c:pt>
                <c:pt idx="6">
                  <c:v>0.48</c:v>
                </c:pt>
                <c:pt idx="7">
                  <c:v>0.04999999999999982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