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Merck KGaA</w:t>
      </w:r>
    </w:p>
    <w:p>
      <w:pPr>
        <w:spacing w:after="60"/>
        <w:rPr>
          <w:color w:val="52514E"/>
          <w:sz w:val="22"/>
          <w:szCs w:val="22"/>
        </w:rPr>
      </w:pPr>
      <w:r>
        <w:rPr>
          <w:color w:val="52514E"/>
          <w:sz w:val="22"/>
          <w:szCs w:val="22"/>
        </w:rPr>
        <w:t xml:space="preserve">MRK · Xetra (Fráncfort) · ISIN DE0006599905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137,20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150,51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+11,3 % (base +8,4 %)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134,52 EUR · mercado 159,74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59.655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Merck KGaA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MRK / DE0006599905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 biotecnología y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Darmstadt · 1668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https://www.merckgroup.com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137,20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148,60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59.655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70.429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150,51 EUR</w:t>
      </w:r>
      <w:r>
        <w:t xml:space="preserve"> frente a 137,20 · Rentabilidad a 12 meses </w:t>
      </w:r>
      <w:r>
        <w:rPr>
          <w:b/>
          <w:bCs/>
        </w:rPr>
        <w:t xml:space="preserve">+11,3 % (base +8,4 %)</w:t>
      </w:r>
      <w:r>
        <w:t xml:space="preserve"> · Valor intrínseco 134,52 EUR · con la prima implícita del mercado: 159,74 (+16,4 %) · Alcista / bajista +10,3 % / -27,3 %</w:t>
      </w:r>
    </w:p>
    <w:p>
      <w:pPr>
        <w:spacing w:after="100"/>
      </w:pPr>
      <w:r>
        <w:rPr>
          <w:b/>
        </w:rPr>
        <w:t xml:space="preserve">La recomendación y por qué.</w:t>
      </w:r>
      <w:r>
        <w:t xml:space="preserve"> Mantener, con convicción baja. Nuestro objetivo a 12 meses es de 150,51 EUR (16,1 veces un BPA pre de 9,10 en el base de 2028e), una rentabilidad ponderada del 11,3 % con dividendo y del 8,4 % en el caso base, por debajo de los umbrales de compra (15 % y 12 %). El valor intrínseco es de 134,52 EUR, un 2,0 % por debajo del precio de 137,20 EUR, y el objetivo medio de los analistas (146,11 EUR) [20] cae casi encima de nuestro base. A 12 meses la asimetría es buena (2,97x: el bajista pierde un 11,2 % y el alcista gana un 39,6 %) porque el PER ya está cerca de su mínimo de cinco años. La convicción es baja porque la regla relativa daría Comprar y la absoluta Mantener: la diferencia es solo de tasa de descuento. La subiría un 3T26 con Life Science por encima del 5 % orgánico y Healthcare mejor de −3 %; la bajaría una deuda neta por encima de 2,5 veces el EBITDA pre tras Bio-Techne.</w:t>
      </w:r>
    </w:p>
    <w:p>
      <w:pPr>
        <w:spacing w:after="100"/>
      </w:pPr>
      <w:r>
        <w:rPr>
          <w:b/>
        </w:rPr>
        <w:t xml:space="preserve">El negocio.</w:t>
      </w:r>
      <w:r>
        <w:t xml:space="preserve"> Merck son tres negocios: Life Science (43 % de las ventas, consumibles con altos costes de cambio), Healthcare (41 %, en plena pérdida de Mavenclad en EE. UU.) y Electronics (17 %, que crece un 11,7 % orgánico con la IA) [3, 8]. El margen EBITDA pre es alto (28,9 % en 2025) pero el ROIC es del 7,5 %, igual que el WACC del 7,40 %, porque el balance arrastra 25.600 M de fondo de comercio e intangibles de compras [2]. La prueba de sostenibilidad sale «En parte»: el crecimiento orgánico (3,1 % en 2025, 4,1 % en el 2T26) se financia con I+D y es sostenible, pero el comprado no ha rendido su coste; rebajamos medio punto el crecimiento de 2028e-2030e.</w:t>
      </w:r>
    </w:p>
    <w:p>
      <w:pPr>
        <w:spacing w:after="100"/>
      </w:pPr>
      <w:r>
        <w:rPr>
          <w:b/>
        </w:rPr>
        <w:t xml:space="preserve">Finanzas.</w:t>
      </w:r>
      <w:r>
        <w:t xml:space="preserve"> Las ventas llevan cuatro años en torno a 21.000 M y el BPA publicado ha bajado de 7,03 (2021) a 6,00 (2025) [1]. La guía de 2026 se ha subido dos veces (BPA pre de 7,90-8,60) [3]. La deuda neta ajustada (con pensiones) es de 10.674 M (1,8 veces el EBITDA) y subirá a ≈ 2,8 veces con Bio-Techne, que se paga a ≈ 26,5 veces el EBITDA [24].</w:t>
      </w:r>
    </w:p>
    <w:p>
      <w:pPr>
        <w:spacing w:after="100"/>
      </w:pPr>
      <w:r>
        <w:rPr>
          <w:b/>
        </w:rPr>
        <w:t xml:space="preserve">Equipo y gobierno.</w:t>
      </w:r>
      <w:r>
        <w:t xml:space="preserve"> La familia Merck controla el 70 % a través de E. Merck KG, que nombra a la Dirección; el minoritario depende de la alineación por dividendo. Relevo ordenado del CEO (Kai Beckmann desde mayo de 2026) y guía cumplida en 2021, 2023 y 2025 [26, 27].</w:t>
      </w:r>
    </w:p>
    <w:p>
      <w:pPr>
        <w:spacing w:after="100"/>
      </w:pPr>
      <w:r>
        <w:rPr>
          <w:b/>
        </w:rPr>
        <w:t xml:space="preserve">Valoración.</w:t>
      </w:r>
      <w:r>
        <w:t xml:space="preserve"> El DCF da 133,90 EUR y el DCF inverso dice que el precio descuenta un crecimiento del 3,6 % con un margen del 28,9 %, frente al 3,2 % y el 28,5 % de nuestro base: el mercado pide poco más que nosotros. Con la prima implícita del mercado (4,2 %) el valor objetivo sube a 159,74 EUR. Cotiza a 17,6 veces el beneficio de los próximos 12 meses, entre las herramientas estadounidenses (21-25x) y las farmacéuticas europeas (10-18x).</w:t>
      </w:r>
    </w:p>
    <w:p>
      <w:pPr>
        <w:spacing w:after="100"/>
      </w:pPr>
      <w:r>
        <w:rPr>
          <w:b/>
        </w:rPr>
        <w:t xml:space="preserve">Riesgos y catalizadores.</w:t>
      </w:r>
      <w:r>
        <w:t xml:space="preserve"> El mayor riesgo es pagar caro por Bio-Techne con un ROIC que ya no cubre su coste (≈ −10 % del valor); el segundo, otra pausa en los bioprocesos como la de 2023 (bajista del DCF, −27,3 %). Catalizadores: resultados del 3T26 en noviembre, cierre de Bio-Techne y guía de 2027 en marzo. Los foros critican el precio de Bio-Techne y ven barata la acción frente a Thermo Fisher; no señalan nada que el informe no recoja [24, 48].</w:t>
      </w:r>
    </w:p>
    <w:p>
      <w:pPr>
        <w:spacing w:after="100"/>
      </w:pPr>
      <w:r>
        <w:rPr>
          <w:b/>
        </w:rPr>
        <w:t xml:space="preserve">Qué cambiaría la decisión.</w:t>
      </w:r>
      <w:r>
        <w:t xml:space="preserve"> Compraríamos por debajo de 132,78 EUR y venderíamos por encima de 169,68 EUR. Pasaríamos a Comprar si Life Science creciera por encima del 6 % orgánico dos trimestres seguidos (sube el BPA de 2028e), y a Vender si Healthcare cayera más de un 8 % orgánico o la deuda neta superara 3 veces el EBITDA pre.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150,51 EUR</w:t>
      </w:r>
      <w:r>
        <w:t xml:space="preserve"> (rentabilidad +11,3 % (base +8,4 %)) · Valor intrínseco: 134,52 EUR (-2,0 % sobre 137,20) · con la prima implícita del mercado: 159,74 (+16,4 %)</w:t>
      </w:r>
    </w:p>
    <w:p>
      <w:pPr>
        <w:spacing w:after="100"/>
      </w:pPr>
      <w:r>
        <w:t xml:space="preserve">Merck KGaA es un grupo de ciencia y tecnología con un 43 % de las ventas en consumibles de ciencias de la vida, un 41 % en farmacia y un 17 % en materiales para chips, con un margen EBITDA pre del 28,9 % y una deuda neta de 1,4 veces el EBITDA pre [1, 15]. Lo que lo hace valioso es la recurrencia de Life Science y el empuje de Electronics; lo que lo frena es un ROIC del 7,5 % lastrado por compras caras.</w:t>
      </w:r>
    </w:p>
    <w:p>
      <w:pPr>
        <w:spacing w:after="100"/>
      </w:pPr>
      <w:r>
        <w:t xml:space="preserve">El precio (137,20 EUR) descuenta un crecimiento del 3,6 % y un margen del 28,9 %, poco más que nuestro caso base, y 16,1 veces nuestro BPA pre de 2027e, cerca del mínimo de cinco años (14,7x) [39].</w:t>
      </w:r>
    </w:p>
    <w:p>
      <w:pPr>
        <w:spacing w:after="100"/>
      </w:pPr>
      <w:r>
        <w:t xml:space="preserve">El mercado acierta en lo esencial: la acción está en su valor intrínseco. Para invertir hay que creer que Bio-Techne y las nuevas plantas subirán el ROIC por encima del WACC; hasta verlo, la rentabilidad a 12 meses (11,3 %) no llega al umbral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8,14 = 119,66 · 16,1x × 9,10 = 146,51 · 19,5x × 9,71 = 189,35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146,11 (nuestro base +0,3 %)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 -27,3 %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7,4 % y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159,74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132,78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132,78 y 169,68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169,68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132,78 EUR: la rentabilidad a 12 meses pasaría del 15 % (Comprar).</w:t>
      </w:r>
    </w:p>
    <w:p>
      <w:pPr>
        <w:pStyle w:val="ListParagraph"/>
        <w:numPr>
          <w:ilvl w:val="0"/>
          <w:numId w:val="2"/>
        </w:numPr>
        <w:spacing w:after="60"/>
      </w:pPr>
      <w:r>
        <w:t xml:space="preserve">Precio por encima de 169,68 EUR: Vender.</w:t>
      </w:r>
    </w:p>
    <w:p>
      <w:pPr>
        <w:pStyle w:val="ListParagraph"/>
        <w:numPr>
          <w:ilvl w:val="0"/>
          <w:numId w:val="2"/>
        </w:numPr>
        <w:spacing w:after="60"/>
      </w:pPr>
      <w:r>
        <w:t xml:space="preserve">Life Science por encima del 6 % orgánico dos trimestres seguidos: revisaríamos al alza el BPA de 2028e.</w:t>
      </w:r>
    </w:p>
    <w:p>
      <w:pPr>
        <w:pStyle w:val="ListParagraph"/>
        <w:numPr>
          <w:ilvl w:val="0"/>
          <w:numId w:val="2"/>
        </w:numPr>
        <w:spacing w:after="60"/>
      </w:pPr>
      <w:r>
        <w:t xml:space="preserve">Healthcare por debajo de −8 % orgánico o deuda neta por encima de 3 veces el EBITDA pre: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3,6 % anual y un margen del 28,9 %, con un PER de 16,1 veces nuestro BPA pre de 2027e: una empresa de crecimiento medio con Healthcare en declive.</w:t>
      </w:r>
    </w:p>
    <w:p>
      <w:pPr>
        <w:keepNext/>
        <w:spacing w:after="100"/>
      </w:pPr>
      <w:r>
        <w:rPr>
          <w:b/>
          <w:bCs/>
        </w:rPr>
        <w:t xml:space="preserve">Lo que creemos nosotros.</w:t>
      </w:r>
    </w:p>
    <w:p>
      <w:pPr>
        <w:spacing w:after="100"/>
      </w:pPr>
      <w:r>
        <w:t xml:space="preserve">Coincidimos: nuestro base crece un 3,2 % con un margen del 28,5 %, y nuestro objetivo base a 12 meses (146,51 EUR) es casi el de los analistas (146,11).</w:t>
      </w:r>
    </w:p>
    <w:p>
      <w:pPr>
        <w:keepNext/>
        <w:spacing w:after="100"/>
      </w:pPr>
      <w:r>
        <w:rPr>
          <w:b/>
          <w:bCs/>
        </w:rPr>
        <w:t xml:space="preserve">Por qué podemos tener razón.</w:t>
      </w:r>
    </w:p>
    <w:p>
      <w:pPr>
        <w:spacing w:after="100"/>
      </w:pPr>
      <w:r>
        <w:t xml:space="preserve">No tenemos una visión distinta de la del mercado. La única diferencia es la tasa: con la prima implícita del mercado la acción parecería barata (159,74 EUR), con la nuestra está en su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37,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Guía subida dos veces en 2026</w:t>
      </w:r>
      <w:r>
        <w:t xml:space="preserve">: BPA pre de 7,90-8,60 EUR [3].</w:t>
      </w:r>
    </w:p>
    <w:p>
      <w:pPr>
        <w:pStyle w:val="ListParagraph"/>
        <w:numPr>
          <w:ilvl w:val="0"/>
          <w:numId w:val="2"/>
        </w:numPr>
        <w:spacing w:after="60"/>
      </w:pPr>
      <w:r>
        <w:rPr>
          <w:b/>
        </w:rPr>
        <w:t xml:space="preserve">Electronics crece con la IA</w:t>
      </w:r>
      <w:r>
        <w:t xml:space="preserve">: +11,7 % orgánico en el 2T26 [3].</w:t>
      </w:r>
    </w:p>
    <w:p>
      <w:pPr>
        <w:pStyle w:val="ListParagraph"/>
        <w:numPr>
          <w:ilvl w:val="0"/>
          <w:numId w:val="2"/>
        </w:numPr>
        <w:spacing w:after="60"/>
      </w:pPr>
      <w:r>
        <w:rPr>
          <w:b/>
        </w:rPr>
        <w:t xml:space="preserve">PER cerca del mínimo</w:t>
      </w:r>
      <w:r>
        <w:t xml:space="preserve">: 16,1x frente a una mediana de 17,0x y un mínimo de 14,7x.</w:t>
      </w:r>
    </w:p>
    <w:p>
      <w:pPr>
        <w:pStyle w:val="ListParagraph"/>
        <w:numPr>
          <w:ilvl w:val="0"/>
          <w:numId w:val="2"/>
        </w:numPr>
        <w:spacing w:after="60"/>
      </w:pPr>
      <w:r>
        <w:rPr>
          <w:b/>
        </w:rPr>
        <w:t xml:space="preserve">Life Science recurrente</w:t>
      </w:r>
      <w:r>
        <w:t xml:space="preserve">: Process Solutions +10,3 % orgánico en el 3T25 [7].</w:t>
      </w:r>
    </w:p>
    <w:p>
      <w:pPr>
        <w:pStyle w:val="ListParagraph"/>
        <w:numPr>
          <w:ilvl w:val="0"/>
          <w:numId w:val="2"/>
        </w:numPr>
        <w:spacing w:after="60"/>
      </w:pPr>
      <w:r>
        <w:rPr>
          <w:b/>
        </w:rPr>
        <w:t xml:space="preserve">Asimetría a 12 meses de 2,97x</w:t>
      </w:r>
      <w:r>
        <w:t xml:space="preserve">: el bajista pierde un 11,2 % y el alcista gana un 39,6 %.</w:t>
      </w:r>
    </w:p>
    <w:p>
      <w:pPr>
        <w:pStyle w:val="Heading2"/>
      </w:pPr>
      <w:r>
        <w:t xml:space="preserve">En contra</w:t>
      </w:r>
    </w:p>
    <w:p>
      <w:pPr>
        <w:pStyle w:val="ListParagraph"/>
        <w:numPr>
          <w:ilvl w:val="0"/>
          <w:numId w:val="2"/>
        </w:numPr>
        <w:spacing w:after="60"/>
      </w:pPr>
      <w:r>
        <w:rPr>
          <w:b/>
        </w:rPr>
        <w:t xml:space="preserve">ROIC igual al WACC</w:t>
      </w:r>
      <w:r>
        <w:t xml:space="preserve">: 7,5 % frente a 7,40 %.</w:t>
      </w:r>
    </w:p>
    <w:p>
      <w:pPr>
        <w:pStyle w:val="ListParagraph"/>
        <w:numPr>
          <w:ilvl w:val="0"/>
          <w:numId w:val="2"/>
        </w:numPr>
        <w:spacing w:after="60"/>
      </w:pPr>
      <w:r>
        <w:rPr>
          <w:b/>
        </w:rPr>
        <w:t xml:space="preserve">Bio-Techne cara</w:t>
      </w:r>
      <w:r>
        <w:t xml:space="preserve">: ≈ 26,5 veces el EBITDA y sin aportación al BPA hasta el tercer año [24].</w:t>
      </w:r>
    </w:p>
    <w:p>
      <w:pPr>
        <w:pStyle w:val="ListParagraph"/>
        <w:numPr>
          <w:ilvl w:val="0"/>
          <w:numId w:val="2"/>
        </w:numPr>
        <w:spacing w:after="60"/>
      </w:pPr>
      <w:r>
        <w:rPr>
          <w:b/>
        </w:rPr>
        <w:t xml:space="preserve">Healthcare en declive</w:t>
      </w:r>
      <w:r>
        <w:t xml:space="preserve">: −3,4 % orgánico en el 2T26 por Mavenclad [3].</w:t>
      </w:r>
    </w:p>
    <w:p>
      <w:pPr>
        <w:pStyle w:val="ListParagraph"/>
        <w:numPr>
          <w:ilvl w:val="0"/>
          <w:numId w:val="2"/>
        </w:numPr>
        <w:spacing w:after="60"/>
      </w:pPr>
      <w:r>
        <w:rPr>
          <w:b/>
        </w:rPr>
        <w:t xml:space="preserve">Ventas planas cuatro años</w:t>
      </w:r>
      <w:r>
        <w:t xml:space="preserve">: 21.102 M en 2025 frente a 22.232 M en 2022 [1].</w:t>
      </w:r>
    </w:p>
    <w:p>
      <w:pPr>
        <w:pStyle w:val="ListParagraph"/>
        <w:numPr>
          <w:ilvl w:val="0"/>
          <w:numId w:val="2"/>
        </w:numPr>
        <w:spacing w:after="60"/>
      </w:pPr>
      <w:r>
        <w:rPr>
          <w:b/>
        </w:rPr>
        <w:t xml:space="preserve">Sin voto efectivo del minoritario</w:t>
      </w:r>
      <w:r>
        <w:t xml:space="preserve">: E. Merck KG controla el 70 % y nombra a la Dirección [26].</w:t>
      </w:r>
    </w:p>
    <w:p>
      <w:pPr>
        <w:pStyle w:val="Heading2"/>
      </w:pPr>
      <w:r>
        <w:t xml:space="preserve">Qué tiene que pasar para que la tesis funcione</w:t>
      </w:r>
    </w:p>
    <w:p>
      <w:pPr>
        <w:spacing w:after="100"/>
      </w:pPr>
      <w:r>
        <w:t xml:space="preserve">La tesis depende de que Life Science y Electronics crezcan lo bastante para compensar la caída de Healthcare en 2027 y de que Bio-Techne no hunda el ROIC. Señal de que no se cumple: un crecimiento orgánico del grupo por debajo del 2 % en dos trimestres de 2027 o una deuda neta por encima de 2,5 veces el EBITDA pre un año después del cierre.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Life Science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43 %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Healthcare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erosión por patentes.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pre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2028e (29,0 %).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pre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(mar-26)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2,5x tras Bio-Techne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 11,7x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 / 17,6x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2. Modelo de negocio</w:t>
      </w:r>
    </w:p>
    <w:p>
      <w:pPr>
        <w:pStyle w:val="Confianza"/>
        <w:spacing w:after="100"/>
      </w:pPr>
      <w:r>
        <w:t xml:space="preserve">Confianza: Media</w:t>
      </w:r>
    </w:p>
    <w:p>
      <w:pPr>
        <w:spacing w:after="100"/>
      </w:pPr>
      <w:r>
        <w:t xml:space="preserve">Merck KGaA (Darmstadt; en EE. UU. y Canadá opera como EMD/MilliporeSigma) es un grupo de ciencia y tecnología con tres negocios. Life Science (9.000 M de ventas en 2025, el 43 %) vende consumibles, reactivos y equipos a laboratorios de investigación y a fabricantes de biofármacos (filtración, medios de cultivo, servicios de proceso) [8]. Healthcare (8.600 M, 41 %) vende medicamentos con receta: oncología (Bavencio, Erbitux y los de SpringWorks, comprada en 2025), neurología (Mavenclad, Rebif), fertilidad y medicamentos generales de marca [8]. Electronics (≈ 3.500 M, 17 %) vende materiales para semiconductores y pantallas [1, 7]. Ha acordado comprar Bio-Techne (reactivos de investigación) por ≈ 9.900 M EUR, con cierre previsto a finales de 2026 o principios de 2027 [23].</w:t>
      </w:r>
    </w:p>
    <w:p>
      <w:pPr>
        <w:pStyle w:val="Heading2"/>
      </w:pPr>
      <w:r>
        <w:t xml:space="preserve">Cómo gana dinero</w:t>
      </w:r>
    </w:p>
    <w:p>
      <w:pPr>
        <w:spacing w:after="100"/>
      </w:pPr>
      <w:r>
        <w:t xml:space="preserve">En Life Science, la mayor parte de las ventas son consumibles que se repiten con cada lote de producción de un biofármaco: cuando un proceso se valida con un filtro o un medio, cambiarlo exige revalidar, y eso da recurrencia y precio. En Healthcare el margen depende de las patentes: Mavenclad perdió la exclusividad en EE. UU. y la guía supone cero ventas allí desde agosto de 2026 [3, 14]. Electronics es cíclica y va con la inversión en chips; creció un 11,7 % orgánico en el 2T26 por la IA [3]. El grupo tiene un margen EBITDA pre del 28,9 % en 2025 y del 29,4 % en el 2T26 [1, 3]; la divisa es la palanca a corto plazo (−5,5 % en las ventas del 1T26)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Electronics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Electronics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3.502</w:t>
            </w:r>
          </w:p>
        </w:tc>
      </w:tr>
    </w:tbl>
    <w:p>
      <w:pPr>
        <w:spacing w:after="160" w:before="0"/>
      </w:pPr>
    </w:p>
    <w:p>
      <w:pPr>
        <w:pStyle w:val="Heading2"/>
      </w:pPr>
      <w:r>
        <w:t xml:space="preserve">Clientes, recurrencia y poder de precios</w:t>
      </w:r>
    </w:p>
    <w:p>
      <w:pPr>
        <w:spacing w:after="100"/>
      </w:pPr>
      <w:r>
        <w:t xml:space="preserve">No hay datos públicos de concentración en los extractos leídos. Life Science vende a miles de laboratorios y a las grandes farmacéuticas y CDMO; Healthcare, a sistemas sanitarios y mayoristas; Electronics, a un número reducido de fabricantes de chips y pantallas. El poder de precios demostrado se ve en Life Science: margen EBITDA pre de ≈ 29 % (2.600 de 9.000 M) en 2025 pese al bache de los bioprocesos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−1,1 % y perímetro +0,4 % en el 2T26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pre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pre 2T26 ≈ 1.600 M, +9,3 % orgánico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Materiales para chips de IA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de Mavenclad en EE. UU.; la guía supone cero ventas de Mavenclad en EE. UU. desde agosto de 2026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financiera neta / EBITDA pre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 pagar Bio-Techne (≈ 9.900 M EUR) [5, 15].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Merck compite en tres mercados distintos: herramientas y consumibles de ciencias de la vida (con Thermo Fisher, Danaher, Sartorius y, tras la compra, el antiguo competidor Bio-Techne), farmacia de especialidad (oncología, esclerosis múltiple, fertilidad) y materiales para semiconductores. No hemos podido leer estimaciones de tamaño de mercado con el presupuesto de búsquedas de esta sesión, así que la sección es cualitativa.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biofármacos (bioprocesos)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Process Solutions creció un 10,3 % orgánico en el 3T25 tras el ajuste de inventarios de 2023-24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chips para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Electronics +11,7 % orgánico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de exclusividad en farmacia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Mavenclad sin ventas en EE. UU. desde agosto de 2026; Healthcare −3,4 % orgánico en el 2T26 [3,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Dólar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divisa de −5,5 % en las ventas del 1T26 y −4,9 % en el 3T25 [6,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en ciencias de la vida que compiten en servicio y gama más que en precio; márgenes EBIT de 17-19 % en Thermo Fisher y Danaher [21,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farmacéuticas son grandes compradoras, pero cambiar un consumible validado en un proceso aprobado es caro.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químicas diversificadas; sin proveedor crítico identificado.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de cientos de miles de productos y redes de distribución difíciles de replicar; las compras grandes (Bio-Techne a ≈ 26,5x EBITDA) muestran el precio de entrar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farmacia, genéricos y biosimilares al vencer las patentes (Mavenclad) [14].</w:t>
            </w:r>
          </w:p>
        </w:tc>
      </w:tr>
    </w:tbl>
    <w:p>
      <w:pPr>
        <w:spacing w:after="160" w:before="0"/>
      </w:pPr>
    </w:p>
    <w:p>
      <w:pPr>
        <w:pStyle w:val="Heading2"/>
      </w:pPr>
      <w:r>
        <w:t xml:space="preserve">Ciclo</w:t>
      </w:r>
    </w:p>
    <w:p>
      <w:pPr>
        <w:spacing w:after="100"/>
      </w:pPr>
      <w:r>
        <w:t xml:space="preserve">Los bioprocesos salen del ajuste de inventarios de 2023-24 (crecimiento orgánico de Process Solutions del 10,3 % en el 3T25) y los semiconductores crecen con la IA [3, 7]. En 2021-22 la pandemia infló la demanda (ventas de 22.232 M en 2022) y en 2023 cayeron un 5,6 % [1].</w:t>
      </w:r>
    </w:p>
    <w:p>
      <w:pPr>
        <w:pStyle w:val="Heading2"/>
      </w:pPr>
      <w:r>
        <w:t xml:space="preserve">Regulación</w:t>
      </w:r>
    </w:p>
    <w:p>
      <w:pPr>
        <w:spacing w:after="100"/>
      </w:pPr>
      <w:r>
        <w:t xml:space="preserve">Precios de medicamentos en EE. UU. (negociación de Medicare y aranceles) y en Europa, y la caducidad de patentes, que en 2026 se lleva las ventas de Mavenclad en EE. UU. [14]. La compra de Bio-Techne necesita la aprobación de los reguladores de competencia [23].</w:t>
      </w:r>
    </w:p>
    <w:p>
      <w:pPr>
        <w:pStyle w:val="Heading2"/>
      </w:pPr>
      <w:r>
        <w:t xml:space="preserve">Tendencias y disrupción</w:t>
      </w:r>
    </w:p>
    <w:p>
      <w:pPr>
        <w:spacing w:after="100"/>
      </w:pPr>
      <w:r>
        <w:t xml:space="preserve">Más biofármacos (anticuerpos, terapias celulares y génicas) aumentan el consumo de filtros y medios por dosis; la IA impulsa los materiales avanzados para chips. Merck gana con las dos si mantiene cuota.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proveedores mundiales de herramientas y consumibles de ciencias de la vida (con Thermo Fisher y Danaher), proveedor líder de materiales para semiconductores y farmacéutica mediana en oncología, neurología y fertilidad.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2025 de 44.556 M USD y EBIT de 7.746 M [21], convertidos a 1,1181 USD/EUR. Líder en herramientas y servicios de laboratorio y CDMO.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2025 de 24.568 M USD y EBIT de 4.690 M [22]. Competidor directo en bioprocesos (Cytiva, Pall).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SRT3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en consumibles de bioprocesos (filtración, bolsas de un solo uso).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Bio-Techne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Reactivos y proteínas para investigación; Merck acordó comprarla el 25-jun-2026 por 73 USD por acción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validados en procesos de fabricación aprobados por los reguladores.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Sigma-Aldrich y Millipore; patentes farmacéuticas que caducan (Mavenclad) [A14].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química fina; margen EBITDA pre del grupo del 28,9 %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grandes en ciencias de la vida; nichos en materiales para chips.</w:t>
            </w:r>
          </w:p>
        </w:tc>
      </w:tr>
    </w:tbl>
    <w:p>
      <w:pPr>
        <w:spacing w:after="160" w:before="0"/>
      </w:pPr>
    </w:p>
    <w:p>
      <w:pPr>
        <w:pStyle w:val="Heading2"/>
      </w:pPr>
      <w:r>
        <w:t xml:space="preserve">Amenazas</w:t>
      </w:r>
    </w:p>
    <w:p>
      <w:pPr>
        <w:spacing w:after="100"/>
      </w:pPr>
      <w:r>
        <w:t xml:space="preserve">La rentabilidad sobre el capital (ROIC del 7,5 % en 2025) no supera al coste de capital: el foso protege márgenes, pero las compras pagadas caras (Sigma-Aldrich, Versum, SpringWorks y ahora Bio-Techne) lo diluyen. En farmacia la amenaza son los genéricos; en Electronics, la concentración de clientes y el ciclo.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1,8 %</w:t>
      </w:r>
      <w:r>
        <w:t xml:space="preserve">, EBITDA </w:t>
      </w:r>
      <w:r>
        <w:rPr>
          <w:b/>
          <w:bCs/>
        </w:rPr>
        <w:t xml:space="preserve">-0,2 %</w:t>
      </w:r>
      <w:r>
        <w:t xml:space="preserve">, BPA </w:t>
      </w:r>
      <w:r>
        <w:rPr>
          <w:b/>
          <w:bCs/>
        </w:rPr>
        <w:t xml:space="preserve">-3,9 %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pasaron de 19.687 M en 2021 a 22.232 M en 2022 con la pandemia y se han quedado en torno a 21.000 M desde entonces (21.102 M en 2025, −0,3 %) [1]. El crecimiento orgánico de 2025 fue del 3,1 %, comido por un −3,7 % de divisa [8]. El margen EBITDA publicado bajó del 30,2 % de 2021 al 28,0 % de 2025, y el EBIT de 4.179 a 3.601 M, porque la amortización subió con las compras (de 1.767 a 2.298 M) [1]. El beneficio neto cayó de 3.057 a 2.608 M y el BPA de 7,03 a 6,00; en 2025 pesó también el resultado financiero (−293 M frente a −109 M, por la deuda de SpringWorks) [2]. En 2026 la empresa ha subido dos veces la guía (EBITDA pre de 5.900-6.300 M, BPA pre de 7,90-8,60) [3].</w:t>
      </w:r>
    </w:p>
    <w:p>
      <w:pPr>
        <w:pStyle w:val="Heading2"/>
      </w:pPr>
      <w:r>
        <w:t xml:space="preserve">Ajustes y partidas no recurrentes</w:t>
      </w:r>
    </w:p>
    <w:p>
      <w:pPr>
        <w:spacing w:after="100"/>
      </w:pPr>
      <w:r>
        <w:t xml:space="preserve">La empresa publica «EBITDA pre» y «BPA pre», que excluyen reestructuraciones, integraciones y litigios (210 M en 2025 y 293 M en 2024: se repiten, así que en el DCF los tratamos como gasto) y, el BPA pre, la amortización de intangibles comprados. Usamos las cifras publicadas en la cuenta y el DCF, y el BPA pre solo para el PER a 12 meses, porque es el que mira el mercado y el de la guía. Diferencia en 2025: BPA pre 8,34 frente a 6,00 publicado [2, 8].</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(6-ago) la dirección subió por segunda vez la guía de 2026: ventas de 21.000-21.800 M, EBITDA pre de 5.900-6.300 M y BPA pre de 7,90-8,60, apoyándose en Life Science y en un Electronics que crece por la IA (+11,7 % orgánico), mientras Healthcare cae un 3,4 % orgánico por los genéricos de Mavenclad [3]. La guía supone cero ventas de Mavenclad en EE. UU. desde agosto y excluye un posible lanzamiento de Pergoveris en EE. UU. [3]. En el 1T26 (13-may) el discurso fue de «crecimiento pese a la divisa» (orgánico +2,9 %, divisa −5,5 %), con 67 M de efectos únicos en Electronics que los analistas señalaron [6, 16]. El tema de las preguntas en agosto fue Bio-Techne: precio, financiación y cuándo aportará al BPA (al tercer año, según la empresa) [13, 24].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SpringWorks Therapeutics, consolidada desde el 1-jul-2025 (≈ 3.900 M USD; salida de caja por adquisiciones de 2.915 M en 2025) y venta de Surface Solutions (pigmentos) en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deuda financiera neta subió de 8.619 M (dic-25) a 9.207 M (jun-26) por el dividendo; 1,4 veces el EBITDA pre [4, 15]. El patrimonio neto es el 55,6 % del activo y el fondo de comercio (17.934 M) más los intangibles (7.662 M) suman la mitad del activo [1, 2]: el balance es de comprador de empresas. El circulante comercial (existencias 4.562 M, clientes 3.947 M) ronda el 30 % de las ventas, alto, por la gama amplia de Life Science.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11.785</w:t>
      </w:r>
      <w:r>
        <w:t xml:space="preserve">, conversión </w:t>
      </w:r>
      <w:r>
        <w:rPr>
          <w:b/>
          <w:bCs/>
        </w:rPr>
        <w:t xml:space="preserve">81 %</w:t>
      </w:r>
      <w:r>
        <w:t xml:space="preserve"> del beneficio neto; adquisiciones 4.559, dividendos 0, recompras 0.</w:t>
      </w:r>
    </w:p>
    <w:p>
      <w:pPr>
        <w:spacing w:after="100"/>
      </w:pPr>
      <w:r>
        <w:t xml:space="preserve">El flujo operativo osciló entre 3.784 y 4.616 M en 2021-2025 y el capex (material más intangibles) subió del 7,2 % de las ventas en 2021 al 10,3 % en 2024 (nuevas plantas de Life Science y Electronics) y 9,3 % en 2025 [1, 9]. El FCF de 2025 fue de 1.974 M, el 76 % del beneficio neto, y la caja se fue en compras (2.915 M por SpringWorks) [9]. La empresa no da el reparto entre capex de mantenimiento y de crecimiento; con una amortización del inmovilizado propio de ≈ 5,5 % de las ventas (la que cuadra el BPA pre), estimamos que unos 3-4 puntos del capex son de crecimiento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hemos podido leer el informe del auditor ni las notas. Lo que se ve en las cifras: la diferencia entre el BPA pre y el publicado (8,34 frente a 6,00 en 2025) es sobre todo amortización de intangibles comprados, que no es caja, más 200-300 M al año de reestructuraciones e integraciones que se repiten [1, 8]. El Altman Z de 2,21 («zona gris») refleja un balance con mucho fondo de comercio y poca rotación, no un riesgo de impago (deuda neta de 1,4 veces el EBITDA pre). El Piotroski de 4 recoge la caída del ROA y del margen desde 2022. El Beneish M de −2,20 no sugiere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«pre»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210-293 M al año; los tratamos como gasto en el DCF.</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-5,6 % · </w:t>
      </w:r>
      <w:r>
        <w:rPr>
          <w:b/>
          <w:bCs/>
        </w:rPr>
        <w:t xml:space="preserve">WACC</w:t>
      </w:r>
      <w:r>
        <w:t xml:space="preserve">: 7,4 %.</w:t>
      </w:r>
    </w:p>
    <w:p>
      <w:pPr>
        <w:spacing w:after="100"/>
      </w:pPr>
      <w:r>
        <w:t xml:space="preserve">Merck no crea valor hoy: el ROIC bajó del 10,8 % de 2021 al 7,5 % de 2025, prácticamente igual al WACC del 7,40 %. La caída viene del margen (EBIT del 21,2 % al 17,1 % de las ventas) y de una rotación baja (0,41 veces) porque el capital invertido (37.831 M) incluye 25.600 M de fondo de comercio e intangibles de compras [2]. El ROIC incremental de 2021-2025 es negativo: el capital creció 7.500 M y el NOPAT bajó. Los competidores estadounidenses tienen ROIC aún menores (Thermo Fisher 7,3 %, Danaher 5,5 %) por el mismo motivo; las farmacéuticas europeas, de 9-26 % [41].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2.740 M a dic-25 [1]; deuda financiera neta de 9.207 M a jun-26 [4]. La compra de Bio-Techne (≈ 9.900 M EUR) se pagará con caja y deuda nueva, manteniendo el grado de inversión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(Scope A− con perspectiva positiva en 2021; híbridos BBB) [17]; no hemos podido leer las notas vigentes de Moody's y S&amp;P.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Provisiones no corrientes para prestaciones a empleados de 1.956 M a dic-24 [19]: las llevamos al puente netas de un 25 % de impuestos (1.467 M, estimación). La compra de Bio-Techne (≈ 9.900 M EUR de valor empresa) añadirá deuda: con un EBITDA pre de ≈ 6.300 M y la deuda neta actual de 9.207 M, la deuda neta subiría a ≈ 19.000 M, unas 2,8 veces el EBITDA pre combinado (estimación propia), y la empresa dice que mantendrá el grado de inversión [18]. No hemos encontrado covenants, factoring ni pagos aplazados relevantes.</w:t>
      </w:r>
    </w:p>
    <w:p>
      <w:pPr>
        <w:pStyle w:val="Heading1"/>
      </w:pPr>
      <w:r>
        <w:t xml:space="preserve">12. Asignación de capital</w:t>
      </w:r>
    </w:p>
    <w:p>
      <w:pPr>
        <w:pStyle w:val="Confianza"/>
        <w:spacing w:after="100"/>
      </w:pPr>
      <w:r>
        <w:t xml:space="preserve">Confianza: Media</w:t>
      </w:r>
    </w:p>
    <w:p>
      <w:pPr>
        <w:spacing w:after="100"/>
      </w:pPr>
      <w:r>
        <w:t xml:space="preserve">Dividendo estable de 2,20 EUR desde 2022 (1,85 en 2021), un pago del 26 % del BPA pre y del 37 % del BPA publicado de 2025 [15]. No hay recompras: la familia controla el 70 % y la empresa prioriza las compras en Life Science manteniendo el grado de inversión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Bio-Techne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nueva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cerrar; no aporta al BPA pre hasta el tercer año, según la empresa [23, 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SpringWorks Therapeutics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julio de 2025; oncología de tumores raros que compensa en parte la caída de Mavenclad [9, 25].</w:t>
            </w:r>
          </w:p>
        </w:tc>
      </w:tr>
    </w:tbl>
    <w:p>
      <w:pPr>
        <w:spacing w:after="160" w:before="0"/>
      </w:pPr>
    </w:p>
    <w:p>
      <w:pPr>
        <w:spacing w:after="100"/>
      </w:pPr>
      <w:r>
        <w:t xml:space="preserve">El ROIC ha bajado del 10,8 % de 2021 al 7,5 % de 2025 y el ROIC incremental de esos años es negativo: el capital invertido creció de 30.318 a 37.831 M mientras el NOPAT caía. Parte es el ciclo de la pandemia, pero también refleja compras caras: Bio-Techne se paga a ≈ 26,5 veces el EBITDA. La familia no diluye (no hay ampliaciones) y el dividendo es prudente; el juicio sobre la dirección como asignadora de capital es, por ahora, neutral tirando a negativo.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Kai Beckmann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Dirección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Dirección desde 2011; desde 2017 dirigió Performance Materials, que convirtió en el negocio puro de Electronics (Versum, Intermolecular) [26]. CEO desde el 1-may-2026, tras Belén Garijo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Garijo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saliente (2021-abr-2026)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Quince años en Merck, primero al frente de Healthcare y desde 2021 como presidenta de la Dirección; su mandato terminó en abril de 2026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20.800-21.400 M, EBITDA pre 6.000-6.200 M, BPA pre 8,20-8,60 (3T25)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21.102 M, EBITDA pre 6.109 M, BPA pre 8,34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pre 8,25-9,35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pre 8,49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pre 8,50-9,00 (tras subir la guía)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pre 8,72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Inicial (mar-26) por debajo del consenso; subida en mayo (BPA pre 7,50-8,20) y en agosto (7,90-8,60)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sucesión fue ordenada: Kai Beckmann, en la Dirección desde 2011 y responsable de Electronics, se anunció en septiembre de 2025 y relevó a Belén Garijo el 1-may-2026 [26, 27]. La guía se ha cumplido en 2021, 2023 y 2025, y la de 2026 se ha subido dos veces tras un punto de partida conservador [3, 6]. Falta por ver la integración de Bio-Techne, la primera gran compra del nuevo CEO.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(7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87,2 %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 Merck KG (familia Merck)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(socio personalmente responsable; participa en el capital total, no en acciones cotizadas)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(acciones cotizadas)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informe de remuneraciones de 2025 se aprobó con un 87,23 % de votos a favor (88,28 % el año anterior) [28]. No hemos podido leer la política ni las métricas del variable.</w:t>
      </w:r>
    </w:p>
    <w:p>
      <w:pPr>
        <w:pStyle w:val="Heading2"/>
      </w:pPr>
      <w:r>
        <w:t xml:space="preserve">Operaciones vinculadas, estructura de control y defensas</w:t>
      </w:r>
    </w:p>
    <w:p>
      <w:pPr>
        <w:spacing w:after="100"/>
      </w:pPr>
      <w:r>
        <w:t xml:space="preserve">Merck KGaA es una sociedad comanditaria por acciones: E. Merck KG, el vehículo de la familia Merck, es el socio personalmente responsable y tiene ≈ 70 % del capital total; los accionistas cotizados tienen el 30 % restante. El consejo de socios de E. Merck KG nombra a la Dirección (así se eligió a Beckmann) [26], y la junta de los accionistas cotizados no puede cambiarla. El minoritario está protegido por la alineación económica (la familia cobra el mismo dividendo y no vende), no por los derechos de voto.</w:t>
      </w:r>
    </w:p>
    <w:p>
      <w:pPr>
        <w:pStyle w:val="Heading2"/>
      </w:pPr>
      <w:r>
        <w:t xml:space="preserve">Señales de alerta</w:t>
      </w:r>
    </w:p>
    <w:p>
      <w:pPr>
        <w:pStyle w:val="ListParagraph"/>
        <w:numPr>
          <w:ilvl w:val="0"/>
          <w:numId w:val="2"/>
        </w:numPr>
        <w:spacing w:after="60"/>
      </w:pPr>
      <w:r>
        <w:t xml:space="preserve">Relevo del CEO el 1-may-2026 (Kai Beckmann sustituye a Belén Garijo), anunciado en septiembre de 2025 con siete meses de antelación [26, 27].</w:t>
      </w:r>
    </w:p>
    <w:p>
      <w:pPr>
        <w:pStyle w:val="ListParagraph"/>
        <w:numPr>
          <w:ilvl w:val="0"/>
          <w:numId w:val="2"/>
        </w:numPr>
        <w:spacing w:after="60"/>
      </w:pPr>
      <w:r>
        <w:t xml:space="preserve">Informe de remuneraciones de 2025 aprobado con un 87,23 % (88,28 % el año anterior)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(6-ago-2026, segunda subida): ventas de 21.000-21.800 M (orgánico +1 % a +3 %), EBITDA pre de 5.900-6.300 M (orgánico 0 % a +3 %) y BPA pre de 7,90-8,60, sin ventas de Mavenclad en EE. UU. desde agosto ni Pergoveris en EE. UU. [3]. En mayo era de 20.400-21.400 M, 5.700-6.100 M y 7,50-8,20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EBITDA: MarketScreener; BPA pre: consenso VARA encargado por la empresa (media; rango 7,45-8,03) [20,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[33]; beneficio neto S&amp;P Global 2.907 M (≈ 6,69 por acción, base publicada)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[33]; beneficio neto S&amp;P Global 3.216 M (≈ 7,40 por acción, base publicada)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n.d.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130,00 – 167,00</w:t>
            </w:r>
          </w:p>
        </w:tc>
      </w:tr>
    </w:tbl>
    <w:p>
      <w:pPr>
        <w:spacing w:after="160" w:before="0"/>
      </w:pPr>
    </w:p>
    <w:p>
      <w:pPr>
        <w:pStyle w:val="Heading2"/>
      </w:pPr>
      <w:r>
        <w:t xml:space="preserve">Revisiones de estimaciones</w:t>
      </w:r>
    </w:p>
    <w:p>
      <w:pPr>
        <w:spacing w:after="100"/>
      </w:pPr>
      <w:r>
        <w:t xml:space="preserve">Las estimaciones han subido desde mayo con las dos subidas de la guía: el BPA pre medio del consenso VARA (7,78, rango 7,45-8,03) es anterior a la segunda subida [20]. Los objetivos de precio también suben: Deutsche Bank de 125 a 141 (agosto), Barclays de 140 a 150 (septiembre) [30, 37]. Solo hay una fuente con estimaciones completas de ventas y EBITDA (MarketScreener) [33].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BPA publicado, el PER de cierre ha bajado de 32x en 2021 a 20x en 2025; con el BPA pre, que es el que mira el mercado, de 26,0x a 14,7x (2025, mínimo de la serie). Hoy cotiza a 16,1 veces nuestro BPA pre de 2027e, por debajo de la mediana de cinco años (17,0x). La compresión responde al bache de los bioprocesos de 2023-24, a la caída de Healthcare por patentes y al dólar; no a un cambio del perfil de riesgo financiero.</w:t>
      </w:r>
    </w:p>
    <w:p>
      <w:pPr>
        <w:pStyle w:val="Heading1"/>
      </w:pPr>
      <w:r>
        <w:t xml:space="preserve">18. Comparables cotizados</w:t>
      </w:r>
    </w:p>
    <w:p>
      <w:pPr>
        <w:pStyle w:val="Confianza"/>
        <w:spacing w:after="100"/>
      </w:pPr>
      <w:r>
        <w:t xml:space="preserve">Confianza: Media</w:t>
      </w:r>
    </w:p>
    <w:p>
      <w:pPr>
        <w:spacing w:after="100"/>
      </w:pPr>
      <w:r>
        <w:t xml:space="preserve">Herramientas de ciencias de la vida (Thermo Fisher, Danaher, Agilent, Qiagen) para Life Science, y farmacéuticas europeas (Novartis, AstraZeneca, Sanofi, GSK) para Healthcare. No hay comparable puro de Electronics en la muestra (Entegris no se pudo leer). Merck es las tres cosas a la vez, así que ningún comparable lo es del todo.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KGaA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11,4x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13,4x / 19,0x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19,5x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 5,0x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rPr>
        <w:t xml:space="preserve">Regresión EV/EBITDA NTM sobre crecimiento</w:t>
      </w:r>
      <w:r>
        <w:t xml:space="preserve"> (5 comparables): múltiplo = 7,1 + 0,59 × crecimiento; R² = 0,36. Para el crecimiento esperado de la empresa (2,6 %), el múltiplo ajustado es 8,6x y el valor por acción, 94,37.</w:t>
      </w:r>
    </w:p>
    <w:p>
      <w:pPr>
        <w:spacing w:after="100"/>
      </w:pPr>
      <w:r>
        <w:t xml:space="preserve">Merck cotiza a 11,7 veces el EBITDA de los próximos 12 meses y 17,6 veces el beneficio, en medio de las dos familias: muy por debajo de las herramientas estadounidenses (24-26x EBITDA, PER de 21-25x) y por encima de Sanofi y GSK (PER de 10-12x). Ponderando por el peso de cada negocio (43 % Life Science) el descuento frente a una suma de partes razonable existe, pero se explica por el ROIC (7,5 % frente a 11-19 % de Qiagen y las farmacéuticas) y por el control familiar. La mediana de PER de la muestra es de 19,5x.</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Bio-Techne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 USD por acción en efectivo; valor empresa ≈ 11.300 M USD (9.900 M EUR); prima del 25 % sobre el cierre previo (36 % sobre la media de un mes); ≈ 26,5 veces el EBITDA esperado de 2026; sinergias de costes de 140 M EUR al tercer año [23,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SpringWorks Therapeutics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USD por acción (≈ 3.900 M USD); oncología de tumores raros, sin EBITDA positivo: no da múltiplo [25].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 única operación con múltiplo es la propia compra de Bio-Techne a ≈ 26,5 veces el EBITDA esperado de 2026 [24]: dice cuánto se paga hoy por activos de reactivos de investigación, no cuánto valdría Merck, que con un 70 % en manos de la familia no es opinable.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está casi cerrado (dos trimestres publicados y la guía subida dos veces): +1,4 %, el centro de la guía (21.400 M) [3]. En 2027e, +3,0 %: el año completo sin Mavenclad en EE. UU. resta a Healthcare, mientras Life Science y Electronics crecen a un ritmo medio-alto de un dígito. De 2028e a 2030e, 4,0 % y 3,5 %, por encima del crecimiento de 2021-2025 (TCAC del 1,8 %, con el pico de la pandemia) y en línea con el orgánico de 2025 (3,1 %) y del 2T26 (4,1 %) [1, 3]. Hasta el 2,5 % en el terminal. El consenso de MarketScreener supone ventas de 22.060 M en 2027 y 23.280 M en 2028 (con Bio-Techne parcialmente) [33].</w:t>
      </w:r>
    </w:p>
    <w:p>
      <w:pPr>
        <w:keepNext/>
        <w:spacing w:after="100"/>
      </w:pPr>
      <w:r>
        <w:rPr>
          <w:b/>
          <w:bCs/>
        </w:rPr>
        <w:t xml:space="preserve">Márgenes.</w:t>
      </w:r>
    </w:p>
    <w:p>
      <w:pPr>
        <w:spacing w:after="100"/>
      </w:pPr>
      <w:r>
        <w:t xml:space="preserve">Margen EBITDA del 27,5 % en 2026e (el EBITDA pre del centro de la guía, 6.100 M, menos 1 punto de ajustes que se repiten) y hasta el 28,5 % en 2030e, la mitad de la mejora que ha mostrado el EBITDA pre en el 2T26 (29,4 %) [3]. Por debajo del 30,2 % de 2021, con la pandemia [1].</w:t>
      </w:r>
    </w:p>
    <w:p>
      <w:pPr>
        <w:keepNext/>
        <w:spacing w:after="100"/>
      </w:pPr>
      <w:r>
        <w:rPr>
          <w:b/>
          <w:bCs/>
        </w:rPr>
        <w:t xml:space="preserve">Inversión y circulante.</w:t>
      </w:r>
    </w:p>
    <w:p>
      <w:pPr>
        <w:spacing w:after="100"/>
      </w:pPr>
      <w:r>
        <w:t xml:space="preserve">Capex del 9,3 % de las ventas en 2026e (el de 2025) bajando al 7,0 % al final, cuando acaba el ciclo de plantas nuevas (7,2 % en 2021) [9]. Amortización del inmovilizado propio del 6,0 % al 6,7 % (sin la de intangibles comprados, que no es caja). Circulante comercial del 29,5 % de las ventas, el de 2025.</w:t>
      </w:r>
    </w:p>
    <w:p>
      <w:pPr>
        <w:keepNext/>
        <w:spacing w:after="100"/>
      </w:pPr>
      <w:r>
        <w:rPr>
          <w:b/>
          <w:bCs/>
        </w:rPr>
        <w:t xml:space="preserve">Coste del capital.</w:t>
      </w:r>
    </w:p>
    <w:p>
      <w:pPr>
        <w:spacing w:after="100"/>
      </w:pPr>
      <w:r>
        <w:t xml:space="preserve">Bund a 10 años del 3,53 % [43], beta de 0,85 (estimación: salud y química diversificada europea; no hemos podido medirla), prima de mercado del 5,5 % y sin prima adicional (vende en todo el mundo). Coste de la deuda del 3,6 % antes de impuestos (gastos financieros de 404 M sobre ≈ 11.000 M de deuda media [2]) con un peso del 15 %. WACC del 7,40 %. Con la prima implícita del mercado (4,2 %), el 6,46 %.</w:t>
      </w:r>
    </w:p>
    <w:p>
      <w:pPr>
        <w:keepNext/>
        <w:spacing w:after="100"/>
      </w:pPr>
      <w:r>
        <w:rPr>
          <w:b/>
          <w:bCs/>
        </w:rPr>
        <w:t xml:space="preserve">Valor terminal.</w:t>
      </w:r>
    </w:p>
    <w:p>
      <w:pPr>
        <w:spacing w:after="100"/>
      </w:pPr>
      <w:r>
        <w:t xml:space="preserve">Gordon con un crecimiento del 2,0 % (inflación del euro más un crecimiento real modesto), por debajo de la tasa libre menos medio punto. El múltiplo de salida implícito queda en torno a 13 veces el EBITDA, el de las farmacéuticas europeas grandes y muy por debajo de las herramientas estadounidenses.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6.279 M (15 % del NOPAT)</w:t>
            </w:r>
          </w:p>
        </w:tc>
      </w:tr>
    </w:tbl>
    <w:p>
      <w:pPr>
        <w:spacing w:after="160" w:before="0"/>
      </w:pPr>
    </w:p>
    <w:p>
      <w:pPr>
        <w:spacing w:after="100"/>
      </w:pPr>
      <w:r>
        <w:t xml:space="preserve">La proyección apenas necesita inversión neta de la amortización (reinversión acumulada de 6.279 M, el 15 % del NOPAT, con un capex bruto medio del 8,0 % de las ventas). En un negocio de activos ligeros, el crecimiento medio del 3,0 %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Life Science y Electronics (+4,1 % orgánico del grupo en el 2T26), precio casi neutro, y −2,1 puntos de divisa y Mavenclad fuera de EE. UU. desde agosto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completo sin Mavenclad en EE. UU. (resta ≈ 2 puntos al volumen de Healthcare); Life Science y Electronics compensan.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bioprocesos y materiales para chips; precio en línea con la historia de Life Science.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medio punto menos que el primer supuesto tras la prueba de sostenibilidad.</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terminal.</w:t>
            </w:r>
          </w:p>
        </w:tc>
      </w:tr>
    </w:tbl>
    <w:p>
      <w:pPr>
        <w:spacing w:after="160" w:before="0"/>
      </w:pPr>
    </w:p>
    <w:p>
      <w:pPr>
        <w:spacing w:after="100"/>
      </w:pPr>
      <w:r>
        <w:t xml:space="preserve">El motor no hace la prueba porque la reinversión neta proyectada es baja (15 % del NOPAT), así que la hacemos a mano. Con el ROIC contable del 7,5 % y esa reinversión, el crecimiento financiable sería de apenas un 1,1 %, por debajo del 3,2 % medio proyectado. Pero el ROIC contable lleva 25.600 M de fondo de comercio e intangibles comprados; sin ellos, el capital operativo ronda los 12.000 M y el ROIC orgánico supera el 20 %, y el crecimiento orgánico de Merck se financia sobre todo con I+D que va a gasto. Rebajamos medio punto el crecimiento de 2028e-2030e (de 4,5/4,5/4,0 a 4,0/4,0/3,5) para quedarnos en el orgánico demostrado (3,1 % en 2025 y 4,1 % en el 2T26) [3, 8], y el veredicto es «En parte»: el crecimiento orgánico es sostenible, pero el comprado no ha rendido su coste.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7,4 %)</w:t>
            </w:r>
          </w:p>
        </w:tc>
      </w:tr>
    </w:tbl>
    <w:p>
      <w:pPr>
        <w:spacing w:after="160" w:before="0"/>
      </w:pPr>
    </w:p>
    <w:p>
      <w:pPr>
        <w:spacing w:after="100"/>
      </w:pPr>
      <w:r>
        <w:t xml:space="preserve">El DCF da 133,90 EUR por acción, un 2,4 % por debajo del precio, con el 65 % del valor en el terminal. El DCF inverso dice que el precio descuenta un crecimiento del 3,6 % anual en 2027e-2035e con un margen del 28,9 %, frente al 3,2 % y el 28,5 % de nuestro caso base: el precio pide algo más que nosotros, pero poco, y esa exigencia es razonable frente al orgánico de 2025 (3,1 %) y del 2T26 (4,1 %). La rentabilidad implícita (7,3 %) coincide con nuestro WACC (7,40 %): la acción está en su valor con nuestra tasa. La lectura cambia con la prima del mercado: con el 4,2 % de Damodaran el valor objetivo sube a 159,74 EUR. Toda la discrepancia entre las dos reglas es de tasa de descuento, no de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bioprocesos vuelven a frenar (como en 2023, cuando las ventas del grupo cayeron un 5,6 %), Electronics sufre el ciclo de los chips y Healthcare no compensa la pérdida de Mavenclad. Crecimiento 2 puntos menor y margen 1,5 puntos menor;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Life Science y Electronics compensan la caída de Healthcare: crecimiento del 3-4 % y margen EBITDA hasta el 28,5 %.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Process Solutions sigue creciendo a doble dígito y la IA mantiene Electronics: un punto más de crecimiento y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137,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129,72 EUR (-5,5 %).</w:t>
      </w:r>
    </w:p>
    <w:p>
      <w:pPr>
        <w:spacing w:after="100"/>
      </w:pPr>
      <w:r>
        <w:t xml:space="preserve">El DCF da 99,70 EUR en el bajista (−27,3 %), 133,90 en el base y 151,37 en el alcista (+10,3 %): con nuestro WACC la asimetría es mala (0,38x). La lectura a 12 meses es más favorable porque el PER actual (16,1x) ya está cerca del mínimo de cinco años (14,7x): el bajista a 12 meses pierde un 11,2 % y el alcista gana un 39,6 % (asimetría de 2,97x). La diferencia es que el DCF castiga el ROIC bajo y el múltiplo ya lo descuenta.</w:t>
      </w:r>
    </w:p>
    <w:p>
      <w:pPr>
        <w:pStyle w:val="Heading1"/>
      </w:pPr>
      <w:r>
        <w:t xml:space="preserve">22. Suma de partes</w:t>
      </w:r>
    </w:p>
    <w:p>
      <w:pPr>
        <w:pStyle w:val="Confianza"/>
        <w:spacing w:after="100"/>
      </w:pPr>
      <w:r>
        <w:t xml:space="preserve">Confianza: Baja</w:t>
      </w:r>
    </w:p>
    <w:p>
      <w:pPr>
        <w:spacing w:after="100"/>
      </w:pPr>
      <w:r>
        <w:t xml:space="preserve">No la hacemos: solo tenemos ventas de los tres negocios y EBITDA de Life Science, y la mitad del grupo cambia en 2027 con Bio-Techne. Sería el método natural para un grupo de tres negocios tan distintos.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137,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134,52 EUR (-2,0 % sobre 137,20).</w:t>
      </w:r>
    </w:p>
    <w:p>
      <w:pPr>
        <w:spacing w:after="100"/>
      </w:pPr>
      <w:r>
        <w:t xml:space="preserve">Pesos: DCF 40 %, escenarios 35 % y comparables 25 %. El DCF y los escenarios recogen lo esencial (un ROIC del 7,5 % casi igual al WACC del 7,40 %); los comparables pesan menos porque la muestra mezcla herramientas a 24-26 veces el EBITDA con farmacéuticas a 7-13 veces y la mediana salta según cuál se quite. Las transacciones no pesan (solo Bio-Techne tiene múltiplo y la familia controla el 70 %). El valor intrínseco resultante es de 134,52 EUR (−2,0 %). La dispersión es grande: el PER de los comparables da hasta 170,38 y el EV/EBITDA de los próximos 12 meses desde 70,82.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r>
    </w:tbl>
    <w:p>
      <w:pPr>
        <w:spacing w:after="160" w:before="0"/>
      </w:pPr>
    </w:p>
    <w:p>
      <w:pPr>
        <w:spacing w:after="100"/>
      </w:pPr>
      <w:r>
        <w:rPr>
          <w:b/>
          <w:bCs/>
        </w:rPr>
        <w:t xml:space="preserve">Objetivo a 12 meses (ponderado):</w:t>
      </w:r>
      <w:r>
        <w:t xml:space="preserve"> 150,51 EUR · rentabilidad +11,3 % (base +8,4 %) · señal Mantener.</w:t>
      </w:r>
    </w:p>
    <w:p>
      <w:pPr>
        <w:keepNext/>
        <w:spacing w:after="100"/>
      </w:pPr>
      <w:r>
        <w:rPr>
          <w:b/>
          <w:bCs/>
        </w:rPr>
        <w:t xml:space="preserve">Frente al consenso (solo contraste).</w:t>
      </w:r>
    </w:p>
    <w:p>
      <w:pPr>
        <w:spacing w:after="100"/>
      </w:pPr>
      <w:r>
        <w:t xml:space="preserve">Nuestro BPA pre de 2026e (8,27) supera al consenso VARA (7,78), que es anterior a la segunda subida de la guía (7,90-8,60) [3, 20]: el centro de la guía es 8,25. No tenemos consenso de BPA pre de 2027-28; el beneficio publicado de S&amp;P Global (≈ 7,40 por acción en 2028) no es comparable porque incluye la amortización de intangibles comprados [34]. Nuestro precio base a 12 meses (146,51) queda un 0,3 % por encima del objetivo medio de los analistas (146,11): coincidimos.</w:t>
      </w:r>
    </w:p>
    <w:p>
      <w:pPr>
        <w:keepNext/>
        <w:spacing w:after="100"/>
      </w:pPr>
      <w:r>
        <w:rPr>
          <w:b/>
          <w:bCs/>
        </w:rPr>
        <w:t xml:space="preserve">Del valor intrínseco al objetivo a 12 meses.</w:t>
      </w:r>
    </w:p>
    <w:p>
      <w:pPr>
        <w:spacing w:after="100"/>
      </w:pPr>
      <w:r>
        <w:t xml:space="preserve">El objetivo a 12 meses (150,51 EUR, +11,3 % con dividendo) supera al valor intrínseco (134,52 EUR) en un 12 %: el mercado paga hoy 16,1 veces un BPA pre que excluye la amortización de intangibles comprados, y nuestro DCF descuenta flujos con un ROIC que apenas cubre el WACC. Para cerrar la distancia hacia arriba haría falta que el ROIC subiera con la integración de Bio-Techne (sinergias de 140 M al tercer año [23]), y hacia abajo, que el mercado dejara de valorar a Merck por BPA pre.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 (3T26)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sin Mavenclad en EE. UU.; confirmación de la guía subida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Bio-Techne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deuda (≈ 2,8 veces el EBITDA pre, estimación) y nueva guía con Bio-Techne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sin Mavenclad en EE. UU.; la guía inicial de 2026 decepcionó y la acción cayó [47]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lanzamiento de Pergoveris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Excluido de la guía de 2026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2,20 EUR o más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Bio-Techne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(pagar ≈ 26,5x EBITDA con un ROIC del 7,5 % destruye valor si no llegan las sinergias)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costes de 140 M al tercer año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Bio-Techne por debajo del 5 %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caída de los bioprocesos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Process Solutions con relación pedidos/ventas por encima de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Life Science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 tras Mavenclad y otras patentes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SpringWorks y Pergoveris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Healthcare por debajo de −5 %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(−5,5 % de ventas en el 1T26)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los semiconductores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Exposición a chips de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Electronics por debajo de 0 %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familiar sin voto del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Alineación por dividendo; 350 años de gestión familiar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E. Merck KG</w:t>
            </w:r>
          </w:p>
        </w:tc>
      </w:tr>
    </w:tbl>
    <w:p>
      <w:pPr>
        <w:spacing w:after="160" w:before="0"/>
      </w:pPr>
    </w:p>
    <w:p>
      <w:pPr>
        <w:pStyle w:val="Heading2"/>
      </w:pPr>
      <w:r>
        <w:t xml:space="preserve">Pre-mortem</w:t>
      </w:r>
    </w:p>
    <w:p>
      <w:pPr>
        <w:spacing w:after="100"/>
      </w:pPr>
      <w:r>
        <w:t xml:space="preserve">Octubre de 2029: la acción ha perdido un 40 %. Merck cerró Bio-Techne a principios de 2027 con la deuda neta cerca de tres veces el EBITDA, justo cuando las farmacéuticas recortaron otra vez inventarios de consumibles de bioprocesos y la financiación de la investigación académica en EE. UU. siguió cayendo: Life Science creció un 1 % en 2027 y 2028. Electronics, tras dos años de IA, sufrió la corrección de la inversión en chips. Healthcare no compensó la pérdida de Mavenclad y Pergoveris no se aprobó en EE. UU. El BPA pre se estancó en 8 EUR, la empresa tuvo que frenar el dividendo para defender el rating y el PER bajó a 12 veces, el de una farmacéutica sin crecimiento. Los indicadores que lo habrían anticipado: la relación pedidos/ventas de Process Solutions, el crecimiento orgánico de Bio-Techne tras el cierre y la deuda neta sobre EBITDA pre por encima de 2,5 veces.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Bio-Techne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 la Dirección de Bio-Techne al quinto año y qué crecimiento orgánico supone?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26,5x EBITDA y con un ROIC del grupo del 7,5 %, es la decisión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compra se pagará con híbridos y cuál es el objetivo de deuda neta/EBITDA pre a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el coste financiero de nuestro BPA de 2028e (300 M sin la compra).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vendió Mavenclad en EE. UU. en 2025 y qué parte de Healthcare tiene patentes que caducan antes de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el crecimiento de 2027e.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«pre»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reestructuraciones e integraciones (200-300 M al año) se excluyen si se repiten?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es de ≈ 1 punto de margen y la tratamos como gasto.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11,7 % del 2T26 es de chips de IA y cuánto dura la visibilidad?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escenario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déficit de pensiones a junio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 hemos estimado con el dato de 2024.</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(comentario de mercado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Bio-Techne se ve estratégicamente lógica pero cara (≈ 26,5 veces el EBITDA de 2026) y «de momento no ayuda a la acción»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AInvest (análisis con debate)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sigue descontando el riesgo de Healthcare pese a la mejor caja; la integración de Bio-Techne y el margen de Electronics son los retos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usuarios ven la acción infravalorada, apoyadas en el crecimiento de Process Solutions y la cartera de pedidos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boerse-express (prensa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día del inversor de octubre de 2025 «asustó» por la guía de 2026; referencia del suelo desde el que rebotó la acción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Zonebourse / Tradingsat (notas comentadas)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DZ Bank defiende que la guía conservadora deja margen a sorpresas y que el descuento frente a Danaher y Thermo Fisher no está justificado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pagado por Bio-Techne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múltiplo (≈ 26,5x EBITDA) es alto, pero la compra no entra en nuestro BPA ni en el DCF: la propia empresa no espera que aporte al BPA pre hasta el tercer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Healthcare tras Mavenclad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Healthcare cayó un 3,4 % orgánico en el 2T26 y la guía supone cero ventas de Mavenclad en EE. UU. desde agosto; nuestro 2027e lo incorpora con un crecimiento del grupo del 3 %.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Electronics y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Electronics creció un 11,7 % orgánico en el 2T26: es el motor que permitió subir dos veces la guía.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Descuento frente a Thermo Fisher y Danaher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cotiza a ≈ 16 veces nuestro BPA de 2027e frente a 24-25 veces de los dos estadounidenses; parte del descuento es la mezcla (farmacia y electrónica) y el control familiar.</w:t>
            </w:r>
          </w:p>
        </w:tc>
      </w:tr>
    </w:tbl>
    <w:p>
      <w:pPr>
        <w:spacing w:after="160" w:before="0"/>
      </w:pPr>
    </w:p>
    <w:p>
      <w:pPr>
        <w:spacing w:after="100"/>
      </w:pPr>
      <w:r>
        <w:t xml:space="preserve">El sentimiento está dividido y mejorando: la prensa y los comentaristas alemanes critican el precio de Bio-Techne y la caída de Healthcare, mientras las notas de bancos y las comunidades de valoración insisten en el descuento frente a Thermo Fisher y Danaher y en la guía conservadora [24, 45, 48]. No hay euforia ni capitulación. No aporta un riesgo que el informe no recoja; confirma que el catalizador que el mercado espera es que Electronics y Life Science compensen a Healthcare, y que la compra de Bio-Techne frena la revalorización mientras no se vea su aportación.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48 (20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29,5 % frente a 29,5 % real: genera una variación de circulante de 78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9,2x a 11,8x según qué comparable se quite (101,99 a 138,71 por acción): la muestra es frágil; explícalo y no le des mucho peso. Explicación: La muestra mezcla herramientas de laboratorio (24-26x EBITDA) y farmacéuticas (7-13x), porque Merck es las dos cosas: la mediana salta según cuál se quite. Por eso los comparables pesan solo un 25 % y la suma de partes no se hace sin cifras de segmento completas.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59.655, publicada 63.330: revisa acciones y precio. Explicación: La capitalización publicada (63.330 M) es de Stockopedia a 145,65 EUR; a ese precio da las mismas 434,8 M de acciones. La diferencia es solo de fecha del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29,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Historia e hitos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por búsqueda: solo resumen de cinco años; 2) Stock Analysis: sin desglose en el extracto; 3) cuentas trimestrales: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y proveedores de 2021-2023; proveedores y pensiones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consolidado 2025 (existencias y clientes sí; proveedores y pensiones no); 2) agregadores (Fintel, Simply Wall St) con cifras discrepantes; 3) informe del 2T26: solo deuda neta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pagados y pagos de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resumen de cinco años; 2) Stock Analysis; 3) Stockopedia (filas vacías)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opinión y señales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orden del día de la junta 2026 (elección del auditor aprobada con &gt;99 %, sin nombre en el extracto);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presentación a analistas;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serie, TCAC,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(mercado objetivo de Life Science): no buscado por presupuesto compartido; 2) estimaciones de Evaluate/IQVIA y SEMI: sin búsqueda; 3) análisis paralelos de Thermo Fisher y Danaher del repo (sin cifra de mercado para Merck)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 prensa sectorial; 3) derivar de ventas/mercado: sin tamaño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múltiplo (mínimo 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Bio-Techne (sí); 2) SpringWorks (sin EBITDA); 3) otras del sector (Abcam, Olink, Solventum purificación) sin múltiplo verificable con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buscado; 2) MSCI/Sustainalytics: no buscado; 3) prensa: nada relevante en las búsquedas hechas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supervisión y comités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(declaración de gobierno corporativo): no accesible; 2) orden del día de la junta 2026: solo títulos; 3) búsqueda de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(no abierto); 2) orden del día;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(Directors' Dealings)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la BaFin: no accesible; 2) web de la empresa: no accesible;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sin red; 2) Yahoo/Stockopedia por búsqueda: solo cotizaciones sueltas; 3) cálculo con cierres anuales: insuficiente para beta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pre 2027e y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VARA de la empresa: solo el año en curso; 2) MarketScreener: solo ventas y EBITDA en el extracto; 3) S&amp;P Global vía Simply Wall St: beneficio neto publicado (no pre)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(Reddit, Stocktwits,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sin hilos; 2) wallstreet-online: sin resultados en la búsqueda; 3) Seeking Alpha: sin artículo en los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sin red; 2) búsqueda de rentabilidades anuales: solo cierres; 3) proveedores (Stockopedia, Digrin): instantáneas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corporativa no accesible; 2) informe anual por búsqueda: no buscado (presupuesto compartido); 3) conocimiento general no citable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a 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2T26: solo deuda neta; 2) balance 2025: sin la línea; 3) balance 2024: 1.956 M de provisiones no corrientes para prestaciones a empleados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 Informe anual 2025: «Business development 2021-2025» (resumen de cinco años).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https://reports.emdgroup.com/en/annualreport/2025/_assets/downloads/5yr-business-development-emd-ar25.pdf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 Informe anual 2025: estados financieros consolidados (cuenta, balance).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https://reports.emdgroup.com/en/annualreport/2025/_assets/downloads/cfs-consolidated-financial-statements-emd-ar25.pdf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nota de prensa de resultados del 2T26 (6-ago-2026).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https://www.emdgroup.com/en/news/q2-2026-06-08-2026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informe del 2T26 (deuda financiera neta 9.207 M a 30-jun-2026).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https://www.emdgroup.com/content/dam/web/corporate/non-images/press-kits/q2-2026/us/2026-Q2-Report-NA.pdf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estados financieros del 1T26 (EBITDA pre trimestral 2025-2026).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https://reporting.emdgroup.com/2026-Q1-Financial-Statement-NA.pdf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nota de prensa de resultados del 1T26 (13-may-2026).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https://www.emdgroup.com/en/news/q1-2026-13-05-2026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resultados del 3T25 (dossier de prensa).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https://www.emdgroup.com/en/media-center/press-kits/q3-2025.html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nota de prensa de resultados de 2025 («Guidance for 2025 delivered»).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https://www.emdgroup.com/en/news/q4-2025-05-03-2026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Merck KGaA (ETR:MRK), estado de flujos de efectivo anual.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https://stockanalysis.com/quote/etr/MRK/financials/cash-flow-statement/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Merck KGaA (ETR:MRK), cuenta de resultados (BPA diluido anual y LTM).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https://stockanalysis.com/quote/etr/MRK/financials/income-statement/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resultados de 2021 (BPA pre 8,72; 2020: 6,70).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https://www.emdgroup.com/en/news/financial-results-2021-03-03-2022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presentación a analistas del informe anual 2023 (BPA pre 8,49; 2022: 10,05).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https://www.emdgroup.com/en/annualreport/2023/_assets/downloads/apr-analyst-presentation-emd-ar23.pdf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«Merck KGaA Q2 earnings call highlights» (6-ago-2026).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https://www.marketbeat.com/instant-alerts/merck-kgaa-q2-earnings-call-highlights-2026-08-06/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 «After generic defense fails, Merck KGaA expects no US Mavenclad sales».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https://www.fiercepharma.com/pharma/after-generic-defense-fails-merck-kgaa-expects-no-us-mavenclad-sales-after-march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informe del 4T25 (dividendo propuesto 2,20 EUR; deuda neta/EBITDA pre 1,4x).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https://www.emdgroup.com/content/dam/web/corporate/non-images/press-kits/q4-2025/us/2025-Q4-Report-NA.pdf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«Merck KGaA Q1 earnings call highlights» (mayo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https://www.nasdaq.com/articles/merck-kgaa-q1-earnings-call-highlights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Scope Ratings, informe de calificación de Merck KGaA (A−, perspectiva positiva; híbridos BBB), oct-2021.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Scope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https://www.emdgroup.com/investors/shares-and-bonds/credit-ratings/us/21-10-11_Scope+Ratings_Merck+KGaA+Rating+Report_NA.pdf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 «Merck KGaA kauft Bio-Techne für 73 US-Dollar je Aktie» (financiación con caja y deuda nueva, manteniendo el grado de inversión).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https://goldesel.de/aktien/news/merck-kgaa-kauft-bio-techne-fur-73-us-dollar-je-aktie-113-mrd-dollar-deal-mit-36-pramie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Informe anual 2024: estados financieros consolidados (proveedores 2.275 M; provisiones para prestaciones a empleados 1.956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https://www.emdgroup.com/en/annualreport/2024/_assets/downloads/cfs-consolidated-financial-statements-emd-ar24.pdf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consenso VARA del 1T26 (BPA pre medio 1,96).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 VARA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https://www.emdgroup.com/en/investors/shares-and-bonds/analysts-and-consensus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2025 (cifras tomadas del análisis paralelo del repo del 14-oct-2026).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Form 10-K 2025 (cifras tomadas del análisis paralelo del repo del 14-oct-2026).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«Agreement to acquire Bio-Techne» (25-jun-2026).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https://www.emdgroup.com/en/news/agreement-to-acquire-bio-techne-25-06-2026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 «Merck macht teuren Milliardenzukauf in den USA».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https://stock3.com/news/merck-macht-teuren-milliardenzukauf-in-den-usa-17133251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 (newswire), Merck confirma conversaciones avanzadas con SpringWorks.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 Börsengeflüster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https://app.boersengefluester.de/en/newswire/DE0006599905/merck-kgaa/merck-confirms-late-stage-discussions-with-springworks-therapeutics-inc-on-potential-acquisition-2123844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«Kai Beckmann to succeed Belén Garijo as Chair of the Executive Board and CEO» (25-sep-2025).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https://www.emdgroup.com/en/news/garijo-beckmann-25-09-25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chemeurope.com, «Kai Beckmann to become Merck's new CEO on May 1,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chemeurope.com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https://www.chemeurope.com/en/news/1188594/kai-beckmann-to-become-merck-s-new-ceo-on-may-1-2026.html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resultados de las votaciones de la junta general de 24-abr-2026.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https://www.hauptversammlung.de/fileadmin/public/user_upload/Merck_result26.pdf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orden del día de la junta general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https://www.hauptversammlung.de/fileadmin/public/user_upload/Merck_TO26.pdf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boerse.de, ficha de la acción Merck KGaA (137,20 EUR el 13-oct-2026; Barclays sube el objetivo a 150 EUR el 8-sep-2026).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https://www.boerse.de/aktien/Merck-Aktie/DE0006599905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Merck KGaA (ETR:MRK): capitalización 63.330 M EUR a 145,65 EUR.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https://www.stockopedia.com/share-prices/merck-k-ga-a-ETR:MRK/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 y Lynx: cotizaciones de agosto de 2026 (máximo de 52 semanas 148,60; Goldman Sachs 155; DZ Bank 150).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 / Lynx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https://www.finanzen.at/analyse/merck-kaufen-1057155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Merck KGaA: finanzas y estimaciones 2026-2028 (ventas y EBITDA).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https://uk.marketscreener.com/quote/stock/MERCK-KGAA-436395/finances/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Merck KGaA: previsiones de beneficio (S&amp;P Global) 2026-2028.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https://simplywall.st/stocks/de/pharmaceuticals-biotech/fra-mrk/merck-kgaa-shares/future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 objetivos de precio de Merck KGaA (media 151,43 EUR, 7 análisis).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https://www.ariva.de/merck-aktie/kursziele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Lynx Broker, análisis de Merck (30-dic-2025: 122,60 EUR; 13 de 17 analistas en Comprar; objetivo medio ≈ 144).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Lynx Broker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https://www.lynxbroker.de/boerse/boerse-kurse/aktien/merck-aktie/merck-analyse/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 «Deutsche Bank Research hebt Kursziel auf 141 EUR an» (11-ago-2026) y Barclays 130 EUR.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https://goldesel.de/aktien/news/merck-kgaa-kursziel-auf-141-eur-angehoben-trotz-hold-bleibt-die-aktie-unter-beobachtung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 «AlphaValue diminue sa cible de cours sur Merck KGaA» (16-abr-2026).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https://www.optionfinance.fr/info-financiere-en-continu/d/2026-04-16-alphavalue-diminue-sa-cible-de-cours-sur-merck-kgaa.html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 Merck KGaA: históricos de cotización (cierres anuales).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https://app.boersengefluester.de/en/c/profile/p/DE0006599905/histories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 Merck KGaA (MRK/EUR) historical price data.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https://tradersunion.com/currencies/price-history/mrk-eur/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y MarketScreener: múltiplos de los comparables (vía los análisis paralelos de Mettler-Toledo, Danaher y Roche del 14-oct-2026).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tipos de cambio de referencia del euro (1,1181 USD/EUR,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https://data-api.ecb.europa.eu/service/data/EXR/D.USD+GBP.EUR.SP00.A?startPeriod=2026-10-01&amp;format=csvdata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 rendimiento del Bund a 10 años (3,53 %, 12-oct-2026; dato del análisis paralelo de Amadeus).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prima de riesgo implícita mensual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AInvest, «Merck KGaA: the story is dead, cash flow…».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https://www.ainvest.com/news/merck-kgaa-story-dead-cash-flow-2608/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Merck KGaA: narrativas y valoración de la comunidad.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https://simplywall.st/stocks/de/pharmaceuticals-biotech/etr-mrk/merck-kgaa-shares/news/assessing-merck-kgaa-xtramrk-valuation-following-recent-shar/amp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 «Merck Aktie: Kapitalmarkttag schockt».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https://www.boerse-express.com/news/articles/merck-aktie-kapitalmarkttag-schockt-836370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Zonebourse, «DZ Bank mise sur des surprises futures pour Merck KGaA».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https://www.tradingsat.com/actualites/informations-societes/dz-bank-mise-sur-des-surprises-futures-pour-merck-kgaa-1157986.html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77,3 %</w:t>
      </w:r>
      <w:r>
        <w:t xml:space="preserve"> · Secciones con menos del 60 % de campos cubiertos: </w:t>
      </w:r>
      <w:r>
        <w:rPr>
          <w:b/>
          <w:bCs/>
        </w:rPr>
        <w:t xml:space="preserve">historia, gobierno, bolsa, esg, calidad</w:t>
      </w:r>
      <w:r>
        <w:t xml:space="preserve"> · Generado el 14 oct 2026.</w:t>
      </w:r>
    </w:p>
    <w:p>
      <w:pPr>
        <w:pStyle w:val="Nota"/>
        <w:spacing w:after="100"/>
      </w:pPr>
      <w:r>
        <w:t xml:space="preserve">Entorno sin red salvo la búsqueda web: ningún documento se ha abierto entero; todas las cifras salen de extractos de búsqueda de documentos citados (informes anuales, notas de resultados, proveedores de datos) y lo que no cuadra está en null. Línea cotizada: Xetra (MRK). Las acciones (434,8 M) son el capital total equivalente con el que la empresa calcula el BPA: 129,2 M cotizan y el resto corresponde a la participación de E. Merck KG (≈ 70 %), que no cotiza. Precio: 137,20 EUR, cotización de Börse Stuttgart del 13-oct-2026 (sin cierre de Xetra verificable). Pasivos financieros con arrendamientos incluidos. Proveedores de 2025 = los de 2024 (estimación). Comparables reutilizados de los análisis del repo del mismo día. Sin bolsa.mjs: no hay beta propia, rentabilidades ni volatilidad.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Merck KGaA (MRK)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137,20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Precio objetivo de los analistas (130,00 – 167,00)</c:v>
                </c:pt>
                <c:pt idx="1">
                  <c:v>Comparables: EV/EBITDA NTM (70,82 – 144,25)</c:v>
                </c:pt>
                <c:pt idx="2">
                  <c:v>Comparables: PER NTM (123,12 – 170,38)</c:v>
                </c:pt>
                <c:pt idx="3">
                  <c:v>DCF (WACC y g ± 0,5) (112,67 – 164,60)</c:v>
                </c:pt>
                <c:pt idx="4">
                  <c:v>Escenarios (bajista – alcista) (99,70 – 151,37)</c:v>
                </c:pt>
                <c:pt idx="5">
                  <c:v>DCF con la prima implícita del mercado (4,2 %)</c:v>
                </c:pt>
                <c:pt idx="6">
                  <c:v>Precio actual (137,20)</c:v>
                </c:pt>
              </c:strCache>
            </c:strRef>
          </c:cat>
          <c:val>
            <c:numRef>
              <c:f>Hoja1!$B$2:$B$8</c:f>
              <c:numCache>
                <c:formatCode>#,##0</c:formatCode>
                <c:ptCount val="7"/>
                <c:pt idx="0">
                  <c:v>130</c:v>
                </c:pt>
                <c:pt idx="1">
                  <c:v>70.82</c:v>
                </c:pt>
                <c:pt idx="2">
                  <c:v>123.12</c:v>
                </c:pt>
                <c:pt idx="3">
                  <c:v>112.67</c:v>
                </c:pt>
                <c:pt idx="4">
                  <c:v>99.7</c:v>
                </c:pt>
                <c:pt idx="5">
                  <c:v>148.33</c:v>
                </c:pt>
                <c:pt idx="6">
                  <c:v>136.51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Precio objetivo de los analistas (130,00 – 167,00)</c:v>
                </c:pt>
                <c:pt idx="1">
                  <c:v>Comparables: EV/EBITDA NTM (70,82 – 144,25)</c:v>
                </c:pt>
                <c:pt idx="2">
                  <c:v>Comparables: PER NTM (123,12 – 170,38)</c:v>
                </c:pt>
                <c:pt idx="3">
                  <c:v>DCF (WACC y g ± 0,5) (112,67 – 164,60)</c:v>
                </c:pt>
                <c:pt idx="4">
                  <c:v>Escenarios (bajista – alcista) (99,70 – 151,37)</c:v>
                </c:pt>
                <c:pt idx="5">
                  <c:v>DCF con la prima implícita del mercado (4,2 %)</c:v>
                </c:pt>
                <c:pt idx="6">
                  <c:v>Precio actual (137,20)</c:v>
                </c:pt>
              </c:strCache>
            </c:strRef>
          </c:cat>
          <c:val>
            <c:numRef>
              <c:f>Hoja1!$C$2:$C$8</c:f>
              <c:numCache>
                <c:formatCode>#,##0</c:formatCode>
                <c:ptCount val="7"/>
                <c:pt idx="0">
                  <c:v>37</c:v>
                </c:pt>
                <c:pt idx="1">
                  <c:v>73.43</c:v>
                </c:pt>
                <c:pt idx="2">
                  <c:v>47.25999999999999</c:v>
                </c:pt>
                <c:pt idx="3">
                  <c:v>51.92999999999999</c:v>
                </c:pt>
                <c:pt idx="4">
                  <c:v>51.67</c:v>
                </c:pt>
                <c:pt idx="5">
                  <c:v>44.94</c:v>
                </c:pt>
                <c:pt idx="6">
                  <c:v>1.3799999999999955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Life Science</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9000</c:v>
                </c:pt>
              </c:numCache>
            </c:numRef>
          </c:val>
        </c:ser>
        <c:ser>
          <c:idx val="1"/>
          <c:order val="1"/>
          <c:tx>
            <c:strRef>
              <c:f>Hoja1!$C$1</c:f>
              <c:strCache>
                <c:ptCount val="1"/>
                <c:pt idx="0">
                  <c:v>Healthcare</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8600</c:v>
                </c:pt>
              </c:numCache>
            </c:numRef>
          </c:val>
        </c:ser>
        <c:ser>
          <c:idx val="2"/>
          <c:order val="2"/>
          <c:tx>
            <c:strRef>
              <c:f>Hoja1!$D$1</c:f>
              <c:strCache>
                <c:ptCount val="1"/>
                <c:pt idx="0">
                  <c:v>Electronics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3502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Life Science</c:v>
                </c:pt>
                <c:pt idx="1">
                  <c:v>Healthcare</c:v>
                </c:pt>
                <c:pt idx="2">
                  <c:v>Electronics</c:v>
                </c:pt>
              </c:strCache>
            </c:strRef>
          </c:cat>
          <c:val>
            <c:numRef>
              <c:f>Hoja1!$B$2:$B$4</c:f>
              <c:numCache>
                <c:formatCode>General</c:formatCode>
                <c:ptCount val="3"/>
                <c:pt idx="0">
                  <c:v>42.6</c:v>
                </c:pt>
                <c:pt idx="1">
                  <c:v>40.8</c:v>
                </c:pt>
                <c:pt idx="2">
                  <c:v>16.6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Merck KGaA</c:v>
                </c:pt>
                <c:pt idx="1">
                  <c:v>Thermo Fisher Scientific</c:v>
                </c:pt>
                <c:pt idx="2">
                  <c:v>Danaher</c:v>
                </c:pt>
                <c:pt idx="3">
                  <c:v>Sartorius</c:v>
                </c:pt>
                <c:pt idx="4">
                  <c:v>Bio-Techne</c:v>
                </c:pt>
              </c:strCache>
            </c:strRef>
          </c:cat>
          <c:val>
            <c:numRef>
              <c:f>Hoja1!$B$2:$B$6</c:f>
              <c:numCache>
                <c:formatCode>0.0"%"</c:formatCode>
                <c:ptCount val="5"/>
                <c:pt idx="0">
                  <c:v>17.1</c:v>
                </c:pt>
                <c:pt idx="1">
                  <c:v>17.4</c:v>
                </c:pt>
                <c:pt idx="2">
                  <c:v>19.1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19687</c:v>
                </c:pt>
                <c:pt idx="1">
                  <c:v>22232</c:v>
                </c:pt>
                <c:pt idx="2">
                  <c:v>20993</c:v>
                </c:pt>
                <c:pt idx="3">
                  <c:v>21156</c:v>
                </c:pt>
                <c:pt idx="4">
                  <c:v>21102</c:v>
                </c:pt>
                <c:pt idx="5">
                  <c:v>21397</c:v>
                </c:pt>
                <c:pt idx="6">
                  <c:v>22039</c:v>
                </c:pt>
                <c:pt idx="7">
                  <c:v>22921</c:v>
                </c:pt>
                <c:pt idx="8">
                  <c:v>23838</c:v>
                </c:pt>
                <c:pt idx="9">
                  <c:v>24672</c:v>
                </c:pt>
                <c:pt idx="10">
                  <c:v>25536</c:v>
                </c:pt>
                <c:pt idx="11">
                  <c:v>26302</c:v>
                </c:pt>
                <c:pt idx="12">
                  <c:v>27091</c:v>
                </c:pt>
                <c:pt idx="13">
                  <c:v>27768</c:v>
                </c:pt>
                <c:pt idx="14">
                  <c:v>28462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5946</c:v>
                </c:pt>
                <c:pt idx="1">
                  <c:v>6504</c:v>
                </c:pt>
                <c:pt idx="2">
                  <c:v>5489</c:v>
                </c:pt>
                <c:pt idx="3">
                  <c:v>5779</c:v>
                </c:pt>
                <c:pt idx="4">
                  <c:v>5899</c:v>
                </c:pt>
                <c:pt idx="5">
                  <c:v>5884</c:v>
                </c:pt>
                <c:pt idx="6">
                  <c:v>6061</c:v>
                </c:pt>
                <c:pt idx="7">
                  <c:v>6418</c:v>
                </c:pt>
                <c:pt idx="8">
                  <c:v>6746</c:v>
                </c:pt>
                <c:pt idx="9">
                  <c:v>7032</c:v>
                </c:pt>
                <c:pt idx="10">
                  <c:v>7278</c:v>
                </c:pt>
                <c:pt idx="11">
                  <c:v>7496</c:v>
                </c:pt>
                <c:pt idx="12">
                  <c:v>7721</c:v>
                </c:pt>
                <c:pt idx="13">
                  <c:v>7914</c:v>
                </c:pt>
                <c:pt idx="14">
                  <c:v>8112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30.2</c:v>
                </c:pt>
                <c:pt idx="1">
                  <c:v>29.3</c:v>
                </c:pt>
                <c:pt idx="2">
                  <c:v>26.1</c:v>
                </c:pt>
                <c:pt idx="3">
                  <c:v>27.3</c:v>
                </c:pt>
                <c:pt idx="4">
                  <c:v>28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21.2</c:v>
                </c:pt>
                <c:pt idx="1">
                  <c:v>20.1</c:v>
                </c:pt>
                <c:pt idx="2">
                  <c:v>17.2</c:v>
                </c:pt>
                <c:pt idx="3">
                  <c:v>17.2</c:v>
                </c:pt>
                <c:pt idx="4">
                  <c:v>17.1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15.5</c:v>
                </c:pt>
                <c:pt idx="1">
                  <c:v>15</c:v>
                </c:pt>
                <c:pt idx="2">
                  <c:v>13.4</c:v>
                </c:pt>
                <c:pt idx="3">
                  <c:v>13.1</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3.1</c:v>
                </c:pt>
                <c:pt idx="2">
                  <c:v>1</c:v>
                </c:pt>
                <c:pt idx="4">
                  <c:v>-2.8</c:v>
                </c:pt>
                <c:pt idx="5">
                  <c:v>3.4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5.2</c:v>
                </c:pt>
                <c:pt idx="4">
                  <c:v>2.9</c:v>
                </c:pt>
                <c:pt idx="5">
                  <c:v>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68</c:v>
                </c:pt>
                <c:pt idx="4">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3195</c:v>
                </c:pt>
                <c:pt idx="1">
                  <c:v>2453</c:v>
                </c:pt>
                <c:pt idx="2">
                  <c:v>1761</c:v>
                </c:pt>
                <c:pt idx="3">
                  <c:v>2402</c:v>
                </c:pt>
                <c:pt idx="4">
                  <c:v>1974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3057</c:v>
                </c:pt>
                <c:pt idx="1">
                  <c:v>3326</c:v>
                </c:pt>
                <c:pt idx="2">
                  <c:v>2822</c:v>
                </c:pt>
                <c:pt idx="3">
                  <c:v>2777</c:v>
                </c:pt>
                <c:pt idx="4">
                  <c:v>2608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10.7</c:v>
                </c:pt>
                <c:pt idx="2">
                  <c:v>8.5</c:v>
                </c:pt>
                <c:pt idx="3">
                  <c:v>7.9</c:v>
                </c:pt>
                <c:pt idx="4">
                  <c:v>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7.4</c:v>
                </c:pt>
                <c:pt idx="1">
                  <c:v>7.4</c:v>
                </c:pt>
                <c:pt idx="2">
                  <c:v>7.4</c:v>
                </c:pt>
                <c:pt idx="3">
                  <c:v>7.4</c:v>
                </c:pt>
                <c:pt idx="4">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14.3</c:v>
                </c:pt>
                <c:pt idx="1">
                  <c:v>14</c:v>
                </c:pt>
                <c:pt idx="2">
                  <c:v>10.7</c:v>
                </c:pt>
                <c:pt idx="3">
                  <c:v>9.8</c:v>
                </c:pt>
                <c:pt idx="4">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1.5</c:v>
                </c:pt>
                <c:pt idx="1">
                  <c:v>1.32</c:v>
                </c:pt>
                <c:pt idx="2">
                  <c:v>1.45</c:v>
                </c:pt>
                <c:pt idx="3">
                  <c:v>1.35</c:v>
                </c:pt>
                <c:pt idx="4">
                  <c:v>1.56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c:v>
                </c:pt>
                <c:pt idx="1">
                  <c:v>854</c:v>
                </c:pt>
                <c:pt idx="2">
                  <c:v>12</c:v>
                </c:pt>
                <c:pt idx="3">
                  <c:v>774</c:v>
                </c:pt>
                <c:pt idx="4">
                  <c:v>2915</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 Merck KG (familia Merck)</c:v>
                </c:pt>
                <c:pt idx="1">
                  <c:v>Capital flotante (acciones cotizadas)</c:v>
                </c:pt>
              </c:strCache>
            </c:strRef>
          </c:cat>
          <c:val>
            <c:numRef>
              <c:f>Hoja1!$B$2:$B$3</c:f>
              <c:numCache>
                <c:formatCode>0.0"%"</c:formatCode>
                <c:ptCount val="2"/>
                <c:pt idx="0">
                  <c:v>70.3</c:v>
                </c:pt>
                <c:pt idx="1">
                  <c:v>29.7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18.1</c:v>
                </c:pt>
                <c:pt idx="1">
                  <c:v>13.4</c:v>
                </c:pt>
                <c:pt idx="2">
                  <c:v>12.9</c:v>
                </c:pt>
                <c:pt idx="3">
                  <c:v>11.9</c:v>
                </c:pt>
                <c:pt idx="4">
                  <c:v>10.6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12.4</c:v>
                </c:pt>
                <c:pt idx="1">
                  <c:v>12.4</c:v>
                </c:pt>
                <c:pt idx="2">
                  <c:v>12.4</c:v>
                </c:pt>
                <c:pt idx="3">
                  <c:v>12.4</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Merck KGaA</c:v>
                </c:pt>
                <c:pt idx="1">
                  <c:v>Thermo Fisher</c:v>
                </c:pt>
                <c:pt idx="2">
                  <c:v>Danaher</c:v>
                </c:pt>
                <c:pt idx="3">
                  <c:v>Agilent</c:v>
                </c:pt>
                <c:pt idx="4">
                  <c:v>Qiagen</c:v>
                </c:pt>
                <c:pt idx="5">
                  <c:v>Novartis</c:v>
                </c:pt>
                <c:pt idx="6">
                  <c:v>AstraZeneca</c:v>
                </c:pt>
                <c:pt idx="7">
                  <c:v>Sanofi</c:v>
                </c:pt>
                <c:pt idx="8">
                  <c:v>GSK</c:v>
                </c:pt>
              </c:strCache>
            </c:strRef>
          </c:cat>
          <c:val>
            <c:numRef>
              <c:f>Hoja1!$B$2:$B$10</c:f>
              <c:numCache>
                <c:formatCode>0.0"x"</c:formatCode>
                <c:ptCount val="9"/>
                <c:pt idx="0">
                  <c:v>11.7</c:v>
                </c:pt>
                <c:pt idx="4">
                  <c:v>12.2</c:v>
                </c:pt>
                <c:pt idx="5">
                  <c:v>12.5</c:v>
                </c:pt>
                <c:pt idx="6">
                  <c:v>11.4</c:v>
                </c:pt>
                <c:pt idx="7">
                  <c:v>6.6</c:v>
                </c:pt>
                <c:pt idx="8">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Merck KGaA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2.6</c:v>
                </c:pt>
              </c:numCache>
            </c:numRef>
          </c:xVal>
          <c:yVal>
            <c:numRef>
              <c:f>Hoja1!$C$2</c:f>
              <c:numCache>
                <c:formatCode>0.0"x"</c:formatCode>
                <c:ptCount val="1"/>
                <c:pt idx="0">
                  <c:v>11.7</c:v>
                </c:pt>
              </c:numCache>
            </c:numRef>
          </c:yVal>
          <c:smooth val="0"/>
        </c:ser>
        <c:ser>
          <c:idx val="1"/>
          <c:order val="1"/>
          <c:tx>
            <c:strRef>
              <c:f>Hoja1!$A$3</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12.2</c:v>
                </c:pt>
              </c:numCache>
            </c:numRef>
          </c:yVal>
          <c:smooth val="0"/>
        </c:ser>
        <c:ser>
          <c:idx val="2"/>
          <c:order val="2"/>
          <c:tx>
            <c:strRef>
              <c:f>Hoja1!$A$4</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12.5</c:v>
                </c:pt>
              </c:numCache>
            </c:numRef>
          </c:yVal>
          <c:smooth val="0"/>
        </c:ser>
        <c:ser>
          <c:idx val="3"/>
          <c:order val="3"/>
          <c:tx>
            <c:strRef>
              <c:f>Hoja1!$A$5</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7.8</c:v>
                </c:pt>
              </c:numCache>
            </c:numRef>
          </c:xVal>
          <c:yVal>
            <c:numRef>
              <c:f>Hoja1!$C$5</c:f>
              <c:numCache>
                <c:formatCode>0.0"x"</c:formatCode>
                <c:ptCount val="1"/>
                <c:pt idx="0">
                  <c:v>11.4</c:v>
                </c:pt>
              </c:numCache>
            </c:numRef>
          </c:yVal>
          <c:smooth val="0"/>
        </c:ser>
        <c:ser>
          <c:idx val="4"/>
          <c:order val="4"/>
          <c:tx>
            <c:strRef>
              <c:f>Hoja1!$A$6</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0.2</c:v>
                </c:pt>
              </c:numCache>
            </c:numRef>
          </c:xVal>
          <c:yVal>
            <c:numRef>
              <c:f>Hoja1!$C$6</c:f>
              <c:numCache>
                <c:formatCode>0.0"x"</c:formatCode>
                <c:ptCount val="1"/>
                <c:pt idx="0">
                  <c:v>6.6</c:v>
                </c:pt>
              </c:numCache>
            </c:numRef>
          </c:yVal>
          <c:smooth val="0"/>
        </c:ser>
        <c:ser>
          <c:idx val="5"/>
          <c:order val="5"/>
          <c:tx>
            <c:strRef>
              <c:f>Hoja1!$A$7</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5.4</c:v>
                </c:pt>
              </c:numCache>
            </c:numRef>
          </c:xVal>
          <c:yVal>
            <c:numRef>
              <c:f>Hoja1!$C$7</c:f>
              <c:numCache>
                <c:formatCode>0.0"x"</c:formatCode>
                <c:ptCount val="1"/>
                <c:pt idx="0">
                  <c:v>6.9</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Bio-Techne</c:v>
                </c:pt>
                <c:pt idx="1">
                  <c:v>SpringWorks Therapeutics</c:v>
                </c:pt>
              </c:strCache>
            </c:strRef>
          </c:cat>
          <c:val>
            <c:numRef>
              <c:f>Hoja1!$B$2:$B$3</c:f>
              <c:numCache>
                <c:formatCode>0.0"x"</c:formatCode>
                <c:ptCount val="2"/>
                <c:pt idx="0">
                  <c:v>26.5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2804</c:v>
                </c:pt>
                <c:pt idx="1">
                  <c:v>2845</c:v>
                </c:pt>
                <c:pt idx="2">
                  <c:v>3054</c:v>
                </c:pt>
                <c:pt idx="3">
                  <c:v>3309</c:v>
                </c:pt>
                <c:pt idx="4">
                  <c:v>3577</c:v>
                </c:pt>
                <c:pt idx="5">
                  <c:v>3784</c:v>
                </c:pt>
                <c:pt idx="6">
                  <c:v>4019</c:v>
                </c:pt>
                <c:pt idx="7">
                  <c:v>4199</c:v>
                </c:pt>
                <c:pt idx="8">
                  <c:v>4405</c:v>
                </c:pt>
                <c:pt idx="9">
                  <c:v>4550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24420</c:v>
                </c:pt>
                <c:pt idx="1">
                  <c:v>44573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137,20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99.7</c:v>
                </c:pt>
                <c:pt idx="1">
                  <c:v>133.9</c:v>
                </c:pt>
                <c:pt idx="2">
                  <c:v>151.37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137,20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Precio objetivo de los analistas (130,00 – 167,00)</c:v>
                </c:pt>
                <c:pt idx="1">
                  <c:v>Comparables: EV/EBITDA NTM (70,82 – 144,25)</c:v>
                </c:pt>
                <c:pt idx="2">
                  <c:v>Comparables: PER NTM (123,12 – 170,38)</c:v>
                </c:pt>
                <c:pt idx="3">
                  <c:v>DCF (WACC y g ± 0,5) (112,67 – 164,60)</c:v>
                </c:pt>
                <c:pt idx="4">
                  <c:v>Escenarios (bajista – alcista) (99,70 – 151,37)</c:v>
                </c:pt>
                <c:pt idx="5">
                  <c:v>DCF con la prima implícita del mercado (4,2 %)</c:v>
                </c:pt>
                <c:pt idx="6">
                  <c:v>Precio actual (137,20)</c:v>
                </c:pt>
              </c:strCache>
            </c:strRef>
          </c:cat>
          <c:val>
            <c:numRef>
              <c:f>Hoja1!$B$2:$B$8</c:f>
              <c:numCache>
                <c:formatCode>#,##0</c:formatCode>
                <c:ptCount val="7"/>
                <c:pt idx="0">
                  <c:v>130</c:v>
                </c:pt>
                <c:pt idx="1">
                  <c:v>70.82</c:v>
                </c:pt>
                <c:pt idx="2">
                  <c:v>123.12</c:v>
                </c:pt>
                <c:pt idx="3">
                  <c:v>112.67</c:v>
                </c:pt>
                <c:pt idx="4">
                  <c:v>99.7</c:v>
                </c:pt>
                <c:pt idx="5">
                  <c:v>148.33</c:v>
                </c:pt>
                <c:pt idx="6">
                  <c:v>136.51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Precio objetivo de los analistas (130,00 – 167,00)</c:v>
                </c:pt>
                <c:pt idx="1">
                  <c:v>Comparables: EV/EBITDA NTM (70,82 – 144,25)</c:v>
                </c:pt>
                <c:pt idx="2">
                  <c:v>Comparables: PER NTM (123,12 – 170,38)</c:v>
                </c:pt>
                <c:pt idx="3">
                  <c:v>DCF (WACC y g ± 0,5) (112,67 – 164,60)</c:v>
                </c:pt>
                <c:pt idx="4">
                  <c:v>Escenarios (bajista – alcista) (99,70 – 151,37)</c:v>
                </c:pt>
                <c:pt idx="5">
                  <c:v>DCF con la prima implícita del mercado (4,2 %)</c:v>
                </c:pt>
                <c:pt idx="6">
                  <c:v>Precio actual (137,20)</c:v>
                </c:pt>
              </c:strCache>
            </c:strRef>
          </c:cat>
          <c:val>
            <c:numRef>
              <c:f>Hoja1!$C$2:$C$8</c:f>
              <c:numCache>
                <c:formatCode>#,##0</c:formatCode>
                <c:ptCount val="7"/>
                <c:pt idx="0">
                  <c:v>37</c:v>
                </c:pt>
                <c:pt idx="1">
                  <c:v>73.43</c:v>
                </c:pt>
                <c:pt idx="2">
                  <c:v>47.25999999999999</c:v>
                </c:pt>
                <c:pt idx="3">
                  <c:v>51.92999999999999</c:v>
                </c:pt>
                <c:pt idx="4">
                  <c:v>51.67</c:v>
                </c:pt>
                <c:pt idx="5">
                  <c:v>44.94</c:v>
                </c:pt>
                <c:pt idx="6">
                  <c:v>1.3799999999999955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