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Moody's Corporation</w:t>
      </w:r>
    </w:p>
    <w:p>
      <w:pPr>
        <w:spacing w:after="60"/>
        <w:rPr>
          <w:color w:val="52514E"/>
          <w:sz w:val="22"/>
          <w:szCs w:val="22"/>
        </w:rPr>
      </w:pPr>
      <w:r>
        <w:rPr>
          <w:color w:val="52514E"/>
          <w:sz w:val="22"/>
          <w:szCs w:val="22"/>
        </w:rPr>
        <w:t xml:space="preserve">MCO · NYSE · ISIN US6153691059 · Financieras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464,23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524,93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+13,9 % (base +9,9 %)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357,41 USD · mercado 391,88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80.405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MCO / US6153691059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Financieras / Mercados de capitales (datos y calificaciones)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1909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ir.moodys.com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464,23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402,28 – 546,88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173,2</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80.405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85.855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524,93 USD</w:t>
      </w:r>
      <w:r>
        <w:t xml:space="preserve"> frente a 464,23 · Rentabilidad a 12 meses </w:t>
      </w:r>
      <w:r>
        <w:rPr>
          <w:b/>
          <w:bCs/>
        </w:rPr>
        <w:t xml:space="preserve">+13,9 % (base +9,9 %)</w:t>
      </w:r>
      <w:r>
        <w:t xml:space="preserve"> · Valor intrínseco 357,41 USD · con la prima implícita del mercado: 391,88 (-15,6 %) · Alcista / bajista -13,1 % / -44,9 %</w:t>
      </w:r>
    </w:p>
    <w:p>
      <w:pPr>
        <w:spacing w:after="100"/>
      </w:pPr>
      <w:r>
        <w:rPr>
          <w:b/>
        </w:rPr>
        <w:t xml:space="preserve">La recomendación y por qué.</w:t>
      </w:r>
      <w:r>
        <w:t xml:space="preserve"> Mantener, con convicción media. El objetivo a 12 meses es de 524,93 USD (ponderado) frente a 464,23 USD de cotización: rentabilidad del 13,9 % ponderada y del 9,9 % en el caso base, con dividendo, por debajo de los umbrales de compra (15 % y 12 %). El valor intrínseco, 357,41 USD, queda un 23,0 % por debajo del precio, y el objetivo medio de los analistas (553 USD) está un 8,5 % por encima de nuestro base [47]. La asimetría a 12 meses es buena (3,11 veces: +51,3 % en el alcista, −15,4 % en el bajista), pero sin margen de seguridad sobre el valor. La convicción es media porque las dos reglas coinciden y la ponderada está a un punto del umbral; subiría con un 3T (21-oct) que eleve la guía de BPA por encima de 17 USD y bajaría con transaccionales de MIS en negativo.</w:t>
      </w:r>
    </w:p>
    <w:p>
      <w:pPr>
        <w:spacing w:after="100"/>
      </w:pPr>
      <w:r>
        <w:rPr>
          <w:b/>
        </w:rPr>
        <w:t xml:space="preserve">El negocio.</w:t>
      </w:r>
      <w:r>
        <w:t xml:space="preserve"> Moody's es la segunda agencia de calificación del mundo (31,4 % de las calificaciones vigentes) en un duopolio con S&amp;P, más un negocio de datos y software de riesgo (MA) con ARR creciendo un 8 % [1, 3]. El margen ajustado de MIS llegó al 68,3 % en el 2T26 y el del grupo al 51,1 % en 2025 [1, 2]. El ROIC, medido sobre capital operativo más fondo de comercio e intangibles (las recompras dejan un patrimonio de solo 4.050 M y un ROE engañoso), es del 30,5 %, 19,5 puntos sobre el WACC. La calidad sí sostiene el crecimiento proyectado (6,0 % medio): sale de precio y volumen sin capital nuevo y no exige ganar cuota.</w:t>
      </w:r>
    </w:p>
    <w:p>
      <w:pPr>
        <w:spacing w:after="100"/>
      </w:pPr>
      <w:r>
        <w:rPr>
          <w:b/>
        </w:rPr>
        <w:t xml:space="preserve">Sector y ciclo.</w:t>
      </w:r>
      <w:r>
        <w:t xml:space="preserve"> La emisión está en la parte alta del ciclo: más de 2 billones USD calificados por trimestre en 2026, transaccionales de MIS +34 % en el 2T, empujados por la deuda de centros de datos de IA, la refinanciación y el crédito privado [2, 13]. En 2022 la caída de la emisión restó un 12 % a los ingresos [7].</w:t>
      </w:r>
    </w:p>
    <w:p>
      <w:pPr>
        <w:spacing w:after="100"/>
      </w:pPr>
      <w:r>
        <w:rPr>
          <w:b/>
        </w:rPr>
        <w:t xml:space="preserve">Finanzas.</w:t>
      </w:r>
      <w:r>
        <w:t xml:space="preserve"> Ingresos de 7.718 M en 2025 (+9 %) y +11,5 % en el primer semestre de 2026; BPA ajustado de 14,94 USD (+20 %) y guía de 16,50-17,00 en 2026 [1, 2]. Flujo libre de 2.575 M (105 % del beneficio), deuda neta de 5.450 M (1,3 veces el EBITDA) y recompras de hasta 3.000 M en 2026 [1, 2].</w:t>
      </w:r>
    </w:p>
    <w:p>
      <w:pPr>
        <w:spacing w:after="100"/>
      </w:pPr>
      <w:r>
        <w:rPr>
          <w:b/>
        </w:rPr>
        <w:t xml:space="preserve">Equipo y gobierno.</w:t>
      </w:r>
      <w:r>
        <w:t xml:space="preserve"> Cumplen la guía (2025 batió el rango alto). Sin accionista de control; Berkshire Hathaway tiene ≈ 14 % [42]. No se pudo leer el proxy (consejo y remuneración): el gobierno queda con confianza baja.</w:t>
      </w:r>
    </w:p>
    <w:p>
      <w:pPr>
        <w:spacing w:after="100"/>
      </w:pPr>
      <w:r>
        <w:rPr>
          <w:b/>
        </w:rPr>
        <w:t xml:space="preserve">Valoración.</w:t>
      </w:r>
      <w:r>
        <w:t xml:space="preserve"> El DCF da 340,51 USD con un WACC del 11,0 % y 394,01 USD con la prima del mercado. El precio descuenta un crecimiento del 10,2 % anual en 2027-2035, frente a nuestro 6,0 %, o una rentabilidad implícita del 8,3 %. Comparables, 392,65 USD; Moody's cotiza a 27,7 veces el BPA de 2026 frente a 23,4 veces S&amp;P Global. A 12 meses, el base es nuestro BPA ajustado de 2028e (20,58 USD) por el PER actual (24,6 veces), en mínimos de su historia (34-40 veces en 2021-2025).</w:t>
      </w:r>
    </w:p>
    <w:p>
      <w:pPr>
        <w:spacing w:after="100"/>
      </w:pPr>
      <w:r>
        <w:rPr>
          <w:b/>
        </w:rPr>
        <w:t xml:space="preserve">Riesgos y catalizadores.</w:t>
      </w:r>
      <w:r>
        <w:t xml:space="preserve"> El mayor riesgo es una caída de la emisión tras el pico (−15 % a 12 meses en el bajista) y la compresión del múltiplo con tipos altos. El segundo, que la IA frene el ARR de MA. Catalizadores: resultados del 3T el 21-oct y guía de 2027 en febrero. Los foros han pasado del miedo a la IA a un tono positivo tras el 2T, sin euforia.</w:t>
      </w:r>
    </w:p>
    <w:p>
      <w:pPr>
        <w:spacing w:after="100"/>
      </w:pPr>
      <w:r>
        <w:rPr>
          <w:b/>
        </w:rPr>
        <w:t xml:space="preserve">Qué cambiaría la decisión.</w:t>
      </w:r>
      <w:r>
        <w:t xml:space="preserve"> Compraríamos por debajo de 357,41 USD; venderíamos por encima de 587,65 USD. Pasaríamos a Comprar si la guía de 2027 apunta a un BPA ajustado por encima de 19 USD con el precio estable, y a Vender si los transaccionales de MIS caen dos trimestres seguidos o el ARR de MA baja del 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524,93 USD</w:t>
      </w:r>
      <w:r>
        <w:t xml:space="preserve"> (rentabilidad +13,9 % (base +9,9 %)) · Valor intrínseco: 357,41 USD (-23,0 % sobre 464,23) · con la prima implícita del mercado: 391,88 (-15,6 %)</w:t>
      </w:r>
    </w:p>
    <w:p>
      <w:pPr>
        <w:spacing w:after="100"/>
      </w:pPr>
      <w:r>
        <w:t xml:space="preserve">Moody's es la mitad de un duopolio que cobra un peaje a casi toda la deuda del mundo: 31,4 % de las calificaciones vigentes, margen ajustado de MIS del 68,3 % y un negocio de datos (MA) que crece un 8 % en ARR con un 33,6 % de margen [1, 2]. Convierte en caja más del 100 % de su beneficio y lo devuelve casi todo [8].</w:t>
      </w:r>
    </w:p>
    <w:p>
      <w:pPr>
        <w:spacing w:after="100"/>
      </w:pPr>
      <w:r>
        <w:t xml:space="preserve">El precio (464,23 USD) descuenta un crecimiento del 10,2 % anual durante nueve años con nuestro WACC del 11,0 %, o una rentabilidad del 8,3 % al año: el mercado paga la calidad con una tasa baja. Cotiza a 27,7 veces el BPA ajustado de 2026, por encima de S&amp;P Global (23,4) y en mínimos de su propia historia [51].</w:t>
      </w:r>
    </w:p>
    <w:p>
      <w:pPr>
        <w:spacing w:after="100"/>
      </w:pPr>
      <w:r>
        <w:t xml:space="preserve">El mercado acierta en la calidad y probablemente en el corto plazo: el beneficio crece a doble dígito y la emisión sigue fuerte. Para invertir hay que creer que el múltiplo actual aguanta un posible bache de la emisión en 2027-2028 y que la IA suma a MA. Con la rentabilidad a 12 meses del 13,9 % y el valor intrínseco por debajo del precio, no es una compra.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524,93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 × 18,61 = 388,95 · 24,6x × 20,58 = 506,27 · 32,0x × 21,82 = 698,24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 / 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553,00 (nuestro base -8,5 %)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 / -44,9 %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11,0 % y 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9,6 %)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391,88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357,41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357,41 y 587,65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587,65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357,41 USD: pasaríamos a Comprar.</w:t>
      </w:r>
    </w:p>
    <w:p>
      <w:pPr>
        <w:pStyle w:val="ListParagraph"/>
        <w:numPr>
          <w:ilvl w:val="0"/>
          <w:numId w:val="2"/>
        </w:numPr>
        <w:spacing w:after="60"/>
      </w:pPr>
      <w:r>
        <w:t xml:space="preserve">Precio por encima de 587,65 USD: pasaríamos a Vender.</w:t>
      </w:r>
    </w:p>
    <w:p>
      <w:pPr>
        <w:pStyle w:val="ListParagraph"/>
        <w:numPr>
          <w:ilvl w:val="0"/>
          <w:numId w:val="2"/>
        </w:numPr>
        <w:spacing w:after="60"/>
      </w:pPr>
      <w:r>
        <w:t xml:space="preserve">Guía de 2027 con BPA ajustado por encima de 19 USD y el precio actual: revisaríamos al alza el base hacia Comprar.</w:t>
      </w:r>
    </w:p>
    <w:p>
      <w:pPr>
        <w:pStyle w:val="ListParagraph"/>
        <w:numPr>
          <w:ilvl w:val="0"/>
          <w:numId w:val="2"/>
        </w:numPr>
        <w:spacing w:after="60"/>
      </w:pPr>
      <w:r>
        <w:t xml:space="preserve">Transaccionales de MIS en negativo dos trimestres seguidos o ARR de MA por debajo del 6 %: rebajaríamos el base.</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10,2 % anual en 2027-2035 o, lo que es lo mismo, una rentabilidad del 8,3 % al año: que el duopolio dura y que la emisión sigue fuerte. Los analistas esperan 553 USD a 12 meses.</w:t>
      </w:r>
    </w:p>
    <w:p>
      <w:pPr>
        <w:keepNext/>
        <w:spacing w:after="100"/>
      </w:pPr>
      <w:r>
        <w:rPr>
          <w:b/>
          <w:bCs/>
        </w:rPr>
        <w:t xml:space="preserve">Lo que creemos nosotros.</w:t>
      </w:r>
    </w:p>
    <w:p>
      <w:pPr>
        <w:spacing w:after="100"/>
      </w:pPr>
      <w:r>
        <w:t xml:space="preserve">Crecimiento del 6,0 % medio con margen del 53 %: el beneficio crece a doble dígito dos años, pero la emisión de 2026 tiene parte de pico. A 12 meses el precio puede subir con el beneficio (+9,9 % en el base); a largo plazo no ofrece margen de seguridad.</w:t>
      </w:r>
    </w:p>
    <w:p>
      <w:pPr>
        <w:keepNext/>
        <w:spacing w:after="100"/>
      </w:pPr>
      <w:r>
        <w:rPr>
          <w:b/>
          <w:bCs/>
        </w:rPr>
        <w:t xml:space="preserve">Por qué podemos tener razón.</w:t>
      </w:r>
    </w:p>
    <w:p>
      <w:pPr>
        <w:spacing w:after="100"/>
      </w:pPr>
      <w:r>
        <w:t xml:space="preserve">La diferencia con el mercado es de tasa de descuento, no de cifras: nuestra proyección de BPA está en línea con el consenso de 2026. Con la prima implícita del mercado el valor intrínseco sigue por debajo del precio (394,01 USD).</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Duopolio con margen del 68 %</w:t>
      </w:r>
      <w:r>
        <w:t xml:space="preserve">: MIS ganó un 68,3 % de margen ajustado en el 2T26 [2].</w:t>
      </w:r>
    </w:p>
    <w:p>
      <w:pPr>
        <w:pStyle w:val="ListParagraph"/>
        <w:numPr>
          <w:ilvl w:val="0"/>
          <w:numId w:val="2"/>
        </w:numPr>
        <w:spacing w:after="60"/>
      </w:pPr>
      <w:r>
        <w:rPr>
          <w:b/>
        </w:rPr>
        <w:t xml:space="preserve">ROIC del 30,5 %</w:t>
      </w:r>
      <w:r>
        <w:t xml:space="preserve">, 19,5 puntos sobre el WACC, sin necesidad de capital.</w:t>
      </w:r>
    </w:p>
    <w:p>
      <w:pPr>
        <w:pStyle w:val="ListParagraph"/>
        <w:numPr>
          <w:ilvl w:val="0"/>
          <w:numId w:val="2"/>
        </w:numPr>
        <w:spacing w:after="60"/>
      </w:pPr>
      <w:r>
        <w:rPr>
          <w:b/>
        </w:rPr>
        <w:t xml:space="preserve">Beneficio a doble dígito</w:t>
      </w:r>
      <w:r>
        <w:t xml:space="preserve">: BPA ajustado +22 % en el primer semestre de 2026 y guía de 16,50-17,00 USD [2].</w:t>
      </w:r>
    </w:p>
    <w:p>
      <w:pPr>
        <w:pStyle w:val="ListParagraph"/>
        <w:numPr>
          <w:ilvl w:val="0"/>
          <w:numId w:val="2"/>
        </w:numPr>
        <w:spacing w:after="60"/>
      </w:pPr>
      <w:r>
        <w:rPr>
          <w:b/>
        </w:rPr>
        <w:t xml:space="preserve">PER en mínimos de su historia</w:t>
      </w:r>
      <w:r>
        <w:t xml:space="preserve">: 24,6 veces nuestro BPA de 2027e frente a 34-40 en 2021-2025.</w:t>
      </w:r>
    </w:p>
    <w:p>
      <w:pPr>
        <w:pStyle w:val="ListParagraph"/>
        <w:numPr>
          <w:ilvl w:val="0"/>
          <w:numId w:val="2"/>
        </w:numPr>
        <w:spacing w:after="60"/>
      </w:pPr>
      <w:r>
        <w:rPr>
          <w:b/>
        </w:rPr>
        <w:t xml:space="preserve">Devuelve casi todo el flujo libre</w:t>
      </w:r>
      <w:r>
        <w:t xml:space="preserve">: hasta 3.000 M de recompras en 2026 [2].</w:t>
      </w:r>
    </w:p>
    <w:p>
      <w:pPr>
        <w:pStyle w:val="Heading2"/>
      </w:pPr>
      <w:r>
        <w:t xml:space="preserve">En contra</w:t>
      </w:r>
    </w:p>
    <w:p>
      <w:pPr>
        <w:pStyle w:val="ListParagraph"/>
        <w:numPr>
          <w:ilvl w:val="0"/>
          <w:numId w:val="2"/>
        </w:numPr>
        <w:spacing w:after="60"/>
      </w:pPr>
      <w:r>
        <w:rPr>
          <w:b/>
        </w:rPr>
        <w:t xml:space="preserve">Valor intrínseco por debajo del precio</w:t>
      </w:r>
      <w:r>
        <w:t xml:space="preserve">: 357,41 USD (−23,0 %).</w:t>
      </w:r>
    </w:p>
    <w:p>
      <w:pPr>
        <w:pStyle w:val="ListParagraph"/>
        <w:numPr>
          <w:ilvl w:val="0"/>
          <w:numId w:val="2"/>
        </w:numPr>
        <w:spacing w:after="60"/>
      </w:pPr>
      <w:r>
        <w:rPr>
          <w:b/>
        </w:rPr>
        <w:t xml:space="preserve">Emisión en máximos</w:t>
      </w:r>
      <w:r>
        <w:t xml:space="preserve">: transaccionales de MIS +34 % en el 2T26 tras un 2024 récord [2].</w:t>
      </w:r>
    </w:p>
    <w:p>
      <w:pPr>
        <w:pStyle w:val="ListParagraph"/>
        <w:numPr>
          <w:ilvl w:val="0"/>
          <w:numId w:val="2"/>
        </w:numPr>
        <w:spacing w:after="60"/>
      </w:pPr>
      <w:r>
        <w:rPr>
          <w:b/>
        </w:rPr>
        <w:t xml:space="preserve">El precio pide un 10,2 % de crecimiento anual</w:t>
      </w:r>
      <w:r>
        <w:t xml:space="preserve"> durante nueve años frente a nuestro 6,0 %.</w:t>
      </w:r>
    </w:p>
    <w:p>
      <w:pPr>
        <w:pStyle w:val="ListParagraph"/>
        <w:numPr>
          <w:ilvl w:val="0"/>
          <w:numId w:val="2"/>
        </w:numPr>
        <w:spacing w:after="60"/>
      </w:pPr>
      <w:r>
        <w:rPr>
          <w:b/>
        </w:rPr>
        <w:t xml:space="preserve">Prima sobre S&amp;P Global</w:t>
      </w:r>
      <w:r>
        <w:t xml:space="preserve">: 27,7 veces el BPA de 2026 frente a 23,4.</w:t>
      </w:r>
    </w:p>
    <w:p>
      <w:pPr>
        <w:pStyle w:val="ListParagraph"/>
        <w:numPr>
          <w:ilvl w:val="0"/>
          <w:numId w:val="2"/>
        </w:numPr>
        <w:spacing w:after="60"/>
      </w:pPr>
      <w:r>
        <w:rPr>
          <w:b/>
        </w:rPr>
        <w:t xml:space="preserve">La IA amenaza a MA</w:t>
      </w:r>
      <w:r>
        <w:t xml:space="preserve"> (47 % de los ingresos), aunque aún no se ve en el ARR (+8 %) [3].</w:t>
      </w:r>
    </w:p>
    <w:p>
      <w:pPr>
        <w:pStyle w:val="Heading2"/>
      </w:pPr>
      <w:r>
        <w:t xml:space="preserve">Qué tiene que pasar para que la tesis funcione</w:t>
      </w:r>
    </w:p>
    <w:p>
      <w:pPr>
        <w:spacing w:after="100"/>
      </w:pPr>
      <w:r>
        <w:t xml:space="preserve">La tesis depende de que la emisión no caiga tras el pico de 2026 y de que el ARR de MA siga por encima del 7 %. La señal de que no se cumple: ingresos transaccionales de MIS por debajo del año anterior dos trimestres seguidos, o una guía de 2027 con emisión a la baja.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transaccionales de MIS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 M en el 2T26 (+34 %)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ciclo de emisión.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efecto de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de BPA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16,50-17,00 USD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objetivo a 12 meses.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Comprime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 / 27,7x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John Moody publicó en 1909 las primeras calificaciones de bonos de ferrocarriles. Dun &amp; Bradstreet compró la empresa en 1962 y la escindió en 2000 como Moody's Corporation, cotizada en Nueva York. Berkshire Hathaway es el mayor accionista desde los años noventa. Tras la crisis de 2008 las agencias pasaron por demandas y nueva regulación (Dodd-Frank). Desde 2007 la empresa ha construido Moody's Analytics con compras: Bureau van Dijk (2017, ≈ 3.300 M EUR) y RMS (2021, ≈ 2.000 M USD). Rob Fauber es consejero delegado desde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Moody publica calificaciones de bonos ferroviarios.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 compra Moody's.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Dun &amp; Bradstreet y salida a bolsa como Moody's Corporation.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crea Moody's Analytics como división separada de la agencia.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Bureau van Dijk (datos de empresas, Orbis).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RMS (modelos de catástrofes para seguros); Rob Fauber,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tipos hunde la emisión: ingresos −12 %.</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Emisión calificada récord (más de 2 billones USD por trimestre) y recompras de hasta 3.000 M.</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Moody's Corporation tiene dos negocios. </w:t>
      </w:r>
      <w:r>
        <w:rPr>
          <w:b/>
        </w:rPr>
        <w:t xml:space="preserve">MIS</w:t>
      </w:r>
      <w:r>
        <w:t xml:space="preserve"> califica el crédito de empresas, bancos, aseguradoras, Estados, municipios y titulizaciones: cobra al emisor una tarifa al calificar cada emisión (ingresos transaccionales, 891 M en el 2T26) y una tarifa anual de seguimiento (recurrentes, 369 M) [2]. </w:t>
      </w:r>
      <w:r>
        <w:rPr>
          <w:b/>
        </w:rPr>
        <w:t xml:space="preserve">MA</w:t>
      </w:r>
      <w:r>
        <w:t xml:space="preserve"> vende datos, investigación de crédito, modelos y software de riesgo a bancos (préstamo, capital, IFRS 9), aseguradoras (catástrofes, con RMS) y empresas (KYC y datos de entidades con Orbis de Bureau van Dijk), casi todo por suscripción (ARR 3.607 M en el 1T26) [2]. Los clientes son emisores e intermediarios de los mercados de capitales de todo el mundo y unas 15.000 entidades financieras y corporativas; Estados Unidos es algo más de la mitad de los ingresos.</w:t>
      </w:r>
    </w:p>
    <w:p>
      <w:pPr>
        <w:pStyle w:val="Heading2"/>
      </w:pPr>
      <w:r>
        <w:t xml:space="preserve">Cómo gana dinero</w:t>
      </w:r>
    </w:p>
    <w:p>
      <w:pPr>
        <w:spacing w:after="100"/>
      </w:pPr>
      <w:r>
        <w:t xml:space="preserve">En 2025, MIS ingresó unos 4.100 M y MA 3.618 M [1]. MIS es un negocio de costes casi fijos: cada emisión adicional entra con margen muy alto, de ahí el 68,3 % de margen ajustado del 2T26 con los transaccionales +34 % [2]; cuando la emisión cae, como en 2022, el margen baja con la misma rapidez. MA es más estable (más del 90 % recurrente) y crece al ritmo del ARR (+8 %), con margen del 33,6 % y en subida [2]. El poder de precios es la palanca silenciosa: las tarifas suben cada año por encima de la inflación en las dos divisiones. El crecimiento combina emisión (volumen, cíclica), precio (estructural) y ARR de MA.</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Moody's Analytics (MA)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 Investors Service (MIS)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Moody's Analytics (MA)</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3.618</w:t>
            </w:r>
          </w:p>
        </w:tc>
      </w:tr>
    </w:tbl>
    <w:p>
      <w:pPr>
        <w:spacing w:after="160" w:before="0"/>
      </w:pPr>
    </w:p>
    <w:p>
      <w:pPr>
        <w:pStyle w:val="Heading2"/>
      </w:pPr>
      <w:r>
        <w:t xml:space="preserve">Clientes, recurrencia y poder de precios</w:t>
      </w:r>
    </w:p>
    <w:p>
      <w:pPr>
        <w:spacing w:after="100"/>
      </w:pPr>
      <w:r>
        <w:t xml:space="preserve">Sin concentración: ningún cliente llega al 10 % de los ingresos. En MIS el cliente es el emisor, que necesita la calificación para colocar su deuda; la tarifa es un porcentaje pequeño del coste de la emisión, lo que da poder de precios. En MA la retención es alta y el ARR crece un 8 % con subidas de precio y ventas cruzadas [2]. No se pudo leer en el 10-K la tasa de retención ni el desglose por cliente.</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MIS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 M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 M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891 M (+34 %); recurrentes 369 M (+6 %) [2,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MIS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Apalancamiento operativo con la emisión récord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ARR de 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 M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 M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KYC +13 %, banca +10 %, seguros +9 %, investigación +6 % (2T26) [3,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ajustado de MA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 (2T25)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 → 32,5 % en el 1T [2,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2026: 50-53 % [1].</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de Moody's es doble y mundial: </w:t>
      </w:r>
      <w:r>
        <w:rPr>
          <w:b/>
        </w:rPr>
        <w:t xml:space="preserve">calificaciones de crédito</w:t>
      </w:r>
      <w:r>
        <w:t xml:space="preserve"> (MIS, 53 % de los ingresos de 2025 y la mayor parte del beneficio) y </w:t>
      </w:r>
      <w:r>
        <w:rPr>
          <w:b/>
        </w:rPr>
        <w:t xml:space="preserve">datos, análisis y software de riesgo</w:t>
      </w:r>
      <w:r>
        <w:t xml:space="preserve"> para bancos, aseguradoras y empresas (MA, 47 %) [1]. Para las calificaciones no hay una serie independiente de tamaño: se usan los ingresos de las NRSRO que publica la SEC y la cuota de calificaciones vigentes (informe de S&amp;P Global del 12-oct). Para datos y análisis, la serie de Burton-Taylor de gasto mundial en datos y análisis de mercados financieros, que cubre parte de MA (investigación de crédito, datos de entidades) pero no el software de riesgo ni el KYC. Es el mismo marco que el informe de S&amp;P Global del 12-oct, del que se reutilizan serie, Porter y regulación.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49.200 M USD de gasto mundial en datos y análisis de mercados financieros en 2025, +6,5 % [22]; a lo que se suman unos 7.200 M USD de ingresos de proveedores de índices (+13,4 %) [23] y las comisiones de las agencias de calificación (S&amp;P cobró 4.724 M USD y Moody's unos 4.100 M en 2025) [24, 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Tamaño del mercado (millones de USD (gasto mundial en datos y análisis de mercados financieros, Burton-Taylor; solo un segmento del mercado: excluye comisiones de calificación e índice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y refinanciación de deuda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facturada de Ratings subió de 2,54 billones USD en 2023 a 4,33 billones en 2025; el alto rendimiento +17 % en 2025 por refinanciación con diferenciales estrechos, y el grado de inversión +11 % por emisiones ligadas a la IA [24]. En 2022 los ingresos de Ratings cayeron un 26 % al frenarse la emisión [26]. En el 2T26 los ingresos transaccionales crecieron un 25 %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señala que el crecimiento rápido del crédito privado ha disparado la demanda de calificaciones privadas y examinó en 2025 los planes de negocio de las agencias en ese mercado [25]; S&amp;P cita los mercados privados como iniciativa de 2026 que ya aportó crecimiento en 2025 [24] y compró With Intelligence (datos de mercados privados) por 1.800 M USD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datos de las entidades financieras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gasto mundial en datos y análisis creció un 6,5 % en 2025 hasta 49.200 M USD, empujado por el trading automatizado, la IA y la volatilidad [22]; la serie creció un 7,4 % anual de 2019 a 2025 (estimación propia con [22, 29,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 generativa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Amenaza: competidores no tradicionales y clientes que construyen sus propios datos con IA [24]. Oportunidad: S&amp;P vende datos «listos para LLM» y conexiones MCP a través de Kensho y lanzó CERA Titan, nativo en IA [31]; MI creció un 6 % en suscripciones en el 2T26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Precios y volumen de materias primas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crece por suscripciones a precios Platts y por regalías de las bolsas de materias primas, que dependen del volumen negociado; en 2025 subieron por mayor volumen de contratos referenciados a Platts [24]. Suscripciones de Energy +4 % en el 2T26 [27].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calificaciones, tres agencias tienen el 93,38 % de las calificaciones vigentes y el 92,4 % de los ingresos de las NRSRO en 2024 (91,9 % en 2023) [25, 32]; en índices, los tres primeros reúnen más de dos tercios de los ingresos [23]. La rivalidad es mayor en datos (Bloomberg tenía el 32,7 % del gasto en 2019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atomizada: ningún cliente llega al 10 % de los ingresos [24]. El emisor puede elegir agencia, pero los mandatos de inversión y los índices de renta fija exigen las tres grandes [25]. Las gestoras de ETF presionan las comisiones de los índices más usados, pero las comisiones ligadas a activos crecieron un 22 % en el 2T26 [27].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insumo principal es el personal (44.500 empleados, 26.200 en Asia) y los datos propios [24]; los datos de terceros (bolsas, contribuidores de precios) pesan menos. El margen ajustado de Ratings (65 %) e Indices (70 %) muestra poco poder de los proveedores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SEC describe barreras de entrada persistentes: la aceptación histórica por los inversores y los requisitos de mandatos e índices [25]. Las grandes agencias tenían el 98,8 % de las calificaciones vigentes en 2007 y aún el 93,38 % en 2024 [25]. Los precios Platts y el S&amp;P 500 tienen además licencias de regulador (BMR, IOSCO)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y los datos alternativos abaratan la producción de datos y análisis, y los propios clientes (gestoras, bancos, capital riesgo) añaden capacidades de contenido [24]. Las calificaciones y los índices de referencia son más difíciles de sustituir; los datos de MI (margen 33 %) son los más expuestos [31].</w:t>
            </w:r>
          </w:p>
        </w:tc>
      </w:tr>
    </w:tbl>
    <w:p>
      <w:pPr>
        <w:spacing w:after="160" w:before="0"/>
      </w:pPr>
    </w:p>
    <w:p>
      <w:pPr>
        <w:pStyle w:val="Heading2"/>
      </w:pPr>
      <w:r>
        <w:t xml:space="preserve">Ciclo</w:t>
      </w:r>
    </w:p>
    <w:p>
      <w:pPr>
        <w:spacing w:after="100"/>
      </w:pPr>
      <w:r>
        <w:t xml:space="preserve">La emisión calificada por Moody's superó los 2 billones USD en el 1T26 y otra vez en el 2T26, y los ingresos transaccionales de MIS crecieron un 34 % en el 2T26 [2, 13]. La dirección subió en julio la previsión de emisión de 2026 a un crecimiento de un dígito medio, tras dos años fuertes [13]. En 2022 la subida de tipos hundió la emisión y los ingresos del grupo cayeron un 12 % (MIS mucho más) mientras MA seguía creciendo [1]. Estamos en la parte alta del ciclo de emisión: diferenciales estrechos, refinanciación del muro de vencimientos de 2027-2028 y deuda para centros de datos de IA.</w:t>
      </w:r>
    </w:p>
    <w:p>
      <w:pPr>
        <w:pStyle w:val="Heading2"/>
      </w:pPr>
      <w:r>
        <w:t xml:space="preserve">Regulación</w:t>
      </w:r>
    </w:p>
    <w:p>
      <w:pPr>
        <w:spacing w:after="100"/>
      </w:pPr>
      <w:r>
        <w:t xml:space="preserve">MIS está registrada en la SEC como NRSRO (Credit Rating Agency Reform Act de 2006 y Dodd-Frank), supervisada por ESMA en la UE y por la FCA en el Reino Unido; la normativa limita conflictos de interés y exige transparencia de métodos. La SEC vigila en sus exámenes anuales el crecimiento de las calificaciones privadas de crédito privado. El Reglamento europeo de calificaciones ESG se aplica desde mediados de 2026. Las agencias se benefician de que la regulación de bancos, aseguradoras y fondos, y los mandatos de inversión, citen calificaciones de agencias reconocidas (informe de S&amp;P Global del 12-oct).</w:t>
      </w:r>
    </w:p>
    <w:p>
      <w:pPr>
        <w:pStyle w:val="Heading2"/>
      </w:pPr>
      <w:r>
        <w:t xml:space="preserve">Tendencias y disrupción</w:t>
      </w:r>
    </w:p>
    <w:p>
      <w:pPr>
        <w:spacing w:after="100"/>
      </w:pPr>
      <w:r>
        <w:t xml:space="preserve">Tres tendencias. La </w:t>
      </w:r>
      <w:r>
        <w:rPr>
          <w:b/>
        </w:rPr>
        <w:t xml:space="preserve">IA generativa</w:t>
      </w:r>
      <w:r>
        <w:t xml:space="preserve"> es amenaza para los datos genéricos de MA (clientes y nuevos competidores que construyen sus propias herramientas) y oportunidad para los datos propios y verificables: Moody's vende datos de entidades, investigación y modelos de crédito «listos para IA» [13]. El </w:t>
      </w:r>
      <w:r>
        <w:rPr>
          <w:b/>
        </w:rPr>
        <w:t xml:space="preserve">crédito privado</w:t>
      </w:r>
      <w:r>
        <w:t xml:space="preserve"> crece rápido y pide calificaciones privadas; Moody's lo cita entre los motores de la emisión de 2026 [13, 21]. La </w:t>
      </w:r>
      <w:r>
        <w:rPr>
          <w:b/>
        </w:rPr>
        <w:t xml:space="preserve">financiación de la infraestructura de IA</w:t>
      </w:r>
      <w:r>
        <w:t xml:space="preserve"> (hiperescaladores, centros de datos) ha disparado la emisión de grado de inversión en 2026 [13]. Moody's gana con las tres, con el riesgo de que la de IA sea un pico.</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agencia de calificación del mundo**: 31,39 % de las calificaciones vigentes de las NRSRO a 31-dic-2024, frente al 49,60 % de S&amp;P y el 12,40 % de Fitch (SEC, informe anual de NRSRO, citado en el informe de S&amp;P Global); por ingresos, MIS facturó unos 4.100 M USD en 2025 frente a 4.724 M de S&amp;P Ratings [1]. En datos y software de riesgo (MA) compite con S&amp;P Market Intelligence, LSEG, Bloomberg, FactSet y Verisk, sin cuota de dos cifras.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SPGI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agencia del mundo (49,6 % de las calificaciones vigentes de las NRSRO a 2024) y primera en índices; Ratings facturó 4.724 M USD en 2025. Ingresos y margen de 2025 pro forma tras escindir Mobility (informe de S&amp;P Global, 12-oct).</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MSCI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Principal rival en índices: 1.787 M USD de ingresos de índices en 2025 (+11,9 %) [33]; cuota sobre los 7.200 M del sector, estimación propia [23]. Fuerte en índices de renta variable internacional y ESG; también analítica de carteras. Margen operativo 1.714 / 3.134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 (LSEG)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LSEG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en datos (Data &amp; Analytics, antiguo Refinitiv/Workspace) y tercero en índices (FTSE Russell). Ingresos sin recuperaciones 2025: 8.986 M GBP, convertidos a 1,3447 USD/GBP (cierre del 31-dic-2025, FRED) [35, 36]. Margen con el beneficio operativo reportado (2.127 M GBP); el ajustado fue 3.506 M GBP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 (ICE)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ICE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12.640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 con MI en precios y datos de referencia de renta fija e índices de bonos (ICE Fixed Income &amp; Data Services) y con Platts en precios de energía vía sus bolsas. Ingresos totales incluyen gastos ligados a transacciones; margen 4.929 / 12.640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FactSet Research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directo de Capital IQ en terminales y datos para gestoras y banca de inversión. Ejercicio cerrado en agosto de 2025; margen operativo 748 / 2.322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MORN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Dueña de DBRS Morningstar, cuarta agencia (3,13 % de las calificaciones vigentes [25]; 354,4 M USD de ingresos de Morningstar Credit en 2025, +21,7 % [25]); compite también en datos de fondos, índices y Sustainalytics. Margen 527 / 2.446 M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Fitch Ratings (Hearst)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Tercera agencia (12,40 % de las calificaciones vigentes; sube 7,72 puntos sin bonos públicos, fuerte en titulizaciones y financieras) [25]. Propiedad al 100 % de Hearst desde 2018; no publica cuentas.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Bloomberg L.P.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Líder en datos financieros con el 32,7 % del gasto mundial en 2019 según Burton-Taylor [30], y el mayor en 2023 [29]. Compite con MI (Capital IQ) y con Indices (índices de renta fija Bloomberg). Privada; no publica cuentas.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calificación vale porque la usan todos: mandatos de inversión, índices de renta fija y normas de capital piden calificaciones de agencias reconocidas; un emisor que no tiene la de Moody's paga más diferencial. Tres agencias reúnen el 93 % de las calificaciones vigentes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 vende suscripciones integradas en los procesos de riesgo y KYC de bancos y aseguradoras (ARR 3.607 M, +8 %) [1]; en MIS los ingresos recurrentes de seguimiento (369 M en el 2T26, +6 %) se cobran mientras la deuda viva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 NRSRO y de ESMA/FCA, un siglo de historial de impagos que sirve de base a los modelos, y marca reconocida por todos los inversores; el margen ajustado de MIS (68,3 % en el 2T26) es la prueba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escala reparte los costes fijos de analistas y tecnología: el margen ajustado del grupo subió 300 pb en 2025 a 51,1 %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calificaciones solo admite dos agencias globales completas y una tercera; KBRA y DBRS ganan cuota en nichos (titulizaciones) sin alterar el reparto [3].</w:t>
            </w:r>
          </w:p>
        </w:tc>
      </w:tr>
    </w:tbl>
    <w:p>
      <w:pPr>
        <w:spacing w:after="160" w:before="0"/>
      </w:pPr>
    </w:p>
    <w:p>
      <w:pPr>
        <w:pStyle w:val="Heading2"/>
      </w:pPr>
      <w:r>
        <w:t xml:space="preserve">Amenazas</w:t>
      </w:r>
    </w:p>
    <w:p>
      <w:pPr>
        <w:spacing w:after="100"/>
      </w:pPr>
      <w:r>
        <w:t xml:space="preserve">La amenaza más probable es la IA generativa sobre MA: si los clientes construyen modelos de riesgo y KYC con datos más baratos, el ARR de MA (+8 %) podría frenarse y su margen (33,6 %) dejar de subir; la dirección dice que hoy la IA aumenta la demanda de sus datos [13]. En calificaciones, la amenaza es regulatoria (responsabilidad civil, separación de negocios, topes de tarifas) o de cuota en crédito privado frente a KBRA y otras; la probabilidad de un cambio que rompa el duopolio en cinco años es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5,6 %</w:t>
      </w:r>
      <w:r>
        <w:t xml:space="preserve">, EBITDA </w:t>
      </w:r>
      <w:r>
        <w:rPr>
          <w:b/>
          <w:bCs/>
        </w:rPr>
        <w:t xml:space="preserve">5,4 %</w:t>
      </w:r>
      <w:r>
        <w:t xml:space="preserve">, BPA </w:t>
      </w:r>
      <w:r>
        <w:rPr>
          <w:b/>
          <w:bCs/>
        </w:rPr>
        <w:t xml:space="preserve">3,8 %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Los ingresos pasaron de 6.218 M USD en 2021 a 7.718 M en 2025 [1, 7], con un bache en 2022 (−12 %) cuando la subida de tipos hundió la emisión de deuda y los ingresos de calificación. Desde entonces el crecimiento se ha acelerado: +8 % en 2023, +20 % en 2024 (emisión récord) y +9 % en 2025 [1, 7]. En el primer semestre de 2026 los ingresos crecieron un 11,5 % (2.079 M en el 1T, +8 %; 2.185 M en el 2T, +15 %, +16 % orgánico) [2, 3]. El margen operativo GAAP subió del 34,4 % de 2022 al 43,4 % de 2025 [7], y el ajustado del 48,1 % al 51,1 % en 2025 (+300 pb) [1]; en el 2T26 llegó al 47,9 % GAAP y 55,3 % ajustado [2]. El motor de margen es MIS (Moody's Investors Service: margen ajustado del 63,6 % en 2025 y del 68,3 % en el 2T26) [1, 2], con apalancamiento operativo muy alto: los ingresos transaccionales de MIS crecieron un 34 % en el 2T26 [2]. MA (Moody's Analytics) crece más despacio (+9 % en 2025; +4 % publicado y +8 % orgánico en el 2T26) pero con un 33,6 % de margen y ARR creciendo un 8 % [2, 3]. El crecimiento es casi todo orgánico: las compras de los últimos años son pequeñas, salvo RMS (2021). El ejercicio 2025 lleva un tipo impositivo bajo en el 4T (11,1 %) por la prescripción de contingencias fiscales de una compra antigua [1].</w:t>
      </w:r>
    </w:p>
    <w:p>
      <w:pPr>
        <w:pStyle w:val="Heading2"/>
      </w:pPr>
      <w:r>
        <w:t xml:space="preserve">Ajustes y partidas no recurrentes</w:t>
      </w:r>
    </w:p>
    <w:p>
      <w:pPr>
        <w:spacing w:after="100"/>
      </w:pPr>
      <w:r>
        <w:t xml:space="preserve">Se usan cifras reportadas (US GAAP) en la cuenta. Moody's publica además un BPA ajustado que excluye la amortización de intangibles comprados, las reestructuraciones, los abandonos de activos y las plusvalías de participaciones previas [5]: 14,94 USD en 2025 frente a 13,67 GAAP [1], 12,47 frente a 11,26 en 2024, 9,90 frente a 8,73 en 2023, 8,57 frente a 7,44 en 2022 y 12,29 frente a 11,78 en 2021 (serie ajustada de los comunicados anuales; 8,29 en 2019 [12]). La diferencia (1,1-1,3 USD por acción) es sobre todo la amortización de intangibles comprados, que se repite cada año, más reestructuraciones casi anuales. En el 2T26 el BPA GAAP (5,03 USD) superó al ajustado (4,68) [2]: hay una ganancia no operativa no recurrente en el trimestre (no se pudo leer su detalle en el comunicado), que infla el BPA LTM (15,77 USD) frente al ajustado LTM (16,57 USD, suma de 3,92 + 3,64 + 4,33 + 4,68) [1, 2, 3, 4]. El LTM de EBIT (3.676 M) es estimación propia: 3.351 M de 2025 − 1S25 estimado al 43 % de margen + 1S26 al 44,3 % y 47,9 % de margen GAAP publicados [1, 2,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el 2T26 (22-jul) Rob Fauber habló de un trimestre «sobresaliente»: ingresos +15 %, BPA ajustado +31 % a 4,68 USD frente a 4,25-4,26 esperados [13, 15, 18]. La dirección subió la previsión de emisión calificada a un crecimiento de un dígito medio, estrechó el BPA ajustado de 2026 a 16,50-17,00 USD (antes 16,40-17,00) y subió la recompra a hasta 3.000 M USD (2.000 M en febrero y 2.500 M en abril) [2, 13]. El discurso cambió entre las dos conferencias: en abril el peso estaba en la emisión récord de más de 2 billones USD y el margen ajustado de MA (+250 pb) [3]; en julio, en las «corrientes de fondo» de la financiación (refinanciaciones, inversión en IA y centros de datos, crédito privado, finanzas digitales, transición energética y emergentes) [13]. Fauber dijo que los hiperescaladores ya habían superado la emisión que Moody's preveía para todo 2026 y que, sin centros de datos ni IA, la emisión crecía igualmente a doble dígito [13]. Las preguntas de los analistas se centraron en la IA: la dirección dijo que la demanda inicial viene de investigación, datos de entidades, noticias y modelos de crédito «listos para IA» [13]. Lo que no se aclaró: el ARR total de MA y la previsión de ARR, y la sostenibilidad de una emisión que ya ha crecido mucho dos años seguidos; la guía del BPA quedó con el punto medio (16,75 USD) ligeramente por debajo del consenso (16,78)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Moody's opera con poco capital y deuda estable: la deuda bruta se ha movido entre 7.000 y 7.400 M desde 2021 [9] mientras el beneficio operativo subía de 1.880 M (2022) a 3.351 M (2025) [7], así que el apalancamiento ha bajado a ≈ 1,2 veces el EBITDA. El patrimonio neto es pequeño (4.050 M en 2025, 3.318 M en 2023) [10, 17] porque la empresa devuelve casi todo el flujo libre con recompras y dividendos; el activo es sobre todo fondo de comercio (6.368 M en 2025) e intangibles de compras [9]. En 2026 la caja ha bajado a 1.467 M por la recompra acelerada (≈ 2.200 M hasta julio) [2, 15]. Patrimonio de 2021-2022 estimado por diferencia entre activo y pasivo de Stock Analysis [9]: estimación propia.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Acumulado 2021-2025: FCF </w:t>
      </w:r>
      <w:r>
        <w:rPr>
          <w:b/>
          <w:bCs/>
        </w:rPr>
        <w:t xml:space="preserve">10.440</w:t>
      </w:r>
      <w:r>
        <w:t xml:space="preserve">, conversión </w:t>
      </w:r>
      <w:r>
        <w:rPr>
          <w:b/>
          <w:bCs/>
        </w:rPr>
        <w:t xml:space="preserve">107 %</w:t>
      </w:r>
      <w:r>
        <w:t xml:space="preserve"> del beneficio neto; adquisiciones 0, dividendos 2.863, recompras 5.573.</w:t>
      </w:r>
    </w:p>
    <w:p>
      <w:pPr>
        <w:spacing w:after="100"/>
      </w:pPr>
      <w:r>
        <w:t xml:space="preserve">La conversión del beneficio en caja es alta y estable: el flujo libre de 2025 fue de 2.575 M (2.901 M operativo − 326 M de capex) [1, 8], un 105 % del beneficio neto; en los últimos 12 meses a junio de 2026, 2.967 M [8]. El capex (4,2 % de las ventas en 2025) es sobre todo software capitalizado y tecnología de MA; con amortizaciones de 480 M (que incluyen ≈ 200 M de intangibles comprados) la inversión neta es casi nula. La caja se devuelve: dividendos (701 M) y recompras (1.706 M) se llevaron el 94 % del flujo libre de 2025 [8], y en 2026 la guía es devolver al menos el 90 % del flujo libre (2.700-2.900 M tras la revisión de julio) con hasta 3.000 M de recompras [1, 2]. 2022 fue el año flojo (1.655 M operativos) por la caída de la emisión. Flujos de 2021-2022 de la serie de Stock Analysis [8]. Compras de cada año: no se pudieron cuadrar con fuente (null).</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El auditor, KPMG, fue ratificado en la junta de abril de 2026 [38]. Las cuentas son sencillas: ingresos por tarifas y suscripciones, pocos activos materiales, sin existencias. Tres puntos a vigilar. Primero, la distancia entre el BPA GAAP y el ajustado (14,94 frente a 13,67 USD en 2025) [1] es sobre todo la amortización de intangibles comprados (Bureau van Dijk, RMS), que se repite cada año: el ajustado no es «beneficio limpio» sino beneficio antes de pagar las compras. Segundo, en el 2T26 el BPA GAAP (5,03) superó al ajustado (4,68) [2] por una ganancia no operativa no recurrente que infla el LTM. Tercero, el tipo impositivo de 2025 bajó en el 4T por la prescripción de contingencias fiscales [1]. Los indicadores: Altman Z de 5,29 (zona segura) y Piotroski F de 7 sobre 9; el Beneish M no se calcula sin clientes ni gastos generales. Con patrimonio pequeño por las recompras, el ROE (64,6 %) no dice nada; el ROIC sí.</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Ganancia no operativa en el 2T26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GAAP 5,03 frente a 4,68 ajustado [2]; infla el BPA LTM (15,77 USD). Se usa el BPA ajustado en la rentabilidad a 12 meses.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Amortización de intangibles comprados excluida del BPA ajustado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1,1-1,3 USD por acción al año [1]; es recurrente mientras haya compras.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impositivo bajo en el 4T25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11,1 % por prescripción de contingencias fiscales [1]; no se repite.</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11,0 %.</w:t>
      </w:r>
    </w:p>
    <w:p>
      <w:pPr>
        <w:spacing w:after="100"/>
      </w:pPr>
      <w:r>
        <w:t xml:space="preserve">Moody's crea valor con holgura: ROIC del 30,5 % en 2025 frente a un WACC del 11,0 %, 19,5 puntos más, y por encima del 17,9 % de 2022 [7]. El ROIC se mide sobre el capital operativo más fondo de comercio e intangibles (patrimonio + deuda neta = 8.623 M), no sobre el patrimonio: las recompras han dejado un patrimonio de 4.050 M y un ROE del 64,6 % sin sentido económico, pero el capital invertido se ha movido poco (8.230-8.623 M) porque las recompras se han hecho con caja generada y no con deuda nueva. Sin el fondo de comercio y los intangibles (≈ 8.000 M), el capital operativo es casi nulo o negativo (ingresos cobrados por adelantado): el ROIC tangible no tiene sentido. El ROIC sube por margen (35,6 % de margen neto en 2021, 31,9 % en 2025 con más amortización) y rotación (0,42 a 0,49). El ROIC incremental no se calcula: el capital apenas cambia. S&amp;P Global tiene un ROIC mucho menor por el fondo de comercio de IHS Markit.</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5.450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1.467 M USD y 29 M de inversiones a corto plazo a 30-jun-2026 (2.384 M a cierre de 2025) [2, 9]; flujo libre de 1.530 M en el primer semestre [2]. La línea de crédito comprometida no se pudo leer en el 10-Q.</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Covenants, pasivos fuera de la deuda y contingencias</w:t>
      </w:r>
    </w:p>
    <w:p>
      <w:pPr>
        <w:spacing w:after="100"/>
      </w:pPr>
      <w:r>
        <w:t xml:space="preserve">Deuda a 30-jun-2026: 571 M a corto plazo (designada como cobertura de inversión neta en euros) y 6.375 M a largo, 6.946 M en total sin arrendamientos [6, 9]. Los arrendamientos son operativos en US GAAP (oficinas): su gasto ya está en el EBITDA y no se suman a la deuda. Pasivos que no son deuda pero cuentan: ingresos diferidos de las suscripciones de MA y de las tarifas anuales de seguimiento de MIS (cobrados por adelantado), que hacen que el circulante sea negativo y financian el crecimiento; contingencias fiscales de compras antiguas (una parte prescribió en el 4T25 y bajó el tipo al 11,1 %) [1]; litigios propios de una agencia de calificación. No se pudieron leer las notas de pensiones ni de garantías.</w:t>
      </w:r>
    </w:p>
    <w:p>
      <w:pPr>
        <w:pStyle w:val="Heading1"/>
      </w:pPr>
      <w:r>
        <w:t xml:space="preserve">12. Asignación de capital</w:t>
      </w:r>
    </w:p>
    <w:p>
      <w:pPr>
        <w:pStyle w:val="Confianza"/>
        <w:spacing w:after="100"/>
      </w:pPr>
      <w:r>
        <w:t xml:space="preserve">Confianza: Media</w:t>
      </w:r>
    </w:p>
    <w:p>
      <w:pPr>
        <w:spacing w:after="100"/>
      </w:pPr>
      <w:r>
        <w:t xml:space="preserve">Moody's devuelve al menos el 90 % del flujo libre: en 2026, dividendo trimestral +10 % (1,03 USD) y recompras de hasta 3.000 M USD (2.000 M en febrero, 2.500 M en abril, 3.000 M en julio), de las que ≈ 2.200 M se habían hecho al cierre del 2T [1, 2, 15]. La deuda bruta se mantiene en ≈ 7.000 M desde 2021 [9]; el apalancamiento baja porque crece el EBITDA. Las compras son pequeñas desde RMS (2021).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RMS (modelos de catástrofes para seguros)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MA (seguros, ARR +9 % en el 2T26) [13]; no se ha podido leer si hubo deterioros.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2017</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Bureau van Dijk (Orbis, datos de empresas)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KYC, que crece al 13 % de ARR [13].</w:t>
            </w:r>
          </w:p>
        </w:tc>
      </w:tr>
    </w:tbl>
    <w:p>
      <w:pPr>
        <w:spacing w:after="160" w:before="0"/>
      </w:pPr>
    </w:p>
    <w:p>
      <w:pPr>
        <w:spacing w:after="100"/>
      </w:pPr>
      <w:r>
        <w:t xml:space="preserve">En 2021-2025 el flujo libre acumulado fue de 10.440 M; se devolvieron 2.863 M en dividendos y 5.573 M en recompras, el 81 % [8]. Las acciones diluidas bajaron de 188,0 M a 180,0 M (−4 %) y a 173,2 M en octubre de 2026 [7, 46]. Es una buena asignación mientras el ROIC (30,5 % en 2025) supere con holgura al WACC (11,0 %), pero las recompras de 2026 se hacen a un PER de casi 30 veces el BPA GAAP, caro frente a su propio valor intrínseco en este informe: recomprar a más de lo que vale destruye valor para el que se queda. Las compras de 2017 y 2021 ampliaron MA a datos y seguros con resultados razonables (MA ya tiene un 33,6 % de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(Rob) Fauber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Moody's desde 2005; antes dirigió MIS y fue director de operaciones. Con él los ingresos pasaron de 6.218 M (2021) a 7.718 M (2025) y el margen ajustado a 51,1 % [1]. Conserva 51.964 acciones directas tras sus ventas programadas de 2026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Noémie Heuland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Firma las conferencias de resultados con Fauber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Christina Kosmowski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delegada de Moody's Analytics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Nombrada en abril de 2026, efectiva en junio [3].</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14,50-14,75 USD (octubre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14,94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16,40-17,00 USD (febrero), 16,50-17,00 (julio); ingresos +un dígito 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9,01 USD ajustados, +22 %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cumple y supera la guía: en 2025 el BPA ajustado (14,94 USD) batió el rango alto que había dado en octubre (14,75) [1, 4], y en 2026 ya ha subido dos veces la recompra y el suelo del BPA [2]. La sucesión parece ordenada: Fauber llegó desde dentro (MIS) y en 2026 se nombró a una nueva consejera delegada para MA [3]. Las ventas de Fauber son pequeñas y programadas (plan 10b5-1) [39, 40].</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Vincent A. Forlenza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Fauber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(President &amp;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P. Sawicki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Gobierno y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Sumit Dhawan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4,44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Berkshire Hathaway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Inversor a largo plazo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24,67 M de acciones según sus 13F hasta 2025, sin cambios conocidos; el porcentaje sube con las recompras de Moody's. No verificado a octubre de 2026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6" name="Gráfico 16"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Robert Fauber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junta del 14-abr-2026 aprobó la remuneración de los directivos en voto consultivo y reeligió a los diez consejeros; Fauber obtuvo 149,8 M de votos a favor y 0,6 M en contra (99,6 %) [38]. No se pudo leer el detalle del proxy (métricas del variable, importe total de 2025) desde este entorno [37].</w:t>
      </w:r>
    </w:p>
    <w:p>
      <w:pPr>
        <w:pStyle w:val="Heading2"/>
      </w:pPr>
      <w:r>
        <w:t xml:space="preserve">Operaciones vinculadas, estructura de control y defensas</w:t>
      </w:r>
    </w:p>
    <w:p>
      <w:pPr>
        <w:spacing w:after="100"/>
      </w:pPr>
      <w:r>
        <w:t xml:space="preserve">Presidente del consejo y consejero delegado separados: Vincent Forlenza preside y Fauber es el primer ejecutivo [43]. El consejo tiene diez miembros tras la entrada de Lisa Sawicki (expresidenta mundial de PwC) en marzo de 2026, en las comisiones de auditoría y de nombramientos [43]; el resto del consejo y la independencia de cada consejero no se pudieron leer en el proxy. Una sola clase de acciones, sin accionista de control: Berkshire Hathaway tiene en torno al 14 % y no está en el consejo [42]. Los consejeros se eligen cada año (diez en 2026) con mayoría simple [38]. No hay operaciones vinculadas relevantes conocidas. Los directivos tienen el 0,14 % del capital.</w:t>
      </w:r>
    </w:p>
    <w:p>
      <w:pPr>
        <w:pStyle w:val="Heading2"/>
      </w:pPr>
      <w:r>
        <w:t xml:space="preserve">Señales de alerta</w:t>
      </w:r>
    </w:p>
    <w:p>
      <w:pPr>
        <w:pStyle w:val="ListParagraph"/>
        <w:numPr>
          <w:ilvl w:val="0"/>
          <w:numId w:val="2"/>
        </w:numPr>
        <w:spacing w:after="60"/>
      </w:pPr>
      <w:r>
        <w:t xml:space="preserve">Ventas programadas (10b5-1) del consejero delegado en 2026, de importe pequeño [39, 40].</w:t>
      </w:r>
    </w:p>
    <w:p>
      <w:pPr>
        <w:pStyle w:val="ListParagraph"/>
        <w:numPr>
          <w:ilvl w:val="0"/>
          <w:numId w:val="2"/>
        </w:numPr>
        <w:spacing w:after="60"/>
      </w:pPr>
      <w:r>
        <w:t xml:space="preserve">No se pudo leer el proxy completo: composición del consejo, comisiones y métricas del variable quedan sin verificar.</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Guía de 2026 (22-jul-2026): ingresos con crecimiento de un dígito alto, emisión calificada con crecimiento de un dígito medio, margen operativo ajustado del 50-53 %, BPA ajustado de 16,50-17,00 USD (16,40-17,00 en febrero y abril), flujo libre de 2.700-2.900 M (2.800-3.000 M en febrero) y recompras de hasta 3.000 M [1, 2]. No hay un plan a medio plazo nuevo publicado en 2026 que se haya podido leer. Próximos resultados (3T26): 21-oct-2026, antes de la apertura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BPA ajustado citado por Teleborsa tras el 2T26 [16]; dividendo trimestral de 1,03 USD (+10 %) [1]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490,00 – 610,00</w:t>
            </w:r>
          </w:p>
        </w:tc>
      </w:tr>
    </w:tbl>
    <w:p>
      <w:pPr>
        <w:spacing w:after="160" w:before="0"/>
      </w:pPr>
    </w:p>
    <w:p>
      <w:pPr>
        <w:pStyle w:val="Heading2"/>
      </w:pPr>
      <w:r>
        <w:t xml:space="preserve">Revisiones de estimaciones</w:t>
      </w:r>
    </w:p>
    <w:p>
      <w:pPr>
        <w:spacing w:after="100"/>
      </w:pPr>
      <w:r>
        <w:t xml:space="preserve">Tras el 2T26 los objetivos subieron (Baird de 557 a 572 USD, Mizuho de 521 a 530) [47]. Las fuentes discrepan en la media: 553 USD con 19-20 analistas en Benzinga (agosto) [47], 541 USD en VCP Scanner (julio) [48], 536 USD con 23 analistas en Trendlyne [49] y 550 USD en MarketBeat (marzo) [54]. El BPA de 2026 del consenso (16,78 USD) quedó apenas por encima del punto medio de la guía [16]. No se pudieron leer las estimaciones de 2027-2028 (MarketScreener solo abre con WebFetch). Solo hay una fuente para el BPA.</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7" name="Gráfico 17"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spacing w:after="160" w:before="0"/>
      </w:pPr>
    </w:p>
    <w:p>
      <w:pPr>
        <w:spacing w:after="100"/>
      </w:pPr>
      <w:r>
        <w:t xml:space="preserve">La acción cerró 2025 en 510,85 USD [51] y cayó un 23 % a comienzos de 2026 (mínimo de 52 semanas de 402,28 USD) por el miedo a que la IA abarate los datos y a una emisión irregular [21, 45]. Se recuperó con los resultados del 1T y el 2T (487 USD el 10-jul y 493,55 el 4-sep) [21, 45] y volvió a bajar en septiembre-octubre hasta 464,23 USD el 9-oct [44], un 15 % por debajo del máximo de 546,88 [45]. En el año pierde un 9 % pese a que el BPA ajustado del primer semestre ha crecido un 22 %: el múltiplo se ha comprimido. Rentabilidades de precio calculadas con cierres de Digrin y Yahoo [44, 51]; sin dividendos ni índice (sin datos de bolsa.mjs en este entorno).</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Con los precios de cierre de cada año, Moody's cotiza hoy con un descuento del 26 % sobre su PER medio de los últimos 12 meses (29,4 veces frente a 39,7) y del 23 % sobre su EV/EBITDA (20,6 frente a 26,6), en el mínimo de la serie corta 2021-2025 [51]. 2022 se excluye: la caída de la emisión hundió el beneficio y el PER de cierre no es comparable. El descuento tiene explicación: la tasa a 10 años está en el 5,24 % [86] frente al 1,5-4 % de 2021-2024, y el mercado teme que la IA comprima el múltiplo de los negocios de datos (caída del 23 % a principios de 2026) [21]. No hay un cambio estructural en el negocio que lo justifique: el margen está en máximos.</w:t>
      </w:r>
    </w:p>
    <w:p>
      <w:pPr>
        <w:pStyle w:val="Heading1"/>
      </w:pPr>
      <w:r>
        <w:t xml:space="preserve">18. Comparables cotizados</w:t>
      </w:r>
    </w:p>
    <w:p>
      <w:pPr>
        <w:pStyle w:val="Confianza"/>
        <w:spacing w:after="100"/>
      </w:pPr>
      <w:r>
        <w:t xml:space="preserve">Confianza: Media</w:t>
      </w:r>
    </w:p>
    <w:p>
      <w:pPr>
        <w:spacing w:after="100"/>
      </w:pPr>
      <w:r>
        <w:t xml:space="preserve">Nueve cotizadas de datos, índices, calificaciones y bolsas con el mismo modelo de suscripción e ingresos recurrentes. S&amp;P Global es el gemelo (calificaciones e índices; sus múltiplos, del informe del 12-oct [55]). MSCI es el rival en índices y analítica. Verisk, FactSet y Thomson Reuters compiten en datos y analítica, y LSEG con Refinitiv. ICE, CME y Nasdaq cuentan por índices, datos y la presencia de CME en S&amp;P Dow Jones Indices. Queda fuera Morningstar: no se encontró su página de estimaciones en MarketScreener. Cifras de MarketScreener (ventas, EBITDA, BPA y flujo libre, real de 2025 y estimaciones de 2026-2027) [52, 56, 57, 58, 59, 60, 61, 62, 63]. Acciones, deuda neta, ROIC y precio del 9-oct-2026, de Stock Analysis [46, 64, 65, 66, 67, 68, 69, 70, 71] y Yahoo [72]. LSEG, de libras a dólares a 1,323 [72]. Todos del informe de S&amp;P Global del 12-oct, con precios del 9-oct, el mismo día que el precio de Moody's [55].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Intercontinental Exchange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CME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100.884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Nasdaq</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Thomson Reuters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London Stock Exchange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FactSet Research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15,3x / 18,9x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423,68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 / 23,4x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6,1x / 9,7x / 10,9x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9" name="Gráfico 19"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0" name="Gráfico 20"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Moody's cotiza a 20,6 veces el EBITDA de los últimos 12 meses y a 27,7 veces el BPA ajustado de 2026 (sin estimaciones de 2027 en este análisis, el PER de los próximos 12 meses está algo sobrestimado), frente a 18,9 y 23,4 veces de S&amp;P Global, su gemelo, y medianas del grupo de 15,3 y 23,4 veces. La prima se justifica en parte: más peso de las calificaciones (MIS es el 53 % de los ingresos frente a ≈ 35 % en S&amp;P), ROIC del 30,5 % y crecimiento del 11,5 % en el primer semestre [2, 3]. Pero aplicar la mediana da 392,65 USD por acción. Las bolsas (ICE, CME, Nasdaq) y LSEG tiran la mediana hacia abajo; con MSCI, S&amp;P Global y Verisk, los más parecidos, la referencia sube a unas 23-26 veces el beneficio. Se usa la mediana con un peso del 35 %.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MarketAxess Holdings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en efectivo: 167 USD por acción. Ventas (870 M) y EBITDA (430 M) de los últimos 12 meses a junio de 2026; la prima es la que publica el folleto [73, 74].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With Intelligence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Vendedor, Motive Partners (capital privado). Unos 130 M de ingresos esperados en 2025, con crecimiento del valor anual de contratos en la parte alta de la decena; el múltiplo es sobre esos ingresos previstos. No se publicó el EBITDA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Preqin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BlackRock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2.550 M GBP (unos 3.200 M USD) en efectivo por el 100 % del capital [76]. El 8-K no da ingresos ni EBITDA, así que no hay múltiplo verificado.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Adenza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Nasdaq</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Thoma Bravo, con 5.750 M en efectivo y 85,6 M de acciones de Nasdaq. Múltiplos sobre las previsiones de 2023 que publicó Nasdaq (unos 590 M de ingresos y un margen EBITDA ajustado del 58 %), no sobre los últimos 12 meses: estimación propia [77].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IHS Markit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0,2838 acciones de S&amp;P Global por cada una de IHS Markit. Valor empresa publicado, 44.000 M, con 4.800 M de deuda neta. Ventas (4.288 M) y EBITDA ajustado (1.837 M) del ejercicio cerrado en noviembre de 2020 [78, 79].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Refinitiv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London Stock Exchange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los vendedores (Blackstone y Thomson Reuters) se quedaron con el 37 % económico de LSEG. El valor empresa incluye 12.500 M de deuda neta. Ingresos ajustados de 2018, 6.204 M; EBITDA ajustado, 2.054 M, antes de los 650 M de ahorros en marcha [80]. Anunciada en agosto de 2019 y cerrada en enero de 2021, al límite del periodo de siete años.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2022-05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 Knight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septiembre de 2023 a 76 USD por acción. La cifra es lo pagado por las acciones; además, ICE asumió unos 1.000 M de bonos. No hay EBITDA oficial del perímetro comprado [81].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18,6x (13,1x – 25,7x)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415,25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283,41 – 586,84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1" name="Gráfico 21"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Las operaciones del sector se pagan a 13-31 veces el EBITDA (mediana en torno a 18 veces) y a 4-18 veces las ventas: los activos de datos con ingresos recurrentes cotizan caros también en privado. Moody's no es un objetivo realista (80.000 M de capitalización, Berkshire como mayor accionista y una agencia de calificación que ningún competidor podría comprar por competencia), así que las transacciones solo sirven de referencia de valor para MA.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(+10 %, fijo): el primer semestre creció un 11,5 % [2, 3] y la guía es un dígito alto con la emisión subiendo a un dígito medio [2]; el 3T se publica el 21-oct. Después el crecimiento baja del 8 % (2027e) al 4 % (2035e): media del 6,0 % en los años no fijos, por debajo del 7,2 % anual de 2021-2025 (que incluye el bache de 2022) y del +9 % de MA y MIS en 2025 [1]. Se apoya en precio (3,5-4 % al año, que la empresa ha subido siempre por encima de la inflación), ARR de MA (+8 %) y una emisión que crece con la deuda mundial, sin otro año como 2024.</w:t>
      </w:r>
    </w:p>
    <w:p>
      <w:pPr>
        <w:keepNext/>
        <w:spacing w:after="100"/>
      </w:pPr>
      <w:r>
        <w:rPr>
          <w:b/>
          <w:bCs/>
        </w:rPr>
        <w:t xml:space="preserve">Márgenes.</w:t>
      </w:r>
    </w:p>
    <w:p>
      <w:pPr>
        <w:spacing w:after="100"/>
      </w:pPr>
      <w:r>
        <w:t xml:space="preserve">El margen EBITDA GAAP (EBIT más todas las amortizaciones) fue del 49,6 % en 2025 y ≈ 52 % en el primer semestre de 2026 (margen operativo GAAP del 44,3 % y 47,9 % más ≈ 6 % de amortización) [2, 3]. Se proyecta del 51,5 % en 2026e al 53 % desde 2029e: el apalancamiento operativo de MIS y la mejora de MA (+150-250 pb al año) [2, 3] lo sostienen, y la guía de margen ajustado (50-53 %) deja margen. No se supone volver al 55 % ajustado del 2T26, que es de pico de emisión.</w:t>
      </w:r>
    </w:p>
    <w:p>
      <w:pPr>
        <w:keepNext/>
        <w:spacing w:after="100"/>
      </w:pPr>
      <w:r>
        <w:rPr>
          <w:b/>
          <w:bCs/>
        </w:rPr>
        <w:t xml:space="preserve">Inversión y circulante.</w:t>
      </w:r>
    </w:p>
    <w:p>
      <w:pPr>
        <w:spacing w:after="100"/>
      </w:pPr>
      <w:r>
        <w:t xml:space="preserve">Capex del 4,3 % de las ventas en 2026e (4,2 % en 2025) [8], subiendo al 5,0 % al final para igualar la amortización en el estado estacionario. La amortización baja del 6,0 % al 5,0 % porque los intangibles comprados (≈ 200 M al año) se agotan. Circulante en 0 %: el negocio cobra por adelantado. Sin compras: si las hace, son crecimiento adicional con su coste.</w:t>
      </w:r>
    </w:p>
    <w:p>
      <w:pPr>
        <w:keepNext/>
        <w:spacing w:after="100"/>
      </w:pPr>
      <w:r>
        <w:rPr>
          <w:b/>
          <w:bCs/>
        </w:rPr>
        <w:t xml:space="preserve">Coste del capital.</w:t>
      </w:r>
    </w:p>
    <w:p>
      <w:pPr>
        <w:spacing w:after="100"/>
      </w:pPr>
      <w:r>
        <w:t xml:space="preserve">Tasa libre: bono del Tesoro a 10 años al 5,24 % del 9-oct-2026 [86]. Beta 1,15: no se pudo calcular con bolsa.mjs; es una estimación propia entre la usada para S&amp;P Global (1,05) y la sensibilidad de Moody's a la emisión (MIS cae más en las crisis). Prima de mercado del 5,5 %, sin prima adicional. Coste de la deuda del 5,4 % antes de impuestos (rentabilidad de mercado de un emisor BBB+/A−, estimación propia; el coste contable es ≈ 3,6 %), deuda del 8 % a valor de mercado. WACC del 11,0 %. Con la prima implícita del mercado (4,2 %) baja al 9,6 %: la recomendación depende mucho de la tasa, no de las cifras.</w:t>
      </w:r>
    </w:p>
    <w:p>
      <w:pPr>
        <w:keepNext/>
        <w:spacing w:after="100"/>
      </w:pPr>
      <w:r>
        <w:rPr>
          <w:b/>
          <w:bCs/>
        </w:rPr>
        <w:t xml:space="preserve">Valor terminal.</w:t>
      </w:r>
    </w:p>
    <w:p>
      <w:pPr>
        <w:spacing w:after="100"/>
      </w:pPr>
      <w:r>
        <w:t xml:space="preserve">Media de Gordon (crecimiento del 3,0 %: 2 % real más inflación, medio punto por debajo de lo que permitiría un bono al 5,24 %) y múltiplo de salida de 18 veces el EBITDA, por debajo de las 20,6 de hoy y cerca de las 18,9 de S&amp;P Global y la mediana de las transacciones. Un negocio de calificaciones con ROIC del 30 % merece crecer por encima de la economía, pero 3 % es el techo coherente con la tasa.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64.427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317,75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382,63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-783 M (-2 % del NOPAT)</w:t>
            </w:r>
          </w:p>
        </w:tc>
      </w:tr>
    </w:tbl>
    <w:p>
      <w:pPr>
        <w:spacing w:after="160" w:before="0"/>
      </w:pPr>
    </w:p>
    <w:p>
      <w:pPr>
        <w:spacing w:after="100"/>
      </w:pPr>
      <w:r>
        <w:t xml:space="preserve">La proyección apenas necesita inversión neta de la amortización (reinversión acumulada de -783 M, con un capex bruto medio del 4,7 % de las ventas). En un negocio de activos ligeros, el crecimiento medio del 6,4 %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emisión calificada +un dígito medio y ARR de MA +8 % [2, 3]; precio: subidas anuales de tarifas en MIS y MA; otros: divisa (euro más fuerte) y mezcla hacia transaccionales.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emisión plana o algo al alza tras dos años récord (refinanciación de 2027-2028), ARR de MA +7-8 %; precio, igual que la historia.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crecimiento de la deuda mundial (≈ 3 %) y de MA; precio +4 %.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y precio convergen a su tendencia larga.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+2,5 % y precio +3,5 %.</w:t>
            </w:r>
          </w:p>
        </w:tc>
      </w:tr>
    </w:tbl>
    <w:p>
      <w:pPr>
        <w:spacing w:after="160" w:before="0"/>
      </w:pPr>
    </w:p>
    <w:p>
      <w:pPr>
        <w:spacing w:after="100"/>
      </w:pPr>
      <w:r>
        <w:t xml:space="preserve">Sí. La proyección apenas necesita capital: la reinversión neta es negativa (capex por debajo de la amortización de intangibles comprados), así que el motor no puede hacer la prueba de financiación y la hacemos con poder de precios y cuota. El 6,0 % medio sale de ≈ 3,5-4 puntos de precio, que Moody's ha subido cada año en las dos divisiones, y de 2,5-3,5 de volumen, por debajo del crecimiento de la emisión y del ARR de MA (+8 %) [2, 3]. La cuota de calificaciones (31,4 %) no tiene que subir. El ROIC del 30,5 % sobre un capital invertido de 8.623 M (que ya incluye fondo de comercio e intangibles) sostiene un crecimiento sin capital nuevo. El riesgo no es de financiación sino de ciclo: un año de emisión como 2022 resta un 10-12 % a los ingresos.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10,2 % (base: 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69,8 % (base: 53,0 %)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11,0 %)</w:t>
            </w:r>
          </w:p>
        </w:tc>
      </w:tr>
    </w:tbl>
    <w:p>
      <w:pPr>
        <w:spacing w:after="160" w:before="0"/>
      </w:pPr>
    </w:p>
    <w:p>
      <w:pPr>
        <w:spacing w:after="100"/>
      </w:pPr>
      <w:r>
        <w:t xml:space="preserve">El DCF da 340,51 USD por acción con un WACC del 11,0 % (−26,7 % frente al precio), con el 61 % del valor en el terminal. Con la prima implícita del mercado (4,2 %, WACC del 9,6 %) sube a 394,01 USD: sigue por debajo del precio. El DCF inverso muestra que los 464,23 USD descuentan un crecimiento del 10,2 % anual en 2027-2035 con nuestro margen, frente al 6,0 % de nuestro caso base, o una rentabilidad anual implícita del 8,3 %, por debajo del 11,0 % de nuestro WACC y del 9,6 % que pide el mercado. Es exigente: Moody's creció un 7,2 % anual en 2021-2025 y un 10 % es el crecimiento de un año de emisión fuerte, no de una década. La lectura correcta es que el mercado paga por Moody's una rentabilidad parecida a la de un bono (8,3 % frente al 5,24 %) porque confía en la duración del duopolio. El valor intrínseco depende mucho de la tasa: con un punto menos de WACC estaría cerca del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vuelve a caer como en 2022 (ingresos −12 % aquel año) tras el pico de la deuda de IA y la refinanciación, y la IA frena el ARR de MA: crecimiento 3 puntos menor cada año y margen 2 puntos más bajo.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emisión crece con la deuda mundial, las tarifas suben un 3,5-4 % al año y MA mantiene el ARR al 7-8 %; el margen EBITDA llega al 53 %.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403,56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crédito privado y la financiación de la infraestructura de IA mantienen la emisión alta varios años y MA vende datos para IA: crecimiento 2 puntos mayor y margen un punto más alto.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335,13 USD (-27,8 %).</w:t>
      </w:r>
    </w:p>
    <w:p>
      <w:pPr>
        <w:spacing w:after="100"/>
      </w:pPr>
      <w:r>
        <w:t xml:space="preserve">En el valor intrínseco la asimetría es mala: el alcista (403,56 USD) también queda por debajo del precio y el bajista pierde un 44,9 %. A 12 meses, con PER y BPA propios, la imagen es otra: el base da 506,27 USD (+9,9 % con dividendo), el bajista 388,95 (−15,4 %) y el alcista 698,24 (+51,3 %), con una asimetría de 3,11 veces. La diferencia es el múltiplo: el DCF con nuestro WACC no paga 25 veces el beneficio a una empresa que crece al 6 %; el mercado lo lleva pagando años.</w:t>
      </w:r>
    </w:p>
    <w:p>
      <w:pPr>
        <w:pStyle w:val="Heading1"/>
      </w:pPr>
      <w:r>
        <w:t xml:space="preserve">22. Suma de partes</w:t>
      </w:r>
    </w:p>
    <w:p>
      <w:pPr>
        <w:pStyle w:val="Confianza"/>
        <w:spacing w:after="100"/>
      </w:pPr>
      <w:r>
        <w:t xml:space="preserve">Confianza: Baja</w:t>
      </w:r>
    </w:p>
    <w:p>
      <w:pPr>
        <w:spacing w:after="100"/>
      </w:pPr>
      <w:r>
        <w:t xml:space="preserve">No se aplica como método: los dos negocios (MIS y MA) tienen perfiles distintos, pero no se publica el resultado de cada segmento en un formato que se haya podido leer, y los comparables puros de MA (Verisk, FactSet) ya están en la tabla.</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464,2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403,56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394,01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466,55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intrínseco ponderado (largo plazo):</w:t>
      </w:r>
      <w:r>
        <w:t xml:space="preserve"> 357,41 USD (-23,0 % sobre 464,23).</w:t>
      </w:r>
    </w:p>
    <w:p>
      <w:pPr>
        <w:spacing w:after="100"/>
      </w:pPr>
      <w:r>
        <w:t xml:space="preserve">Pesos: DCF 40 %, comparables 35 % y escenarios 25 %; transacciones a 0 (Moody's no es comprable y las primas de control no aplican) y suma de partes a 0 (sin resultados por segmento). El valor intrínseco ponderado es de 357,41 USD (−23,0 %). Todos los métodos de valor quedan por debajo del precio: DCF 340,51, comparables 392,65 y escenarios 335,13; solo el rango de las transacciones (p75 de 586,84) y los objetivos de los analistas (490-610) lo superan. La dispersión dice que el precio paga calidad y duración del duopolio a una tasa más baja que la nuestra. El método más fiable aquí es el DCF con la prima del mercado (394,01), porque la incertidumbre está en la tasa, no en las cifras.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698,24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+51,3 %</w:t>
            </w:r>
          </w:p>
        </w:tc>
      </w:tr>
    </w:tbl>
    <w:p>
      <w:pPr>
        <w:spacing w:after="160" w:before="0"/>
      </w:pPr>
    </w:p>
    <w:p>
      <w:pPr>
        <w:spacing w:after="100"/>
      </w:pPr>
      <w:r>
        <w:rPr>
          <w:b/>
          <w:bCs/>
        </w:rPr>
        <w:t xml:space="preserve">Objetivo a 12 meses (ponderado):</w:t>
      </w:r>
      <w:r>
        <w:t xml:space="preserve"> 524,93 USD · rentabilidad +13,9 % (base +9,9 %) · señal Mantener.</w:t>
      </w:r>
    </w:p>
    <w:p>
      <w:pPr>
        <w:keepNext/>
        <w:spacing w:after="100"/>
      </w:pPr>
      <w:r>
        <w:rPr>
          <w:b/>
          <w:bCs/>
        </w:rPr>
        <w:t xml:space="preserve">Frente al consenso (solo contraste).</w:t>
      </w:r>
    </w:p>
    <w:p>
      <w:pPr>
        <w:spacing w:after="100"/>
      </w:pPr>
      <w:r>
        <w:t xml:space="preserve">Nuestro BPA ajustado de 2026e en el base (≈ 17,0 USD con el 1S y nuestra proyección) está en línea con el consenso (16,78) [16]; no hay consenso de 2028 que se haya podido leer. La distancia está en el múltiplo: nuestro base (506,27 USD) queda un 8,5 % por debajo del objetivo medio de los analistas (553 USD, 19 analistas) [47], porque la regla común toma el PER actual (24,6 veces nuestro BPA de 2027e) y no la media histórica (35-40 veces). Si el mercado vuelve a pagar 28 veces, el base sería ≈ 576 USD.</w:t>
      </w:r>
    </w:p>
    <w:p>
      <w:pPr>
        <w:keepNext/>
        <w:spacing w:after="100"/>
      </w:pPr>
      <w:r>
        <w:rPr>
          <w:b/>
          <w:bCs/>
        </w:rPr>
        <w:t xml:space="preserve">Del valor intrínseco al objetivo a 12 meses.</w:t>
      </w:r>
    </w:p>
    <w:p>
      <w:pPr>
        <w:spacing w:after="100"/>
      </w:pPr>
      <w:r>
        <w:t xml:space="preserve">El objetivo a 12 meses (524,93 USD ponderado, 506,27 el base) está un 54 % por encima del valor intrínseco (340,51 USD con nuestro WACC; 394,01 con la prima del mercado). No hay contradicción: a 12 meses manda el beneficio (+10 % anual) por un PER que no cambia; el DCF dice que, a un coste de capital del 11 %, ese PER no se justifica a largo plazo. Para cerrar la distancia tendría que bajar la tasa libre o el mercado tendría que aceptar menos rentabilidad por un duopolio. La tesis no es de valor a varios años: es de beneficio a corto, con un múltiplo exigente.</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y posible revisión de la guía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Emisión del 3T y ARR de MA; la guía de BPA (16,50-17,00) puede subir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previsión de emisión tras dos años récord; recompras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de tipos de la Fed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Tipos más bajos: más emisión y menor tasa de descuento (el múltiplo)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Muro de vencimientos de deuda corporativa y alto rendimiento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que sostiene la emisión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Productos de datos para IA de MA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 si la IA suma o resta ARR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emisión de deuda tras el pico de 2024-2026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12 meses (bajista); −25 % en el DCF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recurrentes de MIS (369 M por trimestre) y MA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de MIS por debajo del año anterior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comprime el valor de los datos de MA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propios (Orbis, impagos) y venta a clientes de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 de MA por debajo del 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por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(PER de 20,9 veces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beneficio del 10 %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o responsabilidad de las agencias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−20 %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Marco estable desde Dodd-Frank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Propuestas de la SEC o de ESMA sobre tarifas o responsabilidad civil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 de las calificaciones de crédito privado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Reputacional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Métodos supervisados por la SEC</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Impagos en crédito privado calificado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caras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a −2 % al año de valor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estable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por encima del flujo libre</w:t>
            </w:r>
          </w:p>
        </w:tc>
      </w:tr>
    </w:tbl>
    <w:p>
      <w:pPr>
        <w:spacing w:after="160" w:before="0"/>
      </w:pPr>
    </w:p>
    <w:p>
      <w:pPr>
        <w:pStyle w:val="Heading2"/>
      </w:pPr>
      <w:r>
        <w:t xml:space="preserve">Pre-mortem</w:t>
      </w:r>
    </w:p>
    <w:p>
      <w:pPr>
        <w:spacing w:after="100"/>
      </w:pPr>
      <w:r>
        <w:t xml:space="preserve">Octubre de 2029: Moody's ha perdido un 40 %. La historia más probable empieza en 2027: tras dos años de emisión récord (centros de datos, refinanciación y crédito privado), la emisión cae un 15 % cuando los hiperescaladores terminan su ciclo de inversión y los tipos largos siguen por encima del 5 %. Los ingresos de MIS bajan un 10 % y el margen cae 4 puntos, como en 2022. A la vez, el ARR de MA se frena al 5 % porque los bancos sustituyen parte de los datos de crédito por modelos propios con IA. El BPA ajustado se queda en 17 USD en 2028 en vez de 20,6, y el mercado deja de pagar prima de calidad: el PER baja de 25 a 18 veces, como cotizó en 2018. 17 × 18 = 306 USD, un 34 % menos. Lo habrían anticipado los ingresos transaccionales de MIS (dos trimestres en negativo), el ARR de MA por debajo del 6 % y el bono a 10 años por encima del 5,5 %.</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emisión de 2026 es adelantada (refinanciación de 2027-2028) y qué parte es nueva?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bajista depende de la normalización de la emisión.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ARR de MA viene ya de productos para IA y cuánto se ha perdido por clientes que construyen sus propios modelos?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debate que hundió la acción a principios de 2026.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criterio de valor se recompra a casi 30 veces el BPA GAAP?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de 2026 (3.000 M) superan el flujo libre.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ingresa MIS por crédito privado y con qué margen?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cita como motor, sin cifra publicada.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ganancia no operativa explica un BPA GAAP superior al ajustado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Distorsiona el BPA de los últimos 12 meses.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objetivo de margen ajustado de MA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33,6 % sube 150-250 pb al año; el techo cambia el margen terminal.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Positivo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2T26 un autor reitera Comprar: la prima frente a los comparables se justifica por crecer más en ingresos y beneficio [82].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Insider Monkey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 si el foso del duopolio es irrompible; sitúa la acción a unas 28 veces beneficios y un 19 % por debajo del máximo [20].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Kavout (Market Lens)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la IA como viento a favor para los datos verificables y el crédito privado como motor; dice que cotiza con descuento frente al consenso [83].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Walnut (casos alcista y 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bajista: calificaciones cíclicas si los tipos suben o se cierra el crédito, y herramientas de IA que quitan cuota a la analítica [84].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 la caída del 23 % de principios de año por el miedo a la IA y a una emisión irregular; defiende los datos propios de impagos y el crédito privado (calificaciones +80 % en el 1T) [21].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 (alertas de directivos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programadas del consejero delegado se comentan como señal menor [39].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abarata los datos de Moody's Analytics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causa de la caída de principios de año. Los datos aún no lo muestran: ARR de MA +8 % y margen +150 pb en el 2T26. Riesgo real a vigilar en el ARR.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Emisión récord: ¿pico del ciclo?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Transaccionales de MIS +34 % en el 2T26. El informe pone un bajista con caída de la emisión como en 2022.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Crédito privado y deuda para centros de datos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lo confirma como motor; no hay cifra de su peso en ingresos.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 prima frente a S&amp;P Global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cotiza a ≈ 25,8 veces el beneficio de los próximos 12 meses frente a 20,7 veces S&amp;P Global; el informe lo recoge en comparables.</w:t>
            </w:r>
          </w:p>
        </w:tc>
      </w:tr>
    </w:tbl>
    <w:p>
      <w:pPr>
        <w:spacing w:after="160" w:before="0"/>
      </w:pPr>
    </w:p>
    <w:p>
      <w:pPr>
        <w:spacing w:after="100"/>
      </w:pPr>
      <w:r>
        <w:t xml:space="preserve">El tono de inversores y comentaristas es positivo y mejora desde el 2T26, después de la caída del 23 % de principios de año por el miedo a la IA [21]. No hay euforia: la valoración sigue siendo el debate central y varios artículos de 2025 recomendaban Mantener por múltiplo [85]. Los foros no aportan un riesgo que el informe no tenga (IA en MA y ciclo de emisión) y van con el consenso de analistas (mayoría Comprar). No se encontraron hilos de Reddit ni Stocktwits con debate real en las búsquedas.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17 controles correctos. Fuentes: 87 (31 primarias); citas distintas en el texto: 82.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-8,5 %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 fuentes (31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14, 19, 50, 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26. ESG y controversias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nota de deuda (sin acceso: solo búsqueda web); 2) 10-Q 2T26 en la búsqueda; 3) prensa de las emisiones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2) folletos de bonos;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(clientes, activo y pasivo corriente)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2) Stock Analysis en la búsqueda; 3) Weiss Ratings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adquisiciones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 Stock Analysis;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2021-2024 y resultado por segmento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4T; 2) 10-K;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Burton-Taylor; 2) informe de S&amp;P Global;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y comisiones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DEF 14A 2026; 2) 8-K de la junta (solo votos de Fauber); 3) web de inversores en la búsqueda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 8-K de la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2027e-2028e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sin WebFetch); 2) Trendlyne y Benzinga en la búsqueda; 3) prensa tras el 2T26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caída máxima e índices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Yahoo en la búsqueda; 3)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2) MarketBeat y Google Finance;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sección completa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de Moody's en la búsqueda; 2) MSCI y Sustainalytics;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mercado_final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ingresos de las NRSRO (SEC); 2) Burton-Taylor; 3) informe de S&amp;P Global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la cuota publicada es de calificaciones vigentes, no de ingresos; prueba de cuota a mano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4T25 y del ejercicio 2025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https://www.sec.gov/Archives/edgar/data/1059556/000162828026008788/a4q25earningsrelease.htm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resultados del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https://www.sec.gov/Archives/edgar/data/0001059556/000162828026049104/a2q26earningsrelease.htm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https://s203.q4cdn.com/694693571/files/doc_financials/2026/q1/1Q26-Earnings-Release-vFINAL.pdf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https://www.sec.gov/Archives/edgar/data/1059556/000162828025045770/a3q25earningsrelease.htm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informe anual 10-K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https://www.sec.gov/Archives/edgar/data/1059556/000162828026009136/mco-20251231.htm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https://www.sec.gov/Archives/edgar/data/0001059556/000162828026049398/mco-20260630.htm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https://chartrow.com/quote/mco/financials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estado de flujos de efectivo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balance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 datos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Fidelity International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https://www.fidelity.co.uk/factsheet-data/factsheet/US6153691059-moodys-corp/financials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https://www.marketbeat.com/stocks/NYSE/MCO/financials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resultados del 4T19 y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https://www.businesswire.com/news/home/20200212005216/en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Q2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https://www.nasdaq.com/articles/moodys-q2-earnings-call-highlights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Q4 2025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https://www.marketbeat.com/earnings/reports/2026-2-18-moodys-co-stock/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rated 2 trillion in debt again in Q2 earnings: here's the catch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https://www.tikr.com/blog/moodys-rated-2-trillion-in-debt-again-in-q2-earnings-heres-the-catch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conti battono le attese nel secondo trimestre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Teleborsa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https://www.teleborsa.it/AMP/News/2026/07/22/moody-s-conti-battono-le-attese-nel-secondo-trimestre-123.html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balance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https://weissratings.com/en/stock/mco-nyse/balance-sheet/quarterly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Q2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https://quartr.com/events/moody-s-corporation-mco-q2-2026_3PH302vQ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stock posts 46% operating margins in Q1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https://www.tikr.com/blog/moodys-stock-posts-46-operating-margins-in-q1-2026-heres-what-investors-need-to-know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is its credit-ratings duopoly moat unbreakable?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https://www.insidermonkey.com/news/moodys-mco-is-its-credit-ratings-duopoly-moat-unbreakable-1848040/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 Corporation stock fell 23% in early 2026: why the private credit boom could fuel a rebound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https://www.tikr.com/blog/moody-corporation-stock-fell-23-in-early-2026-why-the-private-credit-boom-could-fuel-a-63-rebound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data spend hits $49.2bn as AI, volatility and algos drive growth (estudio Burton-Taylor)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https://www.fow.com/insights/market-data-spend-hits-usd49-2bn-as-ai-volatility-and-algos-drive-growth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Index Industry Benchmark Report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Burton-Taylor / TP ICAP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https://tpicap.com/burtontaylor/reports/2026index-industry-benchmark-report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2025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https://www.sec.gov/Archives/edgar/data/64040/000006404026000013/spgi-20251231.htm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https://www.sec.gov/files/2025-ocr-staff-report-compliant-4-24-26.pdf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2022 (informe anual con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https://www.sec.gov/Archives/edgar/data/64040/000006404023000058/spgi-20221231.htm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Reports Second Quarter Results (nota de resultados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https://www.sec.gov/Archives/edgar/data/64040/000006404026000040/spgi2q2026-earningsrelease.htm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(historia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https://en.wikipedia.org/wiki/S%26P_Global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market data spending reaches record $42bn (Burton-Taylor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https://marketsmedia.com/financial-market-data-spending-reaches-record-42bn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 Extends Market Data Lead Over Refinitiv (Burton-Taylor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 Magnates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https://www.financemagnates.com/trading-room/industry-news/bloomberg-extends-market-data-lead-over-refinitiv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Provides Pro Forma and Recast Financial Results and Updated Segment Information (8-K/A,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https://www.sec.gov/Archives/edgar/data/64040/000110465926080571/tm2619099d2_ex99-1.htm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Staff Report on Nationally Recognized Statistical Rating Organizations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Office of Credit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https://www.sec.gov/files/jan-2025-ocr-staff-report.pdf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https://www.sec.gov/Archives/edgar/data/1408198/000140819826000011/msci-20251231.htm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companyfacts (ingresos y beneficio operativo de los 10-K): Moody's, MSCI, FactSet, Morningstar, ICE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https://data.sec.gov/api/xbrl/companyfacts/CIK0001059556.json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plc: Preliminary results for the year ended 31 December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LSEG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https://www.lseg.com/en/media-centre/press-releases/2026/london-stock-exchange-group-plc-preliminary-results-for-the-year-ended-31-december-2025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Dollars to U.K. Pound Sterling Spot Exchange Rate (DEXUSUK)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https://fred.stlouisfed.org/series/DEXUSUK</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https://s203.q4cdn.com/694693571/files/doc_financials/2025/Annual/MOODYS-CORP_PROXY_BOOKMARK_2026_V1_PWO-60975.pdf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8-K con los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https://www.boardroomalpha.com/sec/mco-8-k-2026-04-16-0001059556-26-000031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CEO Robert Fauber sells 1,467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(Form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https://www.marketbeat.com/instant-alerts/insider-selling-moodys-nysemco-ceo-sells-1467-shares-2026-08-04/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selling: Moody's CEO sells 1,467 shares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InsiderTrades (Form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https://www.insidertrades.com/alerts/nyse-mco-insider-buying-and-selling-2026-04-04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Date set for Moody's earnings release and investor teleconference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https://finviz.com/news/396917/date-set-for-moodys-earnings-release-and-investor-teleconference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Berkshire Hathaway: 13F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https://www.sec.gov/cgi-bin/browse-edgar?action=getcompany&amp;CIK=0001067983&amp;type=13F-HR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elects Lisa P. Sawicki to Board of Directors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https://www.sec.gov/Archives/edgar/data/1059556/000105955626000004/pressreleasejan12.htm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gráfico y cotización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https://finance.yahoo.com/quote/MCO/chart/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cotización, capitalización y rango de 52 semanas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Syfe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https://www.syfe.com/stocks/us/MCO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precios objetivo de los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Benzinga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https://www.benzinga.com/quote/MCO/price-targets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https://www.vcpscanner.com/stock/mco/price-target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estimaciones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Trendlyne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https://us.trendlyne.com/us/equity/consensus-estimates/1404133/MCO/moody-s-corp/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histórico de cotizaciones (41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https://secure.macrotrends.net/stocks/charts/MCO/moodys/stock-price-history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(MCO): histórico de precios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https://www.digrin.com/stocks/detail/MCO/price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MCO vs SPGI: how Moody's and S&amp;P Global compare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https://walnutinvest.com/stocks/compare/mco-vs-spgi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receives average rating of Moderate Buy from analysts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https://www.marketbeat.com/instant-alerts/moodys-corporation-nysemco-receives-average-rating-of-moderate-buy-from-analysts-2026-03-14/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análisis de inversión (datos.json del repo, corte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https://www.marketscreener.com/quote/stock/INTERCONTINENTAL-EXCHANGE-14931198/finances/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https://www.marketscreener.com/quote/stock/CME-GROUP-INC-3782767/finances/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https://www.marketscreener.com/quote/stock/NASDAQ-INC-10173/finances/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Research Systems: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https://www.marketscreener.com/quote/stock/FACTSET-RESEARCH-SYSTEMS--12584/finances/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https://www.marketscreener.com/quote/stock/LONDON-STOCK-EXCHANGE-GRO-4005918/finances/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datos financieros y estimaciones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https://www.marketscreener.com/quote/stock/THOMSON-REUTERS-CORPORATI-47342166/finances/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(ICE)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https://stockanalysis.com/stocks/ice/statistics/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CME Group (CME)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https://stockanalysis.com/stocks/cme/statistics/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(NDAQ)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https://stockanalysis.com/stocks/ndaq/statistics/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FactSet (FDS)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https://stockanalysis.com/stocks/fds/statistics/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 (LON:LSEG)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https://stockanalysis.com/quote/lon/LSEG/statistics/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Thomson Reuters (TRI)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SPGI, MBGL, SPY, XLF, LSEG.L y GBPUSD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https://finance.yahoo.com/quote/SPGI/history/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folleto definitivo de la fusión (DEFM14A)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https://www.sec.gov/Archives/edgar/data/1278021/000119312526395678/d171374ddefm14a.htm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formulario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MarketAxess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https://www.sec.gov/Archives/edgar/data/1278021/000119312526340249/mktx-20260630.htm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agrees to acquire With Intelligence from Motive Partners for $1.8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Motive Partners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https://motivepartners.com/news/s-p-global-agrees-to-acquire-with-intelligence-from-motive-partners-for-1-8-billion-establishing-its-leadership-in-private-markets-intelligence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acuerdo de compra de Preqin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BlackRock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https://www.sec.gov/Archives/edgar/data/1364742/000119312524172680/d797846d8k.htm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to Acquire Adenza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Nasdaq,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https://www.sec.gov/Archives/edgar/data/1120193/000119312523164839/d476077dex991.htm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and IHS Markit to Merge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https://www.sec.gov/Archives/edgar/data/1598014/000095010320023248/dp141981_ex9901.htm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 formulario 10-K del ejercicio cerrado el 30-nov-2020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IHS Markit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ene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https://www.sec.gov/Archives/edgar/data/1598014/000159801421000015/info-20201130.htm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Proposed all-share acquisition of Refinitiv (RNS)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London Stock Exchange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https://www.lseg.com/content/dam/lseg/en_us/documents/investor-relations/mergers-and-acquisitions/refinitiv/lseg-refinitiv-acquisition-all-share-proposed-rns-01aug2019.pdf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 formulario 10-K de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Intercontinental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https://www.sec.gov/Archives/edgar/data/1571949/000157194924000007/ice-20231231.htm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strong Q2, I reiterate my Buy rating as fundamentals are still sound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https://seekingalpha.com/article/4925241-moodys-corporation-strong-q2-i-reiterate-my-buy-rating-as-fundamentals-are-still-sound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is a buy: structural tailwinds defy valuation fears post Q2 beat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Kavout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https://www.kavout.com/market-lens/moody-s-mco-is-a-buy-structural-tailwinds-defy-valuation-fears-post-q2-beat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MCO a buy or a sell? The bull and bear case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https://walnutinvest.com/stocks/mco/is-it-a-buy-or-sell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ratings recovery not enough at this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https://seekingalpha.com/article/4831825-moodys-ratings-recovery-not-enough-at-this-valuation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10-Year Treasury Constant Maturity Rate (DGS10), dato del 9-oct-2026 tomado del informe de S&amp;P Global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Reserva Federal de San Luis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84,1 %</w:t>
      </w:r>
      <w:r>
        <w:t xml:space="preserve"> · Secciones con menos del 60 % de campos cubiertos: </w:t>
      </w:r>
      <w:r>
        <w:rPr>
          <w:b/>
          <w:bCs/>
        </w:rPr>
        <w:t xml:space="preserve">esg, gobierno, bolsa</w:t>
      </w:r>
      <w:r>
        <w:t xml:space="preserve"> · Generado el 14 oct 2026.</w:t>
      </w:r>
    </w:p>
    <w:p>
      <w:pPr>
        <w:pStyle w:val="Nota"/>
        <w:spacing w:after="100"/>
      </w:pPr>
      <w:r>
        <w:t xml:space="preserve">Entorno nube: la red solo permitió búsquedas web, sin abrir documentos (WebFetch, curl y las herramientas de descarga y de bolsa no funcionan). Las cifras salen de los fragmentos de comunicados de resultados, del 10-K y del 10-Q que devolvió la búsqueda, y de proveedores de datos citados (ChartRow, Stock Analysis, Fidelity, Weiss); lo que no cuadraba quedó en null. Precio: cierre del 9-oct-2026 (464,23 USD, Yahoo) porque no se encontró el del 13-oct. Acciones: 173,2 M de Stock Analysis (9-oct), posteriores al balance del 30-jun usado en el puente; la recompra pagada entre ambas fechas no se resta de la caja (efecto de ≈ 1-2 % del valor). Comparables y transacciones reutilizados del informe de S&amp;P Global del 12-oct-2026 (precios del 9-oct). Sin beta, volatilidad ni rentabilidades con índice. Patrimonio de 2021-2022 estimado por diferencia. El BPA de la rentabilidad a 12 meses es ajustado (sin amortización de intangibles comprados), la base que publica la empresa y que usa el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Moody's Corporation (MCO)</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464,23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Hoja1!$B$2:$B$9</c:f>
              <c:numCache>
                <c:formatCode>#,##0</c:formatCode>
                <c:ptCount val="8"/>
                <c:pt idx="0">
                  <c:v>402.28</c:v>
                </c:pt>
                <c:pt idx="1">
                  <c:v>490</c:v>
                </c:pt>
                <c:pt idx="2">
                  <c:v>369.16</c:v>
                </c:pt>
                <c:pt idx="3">
                  <c:v>283.41</c:v>
                </c:pt>
                <c:pt idx="4">
                  <c:v>320.09</c:v>
                </c:pt>
                <c:pt idx="5">
                  <c:v>255.94</c:v>
                </c:pt>
                <c:pt idx="6">
                  <c:v>372.84</c:v>
                </c:pt>
                <c:pt idx="7">
                  <c:v>461.91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Hoja1!$C$2:$C$9</c:f>
              <c:numCache>
                <c:formatCode>#,##0</c:formatCode>
                <c:ptCount val="8"/>
                <c:pt idx="0">
                  <c:v>144.60000000000002</c:v>
                </c:pt>
                <c:pt idx="1">
                  <c:v>120</c:v>
                </c:pt>
                <c:pt idx="2">
                  <c:v>38.589999999999975</c:v>
                </c:pt>
                <c:pt idx="3">
                  <c:v>303.43</c:v>
                </c:pt>
                <c:pt idx="4">
                  <c:v>44.74000000000001</c:v>
                </c:pt>
                <c:pt idx="5">
                  <c:v>147.62</c:v>
                </c:pt>
                <c:pt idx="6">
                  <c:v>44.83000000000004</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Moody's Investors Service (MIS)</c:v>
                </c:pt>
              </c:strCache>
            </c:strRef>
          </c:tx>
          <c:spPr>
            <a:solidFill>
              <a:srgbClr val="2A78D6"/>
            </a:solidFill>
            <a:ln w="12700">
              <a:solidFill>
                <a:srgbClr val="FFFFFF"/>
              </a:solidFill>
            </a:ln>
          </c:spPr>
          <c:invertIfNegative val="0"/>
          <c:cat>
            <c:strRef>
              <c:f>Hoja1!$A$2</c:f>
              <c:strCache>
                <c:ptCount val="1"/>
                <c:pt idx="0">
                  <c:v>2025</c:v>
                </c:pt>
              </c:strCache>
            </c:strRef>
          </c:cat>
          <c:val>
            <c:numRef>
              <c:f>Hoja1!$B$2</c:f>
              <c:numCache>
                <c:formatCode>#,##0</c:formatCode>
                <c:ptCount val="1"/>
                <c:pt idx="0">
                  <c:v>4100</c:v>
                </c:pt>
              </c:numCache>
            </c:numRef>
          </c:val>
        </c:ser>
        <c:ser>
          <c:idx val="1"/>
          <c:order val="1"/>
          <c:tx>
            <c:strRef>
              <c:f>Hoja1!$C$1</c:f>
              <c:strCache>
                <c:ptCount val="1"/>
                <c:pt idx="0">
                  <c:v>Moody's Analytics (MA)</c:v>
                </c:pt>
              </c:strCache>
            </c:strRef>
          </c:tx>
          <c:spPr>
            <a:solidFill>
              <a:srgbClr val="EB6834"/>
            </a:solidFill>
            <a:ln w="12700">
              <a:solidFill>
                <a:srgbClr val="FFFFFF"/>
              </a:solidFill>
            </a:ln>
          </c:spPr>
          <c:invertIfNegative val="0"/>
          <c:cat>
            <c:strRef>
              <c:f>Hoja1!$A$2</c:f>
              <c:strCache>
                <c:ptCount val="1"/>
                <c:pt idx="0">
                  <c:v>2025</c:v>
                </c:pt>
              </c:strCache>
            </c:strRef>
          </c:cat>
          <c:val>
            <c:numRef>
              <c:f>Hoja1!$C$2</c:f>
              <c:numCache>
                <c:formatCode>#,##0</c:formatCode>
                <c:ptCount val="1"/>
                <c:pt idx="0">
                  <c:v>3618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Moody's Investors Service (MIS)</c:v>
                </c:pt>
                <c:pt idx="1">
                  <c:v>Moody's Analytics (MA)</c:v>
                </c:pt>
              </c:strCache>
            </c:strRef>
          </c:cat>
          <c:val>
            <c:numRef>
              <c:f>Hoja1!$B$2:$B$3</c:f>
              <c:numCache>
                <c:formatCode>General</c:formatCode>
                <c:ptCount val="2"/>
                <c:pt idx="0">
                  <c:v>53.1</c:v>
                </c:pt>
                <c:pt idx="1">
                  <c:v>46.9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datos y análisis de mercados financieros, Burton-Taylor; solo un segmento del mercado: excluye comisiones de calificación e índices))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2019</c:v>
                </c:pt>
                <c:pt idx="1">
                  <c:v>2022</c:v>
                </c:pt>
                <c:pt idx="2">
                  <c:v>2023</c:v>
                </c:pt>
                <c:pt idx="3">
                  <c:v>2025</c:v>
                </c:pt>
              </c:strCache>
            </c:strRef>
          </c:cat>
          <c:val>
            <c:numRef>
              <c:f>Hoja1!$B$2:$B$5</c:f>
              <c:numCache>
                <c:formatCode>#,##0</c:formatCode>
                <c:ptCount val="4"/>
                <c:pt idx="0">
                  <c:v>32000</c:v>
                </c:pt>
                <c:pt idx="1">
                  <c:v>37300</c:v>
                </c:pt>
                <c:pt idx="2">
                  <c:v>42000</c:v>
                </c:pt>
                <c:pt idx="3">
                  <c:v>49200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1</c:v>
                </c:pt>
                <c:pt idx="3">
                  <c:v>1</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Moody's</c:v>
                </c:pt>
                <c:pt idx="1">
                  <c:v>S&amp;P Global</c:v>
                </c:pt>
                <c:pt idx="2">
                  <c:v>MSCI Inc.</c:v>
                </c:pt>
                <c:pt idx="3">
                  <c:v>London Stock Exchange Group (LSEG)</c:v>
                </c:pt>
                <c:pt idx="4">
                  <c:v>Intercontinental Exchange (ICE)</c:v>
                </c:pt>
                <c:pt idx="5">
                  <c:v>FactSet Research Systems</c:v>
                </c:pt>
                <c:pt idx="6">
                  <c:v>Morningstar Inc.</c:v>
                </c:pt>
                <c:pt idx="7">
                  <c:v>Fitch Ratings (Hearst)</c:v>
                </c:pt>
                <c:pt idx="8">
                  <c:v>Bloomberg L.P.</c:v>
                </c:pt>
              </c:strCache>
            </c:strRef>
          </c:cat>
          <c:val>
            <c:numRef>
              <c:f>Hoja1!$B$2:$B$10</c:f>
              <c:numCache>
                <c:formatCode>0.0"%"</c:formatCode>
                <c:ptCount val="9"/>
                <c:pt idx="0">
                  <c:v>43.4</c:v>
                </c:pt>
                <c:pt idx="1">
                  <c:v>43</c:v>
                </c:pt>
                <c:pt idx="2">
                  <c:v>54.7</c:v>
                </c:pt>
                <c:pt idx="3">
                  <c:v>23.7</c:v>
                </c:pt>
                <c:pt idx="4">
                  <c:v>39</c:v>
                </c:pt>
                <c:pt idx="5">
                  <c:v>32.2</c:v>
                </c:pt>
                <c:pt idx="6">
                  <c:v>21.5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4</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6218</c:v>
                </c:pt>
                <c:pt idx="1">
                  <c:v>5468</c:v>
                </c:pt>
                <c:pt idx="2">
                  <c:v>5916</c:v>
                </c:pt>
                <c:pt idx="3">
                  <c:v>7088</c:v>
                </c:pt>
                <c:pt idx="4">
                  <c:v>7718</c:v>
                </c:pt>
                <c:pt idx="5">
                  <c:v>8490</c:v>
                </c:pt>
                <c:pt idx="6">
                  <c:v>9169</c:v>
                </c:pt>
                <c:pt idx="7">
                  <c:v>9857</c:v>
                </c:pt>
                <c:pt idx="8">
                  <c:v>10547</c:v>
                </c:pt>
                <c:pt idx="9">
                  <c:v>11232</c:v>
                </c:pt>
                <c:pt idx="10">
                  <c:v>11906</c:v>
                </c:pt>
                <c:pt idx="11">
                  <c:v>12561</c:v>
                </c:pt>
                <c:pt idx="12">
                  <c:v>13189</c:v>
                </c:pt>
                <c:pt idx="13">
                  <c:v>13782</c:v>
                </c:pt>
                <c:pt idx="14">
                  <c:v>14334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3101</c:v>
                </c:pt>
                <c:pt idx="1">
                  <c:v>2211</c:v>
                </c:pt>
                <c:pt idx="2">
                  <c:v>2513</c:v>
                </c:pt>
                <c:pt idx="3">
                  <c:v>3311</c:v>
                </c:pt>
                <c:pt idx="4">
                  <c:v>3831</c:v>
                </c:pt>
                <c:pt idx="5">
                  <c:v>4372</c:v>
                </c:pt>
                <c:pt idx="6">
                  <c:v>4768</c:v>
                </c:pt>
                <c:pt idx="7">
                  <c:v>5175</c:v>
                </c:pt>
                <c:pt idx="8">
                  <c:v>5590</c:v>
                </c:pt>
                <c:pt idx="9">
                  <c:v>5953</c:v>
                </c:pt>
                <c:pt idx="10">
                  <c:v>6310</c:v>
                </c:pt>
                <c:pt idx="11">
                  <c:v>6657</c:v>
                </c:pt>
                <c:pt idx="12">
                  <c:v>6990</c:v>
                </c:pt>
                <c:pt idx="13">
                  <c:v>7305</c:v>
                </c:pt>
                <c:pt idx="14">
                  <c:v>7597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49.9</c:v>
                </c:pt>
                <c:pt idx="1">
                  <c:v>40.4</c:v>
                </c:pt>
                <c:pt idx="2">
                  <c:v>42.5</c:v>
                </c:pt>
                <c:pt idx="3">
                  <c:v>46.7</c:v>
                </c:pt>
                <c:pt idx="4">
                  <c:v>49.6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45.7</c:v>
                </c:pt>
                <c:pt idx="1">
                  <c:v>34.4</c:v>
                </c:pt>
                <c:pt idx="2">
                  <c:v>36.2</c:v>
                </c:pt>
                <c:pt idx="3">
                  <c:v>40.6</c:v>
                </c:pt>
                <c:pt idx="4">
                  <c:v>43.4</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35.6</c:v>
                </c:pt>
                <c:pt idx="1">
                  <c:v>25.1</c:v>
                </c:pt>
                <c:pt idx="2">
                  <c:v>27.2</c:v>
                </c:pt>
                <c:pt idx="3">
                  <c:v>29</c:v>
                </c:pt>
                <c:pt idx="4">
                  <c:v>31.9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8</c:v>
                </c:pt>
                <c:pt idx="1">
                  <c:v>4.5</c:v>
                </c:pt>
                <c:pt idx="2">
                  <c:v>11</c:v>
                </c:pt>
                <c:pt idx="3">
                  <c:v>13</c:v>
                </c:pt>
                <c:pt idx="4">
                  <c:v>8.1</c:v>
                </c:pt>
                <c:pt idx="5">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4">
                  <c:v>6</c:v>
                </c:pt>
                <c:pt idx="5">
                  <c:v>16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2059</c:v>
                </c:pt>
                <c:pt idx="1">
                  <c:v>1405</c:v>
                </c:pt>
                <c:pt idx="2">
                  <c:v>1880</c:v>
                </c:pt>
                <c:pt idx="3">
                  <c:v>2521</c:v>
                </c:pt>
                <c:pt idx="4">
                  <c:v>2575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2214</c:v>
                </c:pt>
                <c:pt idx="1">
                  <c:v>1374</c:v>
                </c:pt>
                <c:pt idx="2">
                  <c:v>1607</c:v>
                </c:pt>
                <c:pt idx="3">
                  <c:v>2058</c:v>
                </c:pt>
                <c:pt idx="4">
                  <c:v>2461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27.3</c:v>
                </c:pt>
                <c:pt idx="1">
                  <c:v>17.9</c:v>
                </c:pt>
                <c:pt idx="2">
                  <c:v>20.9</c:v>
                </c:pt>
                <c:pt idx="3">
                  <c:v>26.7</c:v>
                </c:pt>
                <c:pt idx="4">
                  <c:v>30.5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11</c:v>
                </c:pt>
                <c:pt idx="1">
                  <c:v>11</c:v>
                </c:pt>
                <c:pt idx="2">
                  <c:v>11</c:v>
                </c:pt>
                <c:pt idx="3">
                  <c:v>11</c:v>
                </c:pt>
                <c:pt idx="4">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76.3</c:v>
                </c:pt>
                <c:pt idx="1">
                  <c:v>49.5</c:v>
                </c:pt>
                <c:pt idx="2">
                  <c:v>53.9</c:v>
                </c:pt>
                <c:pt idx="3">
                  <c:v>59.8</c:v>
                </c:pt>
                <c:pt idx="4">
                  <c:v>64.6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1.81</c:v>
                </c:pt>
                <c:pt idx="1">
                  <c:v>2.54</c:v>
                </c:pt>
                <c:pt idx="2">
                  <c:v>1.94</c:v>
                </c:pt>
                <c:pt idx="3">
                  <c:v>1.52</c:v>
                </c:pt>
                <c:pt idx="4">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465</c:v>
                </c:pt>
                <c:pt idx="1">
                  <c:v>513</c:v>
                </c:pt>
                <c:pt idx="2">
                  <c:v>564</c:v>
                </c:pt>
                <c:pt idx="3">
                  <c:v>620</c:v>
                </c:pt>
                <c:pt idx="4">
                  <c:v>701</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774</c:v>
                </c:pt>
                <c:pt idx="1">
                  <c:v>1149</c:v>
                </c:pt>
                <c:pt idx="2">
                  <c:v>561</c:v>
                </c:pt>
                <c:pt idx="3">
                  <c:v>1383</c:v>
                </c:pt>
                <c:pt idx="4">
                  <c:v>1706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3</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Berkshire Hathaway</c:v>
                </c:pt>
              </c:strCache>
            </c:strRef>
          </c:cat>
          <c:val>
            <c:numRef>
              <c:f>Hoja1!$B$2</c:f>
              <c:numCache>
                <c:formatCode>0.0"%"</c:formatCode>
                <c:ptCount val="1"/>
                <c:pt idx="0">
                  <c:v>14.2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-28.7</c:v>
                </c:pt>
                <c:pt idx="1">
                  <c:v>40.2</c:v>
                </c:pt>
                <c:pt idx="2">
                  <c:v>21.2</c:v>
                </c:pt>
                <c:pt idx="3">
                  <c:v>7.9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25.5</c:v>
                </c:pt>
                <c:pt idx="1">
                  <c:v>25.8</c:v>
                </c:pt>
                <c:pt idx="2">
                  <c:v>30.6</c:v>
                </c:pt>
                <c:pt idx="3">
                  <c:v>27.7</c:v>
                </c:pt>
                <c:pt idx="4">
                  <c:v>25.2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26.6</c:v>
                </c:pt>
                <c:pt idx="1">
                  <c:v>26.6</c:v>
                </c:pt>
                <c:pt idx="2">
                  <c:v>26.6</c:v>
                </c:pt>
                <c:pt idx="3">
                  <c:v>26.6</c:v>
                </c:pt>
                <c:pt idx="4">
                  <c:v>26.6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Moody's</c:v>
                </c:pt>
                <c:pt idx="1">
                  <c:v>S&amp;P Global</c:v>
                </c:pt>
                <c:pt idx="2">
                  <c:v>MSCI</c:v>
                </c:pt>
                <c:pt idx="3">
                  <c:v>Intercontinental Exchange</c:v>
                </c:pt>
                <c:pt idx="4">
                  <c:v>CME Group</c:v>
                </c:pt>
                <c:pt idx="5">
                  <c:v>Nasdaq</c:v>
                </c:pt>
                <c:pt idx="6">
                  <c:v>Verisk Analytics</c:v>
                </c:pt>
                <c:pt idx="7">
                  <c:v>Thomson Reuters</c:v>
                </c:pt>
                <c:pt idx="8">
                  <c:v>London Stock Exchange Group</c:v>
                </c:pt>
                <c:pt idx="9">
                  <c:v>FactSet Research Systems</c:v>
                </c:pt>
              </c:strCache>
            </c:strRef>
          </c:cat>
          <c:val>
            <c:numRef>
              <c:f>Hoja1!$B$2:$B$11</c:f>
              <c:numCache>
                <c:formatCode>0.0"x"</c:formatCode>
                <c:ptCount val="10"/>
                <c:pt idx="1">
                  <c:v>17.1</c:v>
                </c:pt>
                <c:pt idx="2">
                  <c:v>20.3</c:v>
                </c:pt>
                <c:pt idx="3">
                  <c:v>13.8</c:v>
                </c:pt>
                <c:pt idx="4">
                  <c:v>19.2</c:v>
                </c:pt>
                <c:pt idx="5">
                  <c:v>16.1</c:v>
                </c:pt>
                <c:pt idx="6">
                  <c:v>14.2</c:v>
                </c:pt>
                <c:pt idx="7">
                  <c:v>13.5</c:v>
                </c:pt>
                <c:pt idx="8">
                  <c:v>9.7</c:v>
                </c:pt>
                <c:pt idx="9">
                  <c:v>11.4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S&amp;P Global</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7.6</c:v>
                </c:pt>
              </c:numCache>
            </c:numRef>
          </c:xVal>
          <c:yVal>
            <c:numRef>
              <c:f>Hoja1!$C$2</c:f>
              <c:numCache>
                <c:formatCode>0.0"x"</c:formatCode>
                <c:ptCount val="1"/>
                <c:pt idx="0">
                  <c:v>17.1</c:v>
                </c:pt>
              </c:numCache>
            </c:numRef>
          </c:yVal>
          <c:smooth val="0"/>
        </c:ser>
        <c:ser>
          <c:idx val="1"/>
          <c:order val="1"/>
          <c:tx>
            <c:strRef>
              <c:f>Hoja1!$A$3</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10.2</c:v>
                </c:pt>
              </c:numCache>
            </c:numRef>
          </c:xVal>
          <c:yVal>
            <c:numRef>
              <c:f>Hoja1!$C$3</c:f>
              <c:numCache>
                <c:formatCode>0.0"x"</c:formatCode>
                <c:ptCount val="1"/>
                <c:pt idx="0">
                  <c:v>20.3</c:v>
                </c:pt>
              </c:numCache>
            </c:numRef>
          </c:yVal>
          <c:smooth val="0"/>
        </c:ser>
        <c:ser>
          <c:idx val="2"/>
          <c:order val="2"/>
          <c:tx>
            <c:strRef>
              <c:f>Hoja1!$A$4</c:f>
              <c:strCache>
                <c:ptCount val="1"/>
                <c:pt idx="0">
                  <c:v>Intercontinental Exchange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8.1</c:v>
                </c:pt>
              </c:numCache>
            </c:numRef>
          </c:xVal>
          <c:yVal>
            <c:numRef>
              <c:f>Hoja1!$C$4</c:f>
              <c:numCache>
                <c:formatCode>0.0"x"</c:formatCode>
                <c:ptCount val="1"/>
                <c:pt idx="0">
                  <c:v>13.8</c:v>
                </c:pt>
              </c:numCache>
            </c:numRef>
          </c:yVal>
          <c:smooth val="0"/>
        </c:ser>
        <c:ser>
          <c:idx val="3"/>
          <c:order val="3"/>
          <c:tx>
            <c:strRef>
              <c:f>Hoja1!$A$5</c:f>
              <c:strCache>
                <c:ptCount val="1"/>
                <c:pt idx="0">
                  <c:v>CME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5.9</c:v>
                </c:pt>
              </c:numCache>
            </c:numRef>
          </c:xVal>
          <c:yVal>
            <c:numRef>
              <c:f>Hoja1!$C$5</c:f>
              <c:numCache>
                <c:formatCode>0.0"x"</c:formatCode>
                <c:ptCount val="1"/>
                <c:pt idx="0">
                  <c:v>19.2</c:v>
                </c:pt>
              </c:numCache>
            </c:numRef>
          </c:yVal>
          <c:smooth val="0"/>
        </c:ser>
        <c:ser>
          <c:idx val="4"/>
          <c:order val="4"/>
          <c:tx>
            <c:strRef>
              <c:f>Hoja1!$A$6</c:f>
              <c:strCache>
                <c:ptCount val="1"/>
                <c:pt idx="0">
                  <c:v>Nasdaq</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10.1</c:v>
                </c:pt>
              </c:numCache>
            </c:numRef>
          </c:xVal>
          <c:yVal>
            <c:numRef>
              <c:f>Hoja1!$C$6</c:f>
              <c:numCache>
                <c:formatCode>0.0"x"</c:formatCode>
                <c:ptCount val="1"/>
                <c:pt idx="0">
                  <c:v>16.1</c:v>
                </c:pt>
              </c:numCache>
            </c:numRef>
          </c:yVal>
          <c:smooth val="0"/>
        </c:ser>
        <c:ser>
          <c:idx val="5"/>
          <c:order val="5"/>
          <c:tx>
            <c:strRef>
              <c:f>Hoja1!$A$7</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6.1</c:v>
                </c:pt>
              </c:numCache>
            </c:numRef>
          </c:xVal>
          <c:yVal>
            <c:numRef>
              <c:f>Hoja1!$C$7</c:f>
              <c:numCache>
                <c:formatCode>0.0"x"</c:formatCode>
                <c:ptCount val="1"/>
                <c:pt idx="0">
                  <c:v>14.2</c:v>
                </c:pt>
              </c:numCache>
            </c:numRef>
          </c:yVal>
          <c:smooth val="0"/>
        </c:ser>
        <c:ser>
          <c:idx val="6"/>
          <c:order val="6"/>
          <c:tx>
            <c:strRef>
              <c:f>Hoja1!$A$8</c:f>
              <c:strCache>
                <c:ptCount val="1"/>
                <c:pt idx="0">
                  <c:v>Thomson Reuters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8.2</c:v>
                </c:pt>
              </c:numCache>
            </c:numRef>
          </c:xVal>
          <c:yVal>
            <c:numRef>
              <c:f>Hoja1!$C$8</c:f>
              <c:numCache>
                <c:formatCode>0.0"x"</c:formatCode>
                <c:ptCount val="1"/>
                <c:pt idx="0">
                  <c:v>13.5</c:v>
                </c:pt>
              </c:numCache>
            </c:numRef>
          </c:yVal>
          <c:smooth val="0"/>
        </c:ser>
        <c:ser>
          <c:idx val="7"/>
          <c:order val="7"/>
          <c:tx>
            <c:strRef>
              <c:f>Hoja1!$A$9</c:f>
              <c:strCache>
                <c:ptCount val="1"/>
                <c:pt idx="0">
                  <c:v>London Stock Exchange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6.5</c:v>
                </c:pt>
              </c:numCache>
            </c:numRef>
          </c:xVal>
          <c:yVal>
            <c:numRef>
              <c:f>Hoja1!$C$9</c:f>
              <c:numCache>
                <c:formatCode>0.0"x"</c:formatCode>
                <c:ptCount val="1"/>
                <c:pt idx="0">
                  <c:v>9.7</c:v>
                </c:pt>
              </c:numCache>
            </c:numRef>
          </c:yVal>
          <c:smooth val="0"/>
        </c:ser>
        <c:ser>
          <c:idx val="8"/>
          <c:order val="8"/>
          <c:tx>
            <c:strRef>
              <c:f>Hoja1!$A$10</c:f>
              <c:strCache>
                <c:ptCount val="1"/>
                <c:pt idx="0">
                  <c:v>FactSet Research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6.3</c:v>
                </c:pt>
              </c:numCache>
            </c:numRef>
          </c:xVal>
          <c:yVal>
            <c:numRef>
              <c:f>Hoja1!$C$10</c:f>
              <c:numCache>
                <c:formatCode>0.0"x"</c:formatCode>
                <c:ptCount val="1"/>
                <c:pt idx="0">
                  <c:v>11.4</c:v>
                </c:pt>
              </c:numCache>
            </c:numRef>
          </c:yVal>
          <c:smooth val="0"/>
        </c:ser>
        <c:axId val="10"/>
        <c:axId val="20"/>
      </c:scatterChart>
      <c:valAx>
        <c:axId val="10"/>
        <c:scaling>
          <c:orientation val="minMax"/>
          <c:max val="12"/>
          <c:min val="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7"/>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MarketAxess Holdings</c:v>
                </c:pt>
                <c:pt idx="1">
                  <c:v>With Intelligence</c:v>
                </c:pt>
                <c:pt idx="2">
                  <c:v>Preqin</c:v>
                </c:pt>
                <c:pt idx="3">
                  <c:v>Adenza</c:v>
                </c:pt>
                <c:pt idx="4">
                  <c:v>IHS Markit</c:v>
                </c:pt>
                <c:pt idx="5">
                  <c:v>Refinitiv</c:v>
                </c:pt>
                <c:pt idx="6">
                  <c:v>Black Knight</c:v>
                </c:pt>
              </c:strCache>
            </c:strRef>
          </c:cat>
          <c:val>
            <c:numRef>
              <c:f>Hoja1!$B$2:$B$8</c:f>
              <c:numCache>
                <c:formatCode>0.0"x"</c:formatCode>
                <c:ptCount val="7"/>
                <c:pt idx="0">
                  <c:v>13</c:v>
                </c:pt>
                <c:pt idx="3">
                  <c:v>30.7</c:v>
                </c:pt>
                <c:pt idx="4">
                  <c:v>24</c:v>
                </c:pt>
                <c:pt idx="5">
                  <c:v>13.1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3138</c:v>
                </c:pt>
                <c:pt idx="1">
                  <c:v>3423</c:v>
                </c:pt>
                <c:pt idx="2">
                  <c:v>3705</c:v>
                </c:pt>
                <c:pt idx="3">
                  <c:v>3990</c:v>
                </c:pt>
                <c:pt idx="4">
                  <c:v>4233</c:v>
                </c:pt>
                <c:pt idx="5">
                  <c:v>4473</c:v>
                </c:pt>
                <c:pt idx="6">
                  <c:v>4703</c:v>
                </c:pt>
                <c:pt idx="7">
                  <c:v>4922</c:v>
                </c:pt>
                <c:pt idx="8">
                  <c:v>5127</c:v>
                </c:pt>
                <c:pt idx="9">
                  <c:v>5332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25037</c:v>
                </c:pt>
                <c:pt idx="1">
                  <c:v>39390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464,23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255.94</c:v>
                </c:pt>
                <c:pt idx="1">
                  <c:v>340.51</c:v>
                </c:pt>
                <c:pt idx="2">
                  <c:v>403.56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464,23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Hoja1!$B$2:$B$9</c:f>
              <c:numCache>
                <c:formatCode>#,##0</c:formatCode>
                <c:ptCount val="8"/>
                <c:pt idx="0">
                  <c:v>402.28</c:v>
                </c:pt>
                <c:pt idx="1">
                  <c:v>490</c:v>
                </c:pt>
                <c:pt idx="2">
                  <c:v>369.16</c:v>
                </c:pt>
                <c:pt idx="3">
                  <c:v>283.41</c:v>
                </c:pt>
                <c:pt idx="4">
                  <c:v>320.09</c:v>
                </c:pt>
                <c:pt idx="5">
                  <c:v>255.94</c:v>
                </c:pt>
                <c:pt idx="6">
                  <c:v>372.84</c:v>
                </c:pt>
                <c:pt idx="7">
                  <c:v>461.91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(402,28 – 546,88)</c:v>
                </c:pt>
                <c:pt idx="1">
                  <c:v>Precio objetivo de los analistas (490,00 – 610,00)</c:v>
                </c:pt>
                <c:pt idx="2">
                  <c:v>Comparables: PER NTM (369,16 – 407,75)</c:v>
                </c:pt>
                <c:pt idx="3">
                  <c:v>Transacciones precedentes (EV/EBITDA) (283,41 – 586,84)</c:v>
                </c:pt>
                <c:pt idx="4">
                  <c:v>DCF (WACC y g ± 0,5) (320,09 – 364,83)</c:v>
                </c:pt>
                <c:pt idx="5">
                  <c:v>Escenarios (bajista – alcista) (255,94 – 403,56)</c:v>
                </c:pt>
                <c:pt idx="6">
                  <c:v>DCF con la prima implícita del mercado (4,2 %)</c:v>
                </c:pt>
                <c:pt idx="7">
                  <c:v>Precio actual (464,23)</c:v>
                </c:pt>
              </c:strCache>
            </c:strRef>
          </c:cat>
          <c:val>
            <c:numRef>
              <c:f>Hoja1!$C$2:$C$9</c:f>
              <c:numCache>
                <c:formatCode>#,##0</c:formatCode>
                <c:ptCount val="8"/>
                <c:pt idx="0">
                  <c:v>144.60000000000002</c:v>
                </c:pt>
                <c:pt idx="1">
                  <c:v>120</c:v>
                </c:pt>
                <c:pt idx="2">
                  <c:v>38.589999999999975</c:v>
                </c:pt>
                <c:pt idx="3">
                  <c:v>303.43</c:v>
                </c:pt>
                <c:pt idx="4">
                  <c:v>44.74000000000001</c:v>
                </c:pt>
                <c:pt idx="5">
                  <c:v>147.62</c:v>
                </c:pt>
                <c:pt idx="6">
                  <c:v>44.83000000000004</c:v>
                </c:pt>
                <c:pt idx="7">
                  <c:v>4.639999999999986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2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