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Qualys, Inc.</w:t>
      </w:r>
    </w:p>
    <w:p>
      <w:pPr>
        <w:spacing w:after="60"/>
        <w:rPr>
          <w:color w:val="52514E"/>
          <w:sz w:val="22"/>
          <w:szCs w:val="22"/>
        </w:rPr>
      </w:pPr>
      <w:r>
        <w:rPr>
          <w:color w:val="52514E"/>
          <w:sz w:val="22"/>
          <w:szCs w:val="22"/>
        </w:rPr>
        <w:t xml:space="preserve">QLYS · Nasdaq Global Select · ISIN US74758T3032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189,63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210,98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+7,4 %)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119,16 USD · mercado 138,94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Qualys,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QLYS / US74758T3032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sistemas (ciberseguridad)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Foster City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https://www.qualys.com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189,63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74,51 – 206,25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210,98 USD</w:t>
      </w:r>
      <w:r>
        <w:t xml:space="preserve"> frente a 189,63 · Rentabilidad a 12 meses </w:t>
      </w:r>
      <w:r>
        <w:rPr>
          <w:b/>
          <w:bCs/>
        </w:rPr>
        <w:t xml:space="preserve">+11,3 % (base +7,4 %)</w:t>
      </w:r>
      <w:r>
        <w:t xml:space="preserve"> · Valor intrínseco 119,16 USD · con la prima implícita del mercado: 138,94 (-26,7 %) · Alcista / bajista -26,8 % / -53,1 %</w:t>
      </w:r>
    </w:p>
    <w:p>
      <w:pPr>
        <w:spacing w:after="100"/>
      </w:pPr>
      <w:r>
        <w:rPr>
          <w:b/>
        </w:rPr>
        <w:t xml:space="preserve">La recomendación y por qué.</w:t>
      </w:r>
      <w:r>
        <w:t xml:space="preserve"> Mantener, con convicción media. El objetivo a 12 meses es de 210,98 USD (rentabilidad ponderada del 11,3 % y del 7,4 % en el base), por encima del objetivo medio de 22 analistas (181,03), pero el valor intrínseco es de 119,16 USD, un 37,2 % por debajo del precio de 189,63. La regla no da Comprar por dos filtros: la ponderada no llega al 15 % y, sobre todo, el valor intrínseco queda muy lejos del precio; tampoco pasaría el de mantener en cartera. La convicción es media porque las dos reglas coinciden y estamos lejos de los umbrales; subiría si la acción cayera hacia 140 USD o si el 3T26 (3-nov) mostrara una facturación por encima del 10 %.</w:t>
      </w:r>
    </w:p>
    <w:p>
      <w:pPr>
        <w:spacing w:after="100"/>
      </w:pPr>
      <w:r>
        <w:rPr>
          <w:b/>
        </w:rPr>
        <w:t xml:space="preserve">El negocio.</w:t>
      </w:r>
      <w:r>
        <w:t xml:space="preserve"> Qualys es el especialista más rentable de la gestión de vulnerabilidades: margen operativo GAAP del 33,2 %, caja neta de 703,5 M USD y un ROIC sin ingresos diferidos del 63 % (estimación propia; el del motor no aplica porque el capital invertido es negativo) frente a un WACC del 10,71 %: veredicto de calidad Sí [2, 4]. La calidad sostiene el crecimiento que proyectamos (sostenibilidad Sí): un 7 % de media, por debajo del histórico, sin capital y con una cuota que pasa del 3,8 % al 4,0 %. Usamos el BPA GAAP, que resta los pagos en acciones (11,5 % de las ventas); el ajustado es un 33 % mayor.</w:t>
      </w:r>
    </w:p>
    <w:p>
      <w:pPr>
        <w:spacing w:after="100"/>
      </w:pPr>
      <w:r>
        <w:rPr>
          <w:b/>
        </w:rPr>
        <w:t xml:space="preserve">Finanzas y equipo.</w:t>
      </w:r>
      <w:r>
        <w:t xml:space="preserve"> Ingresos +10 % en 2025 y guía de 2026 subida dos veces (732-738 M), pero el crecimiento lleva cuatro años frenándose y la empresa guía un 7-8 % de facturación en el segundo semestre [3, 8]. La dirección cumple su guía desde 2021, pero ha vendido 23,5 M USD de acciones en la subida y han salido el responsable de ETM y el de seguridad [8, 22].</w:t>
      </w:r>
    </w:p>
    <w:p>
      <w:pPr>
        <w:spacing w:after="100"/>
      </w:pPr>
      <w:r>
        <w:rPr>
          <w:b/>
        </w:rPr>
        <w:t xml:space="preserve">Valoración.</w:t>
      </w:r>
      <w:r>
        <w:t xml:space="preserve"> El DCF da 120,49 USD; para justificar el precio, Qualys tendría que crecer un 14,9 % anual siete años, el doble de lo que proyectamos y por encima de su mejor época. A 29,1 veces nuestro BPA de 2027e cotiza en su mediana histórica adelantada (27,8 veces), así que la regla a 12 meses da poco recorrido: el objetivo sale de mantener el múltiplo, no del valor. Este es el filtro que falla, como se esperaba a ≈22 veces el beneficio ajustado.</w:t>
      </w:r>
    </w:p>
    <w:p>
      <w:pPr>
        <w:spacing w:after="100"/>
      </w:pPr>
      <w:r>
        <w:rPr>
          <w:b/>
        </w:rPr>
        <w:t xml:space="preserve">Riesgos y catalizadores.</w:t>
      </w:r>
      <w:r>
        <w:t xml:space="preserve"> La IA es el riesgo y la oportunidad a la vez (exposición alta, sentido mixto): los modelos que encuentran fallos pueden volver imprescindible la priorización y el parcheo de Qualys o hacer innecesario su escáner; las suites de Microsoft, CrowdStrike y Wiz ya lo incluyen gratis (bajista −26 % sobre el DCF). El sentimiento ha pasado del pánico de abril a la euforia de octubre sin que las cifras cambien más de un 2 %: señal de prudencia. Catalizadores: 3T26 el 3-nov y la guía de 2027 en febrero.</w:t>
      </w:r>
    </w:p>
    <w:p>
      <w:pPr>
        <w:spacing w:after="100"/>
      </w:pPr>
      <w:r>
        <w:rPr>
          <w:b/>
        </w:rPr>
        <w:t xml:space="preserve">Qué cambiaría la decisión.</w:t>
      </w:r>
      <w:r>
        <w:t xml:space="preserve"> Compraríamos por debajo de 119,16 USD y venderíamos por encima de 234,42. Revisaríamos al alza si la guía de 2027 supera el 12 % con expansión neta del 107 %; a la baja si la expansión neta cae del 103 %.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210,98 USD</w:t>
      </w:r>
      <w:r>
        <w:t xml:space="preserve"> (rentabilidad +11,3 % (base +7,4 %)) · Valor intrínseco: 119,16 USD (-37,2 % sobre 189,63) · con la prima implícita del mercado: 138,94 (-26,7 %)</w:t>
      </w:r>
    </w:p>
    <w:p>
      <w:pPr>
        <w:spacing w:after="100"/>
      </w:pPr>
      <w:r>
        <w:t xml:space="preserve">Qualys es el especialista más rentable de la gestión de vulnerabilidades: 669 M USD de ingresos en 2025, un 33 % de margen operativo GAAP frente a casi cero en Tenable y Rapid7, caja neta de 703,5 M y un flujo de caja libre del 152 % del beneficio, todo devuelto con recompras [2, 4, 11, 12]. La base es fiel (expansión neta del 105 %) y el coste, bajo (70 % de la plantilla en la India).</w:t>
      </w:r>
    </w:p>
    <w:p>
      <w:pPr>
        <w:spacing w:after="100"/>
      </w:pPr>
      <w:r>
        <w:t xml:space="preserve">El precio, 189,63 USD tras subir un 155 % desde abril, descuenta mucho: 29,1 veces nuestro beneficio contable de 2027e y, en el DCF inverso, un crecimiento del 14,9 % anual durante siete años, cuando la empresa guía un 7-8 % de facturación para el segundo semestre [8, 23].</w:t>
      </w:r>
    </w:p>
    <w:p>
      <w:pPr>
        <w:spacing w:after="100"/>
      </w:pPr>
      <w:r>
        <w:t xml:space="preserve">El mercado cree que la IA convierte a Qualys en imprescindible para priorizar y parchear la avalancha de vulnerabilidades. Puede ser, pero hoy son pruebas y no contratos, y la misma IA y las suites de Microsoft, CrowdStrike y Wiz amenazan su producto central. Para invertir hay que creer en la reaceleración; nosotros proyectamos un 8 % y no la pagamos.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6,19 = 138,66 · 28,4x × 7,17 = 203,63 · 38,4x × 7,76 = 297,98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181,03 (nuestro base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 / -53,1 %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119,16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119,16 y 234,42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234,42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119,16 USD (valor intrínseco), con el resto igual pasaríamos a Comprar.</w:t>
      </w:r>
    </w:p>
    <w:p>
      <w:pPr>
        <w:pStyle w:val="ListParagraph"/>
        <w:numPr>
          <w:ilvl w:val="0"/>
          <w:numId w:val="2"/>
        </w:numPr>
        <w:spacing w:after="60"/>
      </w:pPr>
      <w:r>
        <w:t xml:space="preserve">Si el precio supera 234,42 USD, pasaríamos a Vender.</w:t>
      </w:r>
    </w:p>
    <w:p>
      <w:pPr>
        <w:pStyle w:val="ListParagraph"/>
        <w:numPr>
          <w:ilvl w:val="0"/>
          <w:numId w:val="2"/>
        </w:numPr>
        <w:spacing w:after="60"/>
      </w:pPr>
      <w:r>
        <w:t xml:space="preserve">Si la guía de 2027 (febrero) es de un crecimiento por encima del 12 % con expansión neta del 107 % o más, subiríamos el crecimiento del DCF y revisaríamos la recomendación.</w:t>
      </w:r>
    </w:p>
    <w:p>
      <w:pPr>
        <w:pStyle w:val="ListParagraph"/>
        <w:numPr>
          <w:ilvl w:val="0"/>
          <w:numId w:val="2"/>
        </w:numPr>
        <w:spacing w:after="60"/>
      </w:pPr>
      <w:r>
        <w:t xml:space="preserve">Si la expansión neta baja del 103 % o el peso de VMDR en las contrataciones cae por debajo del 45 % sin que ETM compense, recortaríamos el BPA de 2028e un 10 %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ha cambiado el ciclo: más vulnerabilidades, plazos de 72 horas y una plataforma que prioriza y corrige; crecimiento de dos cifras durante años, como el 14,9 % del DCF inverso, y un múltiplo de 29 veces el beneficio contable sostenido.</w:t>
      </w:r>
    </w:p>
    <w:p>
      <w:pPr>
        <w:keepNext/>
        <w:spacing w:after="100"/>
      </w:pPr>
      <w:r>
        <w:rPr>
          <w:b/>
          <w:bCs/>
        </w:rPr>
        <w:t xml:space="preserve">Lo que creemos nosotros.</w:t>
      </w:r>
    </w:p>
    <w:p>
      <w:pPr>
        <w:spacing w:after="100"/>
      </w:pPr>
      <w:r>
        <w:t xml:space="preserve">Un negocio excelente que crece al 8-10 %, con la IA como oportunidad y amenaza a la vez. Proyectamos un 8,5 % en 2027 y un 8 % en 2028, en línea con el consenso, y un margen contable estable del 35-36 %.</w:t>
      </w:r>
    </w:p>
    <w:p>
      <w:pPr>
        <w:keepNext/>
        <w:spacing w:after="100"/>
      </w:pPr>
      <w:r>
        <w:rPr>
          <w:b/>
          <w:bCs/>
        </w:rPr>
        <w:t xml:space="preserve">Por qué podemos tener razón.</w:t>
      </w:r>
    </w:p>
    <w:p>
      <w:pPr>
        <w:spacing w:after="100"/>
      </w:pPr>
      <w:r>
        <w:t xml:space="preserve">La propia empresa no ve aún aceleración en el ciclo de venta y guía un 7-8 % de facturación en el segundo semestre; el peso de VMDR baja y las suites lo incluyen gratis. El mercado ha pasado del pánico a la euforia en seis meses sin que las cifras cambien más de un 2 %.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margen operativo GAAP del 33,2 % en 2025 y ROIC sin ingresos diferidos del 63 % (estimación propia), frente a Tenable (ROIC 5,8 %) [11].</w:t>
      </w:r>
    </w:p>
    <w:p>
      <w:pPr>
        <w:pStyle w:val="ListParagraph"/>
        <w:numPr>
          <w:ilvl w:val="0"/>
          <w:numId w:val="2"/>
        </w:numPr>
        <w:spacing w:after="60"/>
      </w:pPr>
      <w:r>
        <w:rPr>
          <w:b/>
        </w:rPr>
        <w:t xml:space="preserve">Caja neta de 703,5 M USD y sin deuda</w:t>
      </w:r>
      <w:r>
        <w:t xml:space="preserve"> (11 % del valor en bolsa) [4].</w:t>
      </w:r>
    </w:p>
    <w:p>
      <w:pPr>
        <w:pStyle w:val="ListParagraph"/>
        <w:numPr>
          <w:ilvl w:val="0"/>
          <w:numId w:val="2"/>
        </w:numPr>
        <w:spacing w:after="60"/>
      </w:pPr>
      <w:r>
        <w:rPr>
          <w:b/>
        </w:rPr>
        <w:t xml:space="preserve">Historial de guía</w:t>
      </w:r>
      <w:r>
        <w:t xml:space="preserve">: ha superado su guía de BPA GAAP cada año desde 2021 y la ha subido dos veces en 2026 [6].</w:t>
      </w:r>
    </w:p>
    <w:p>
      <w:pPr>
        <w:pStyle w:val="ListParagraph"/>
        <w:numPr>
          <w:ilvl w:val="0"/>
          <w:numId w:val="2"/>
        </w:numPr>
        <w:spacing w:after="60"/>
      </w:pPr>
      <w:r>
        <w:rPr>
          <w:b/>
        </w:rPr>
        <w:t xml:space="preserve">Expansión neta al alza</w:t>
      </w:r>
      <w:r>
        <w:t xml:space="preserve">: 105 % (103 % a principios de año) y 107 % en los clientes con ETM [8].</w:t>
      </w:r>
    </w:p>
    <w:p>
      <w:pPr>
        <w:pStyle w:val="ListParagraph"/>
        <w:numPr>
          <w:ilvl w:val="0"/>
          <w:numId w:val="2"/>
        </w:numPr>
        <w:spacing w:after="60"/>
      </w:pPr>
      <w:r>
        <w:rPr>
          <w:b/>
        </w:rPr>
        <w:t xml:space="preserve">Candidata a una compra</w:t>
      </w:r>
      <w:r>
        <w:t xml:space="preserve">: exploró su venta en 2024 y el capital riesgo paga primas del 44 % en el sector [18, 28].</w:t>
      </w:r>
    </w:p>
    <w:p>
      <w:pPr>
        <w:pStyle w:val="Heading2"/>
      </w:pPr>
      <w:r>
        <w:t xml:space="preserve">En contra</w:t>
      </w:r>
    </w:p>
    <w:p>
      <w:pPr>
        <w:pStyle w:val="ListParagraph"/>
        <w:numPr>
          <w:ilvl w:val="0"/>
          <w:numId w:val="2"/>
        </w:numPr>
        <w:spacing w:after="60"/>
      </w:pPr>
      <w:r>
        <w:rPr>
          <w:b/>
        </w:rPr>
        <w:t xml:space="preserve">El precio exige un 14,9 % de crecimiento anual</w:t>
      </w:r>
      <w:r>
        <w:t xml:space="preserve"> en el DCF inverso; proyectamos un 6,6 % en los años no fijos.</w:t>
      </w:r>
    </w:p>
    <w:p>
      <w:pPr>
        <w:pStyle w:val="ListParagraph"/>
        <w:numPr>
          <w:ilvl w:val="0"/>
          <w:numId w:val="2"/>
        </w:numPr>
        <w:spacing w:after="60"/>
      </w:pPr>
      <w:r>
        <w:rPr>
          <w:b/>
        </w:rPr>
        <w:t xml:space="preserve">Valor intrínseco de 119,16 USD, un 37,2 % por debajo del precio</w:t>
      </w:r>
      <w:r>
        <w:t xml:space="preserve">.</w:t>
      </w:r>
    </w:p>
    <w:p>
      <w:pPr>
        <w:pStyle w:val="ListParagraph"/>
        <w:numPr>
          <w:ilvl w:val="0"/>
          <w:numId w:val="2"/>
        </w:numPr>
        <w:spacing w:after="60"/>
      </w:pPr>
      <w:r>
        <w:rPr>
          <w:b/>
        </w:rPr>
        <w:t xml:space="preserve">Pagos en acciones del 11,5 % de las ventas</w:t>
      </w:r>
      <w:r>
        <w:t xml:space="preserve">: el BPA ajustado es un 33 % mayor que el GAAP [2].</w:t>
      </w:r>
    </w:p>
    <w:p>
      <w:pPr>
        <w:pStyle w:val="ListParagraph"/>
        <w:numPr>
          <w:ilvl w:val="0"/>
          <w:numId w:val="2"/>
        </w:numPr>
        <w:spacing w:after="60"/>
      </w:pPr>
      <w:r>
        <w:rPr>
          <w:b/>
        </w:rPr>
        <w:t xml:space="preserve">VMDR pierde peso</w:t>
      </w:r>
      <w:r>
        <w:t xml:space="preserve"> (49 % de las contrataciones, 54 % hace un año) frente a suites que lo regalan [8].</w:t>
      </w:r>
    </w:p>
    <w:p>
      <w:pPr>
        <w:pStyle w:val="ListParagraph"/>
        <w:numPr>
          <w:ilvl w:val="0"/>
          <w:numId w:val="2"/>
        </w:numPr>
        <w:spacing w:after="60"/>
      </w:pPr>
      <w:r>
        <w:rPr>
          <w:b/>
        </w:rPr>
        <w:t xml:space="preserve">La dirección vende</w:t>
      </w:r>
      <w:r>
        <w:t xml:space="preserve">: 23,5 M USD en 12 meses, el consejero delegado ≈108.700 acciones [22].</w:t>
      </w:r>
    </w:p>
    <w:p>
      <w:pPr>
        <w:pStyle w:val="Heading2"/>
      </w:pPr>
      <w:r>
        <w:t xml:space="preserve">Qué tiene que pasar para que la tesis funcione</w:t>
      </w:r>
    </w:p>
    <w:p>
      <w:pPr>
        <w:spacing w:after="100"/>
      </w:pPr>
      <w:r>
        <w:t xml:space="preserve">La tesis del mercado depende de que la demanda creada por la IA se convierta en contratos. La señal está en la facturación corriente y la expansión neta: si en el 3T26 (3-nov) y el 4T26 la facturación crece por encima del 10 % y la expansión neta pasa del 106 %, la reaceleración es real; si la facturación se queda en el 7-8 % guiado y la expansión neta vuelve al 103-104 %, el múltiplo de 29 veces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corriente calculada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(2T26); LTM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expansión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clientes compran más módulos o se van a las suites.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ETM/CSAM en las contrataciones nuevas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su director general se ha 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que la dirección excluye.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Dejan de bajar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BPA en el escenario base.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 / 21,6x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32,9x / 29,9x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Qualys nació en 1999 en California como uno de los primeros servicios de seguridad en la nube: en 2000 lanzó su escáner de vulnerabilidades como suscripción, cuando el resto vendía programas instalados [1]. Philippe Courtot la dirigió de 2001 a 2021 y la sacó a bolsa en 2012; la empresa amplió la plataforma (cumplimiento, inventario, aplicaciones web, nube) sin grandes compras. Tras la muerte de Courtot en 2021, Sumedh Thakar, ingeniero de la casa desde 2003, pasó a primer ejecutivo [20]. Desde entonces el crecimiento se ha frenado del 17 % de 2022 al 10 % de 2025 y la empresa ha girado hacia la gestión del riesgo (ETM) y la corrección automática (parches). En noviembre de 2024 exploró su venta [18] y en abril de 2026 la IA de Anthropic la hundió en bolsa antes de una recuperación del 150 % [16,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en 2000 lanza su primer servicio en la nube, la gestión de vulnerabilidades (VM)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(QLYS)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consejero delegado histórico, Philippe Courtot; Sumedh Thakar (en la empresa desde 2003) pasa a primer ejecutivo en abril.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TotalCloud, su plataforma de protección de aplicaciones nativas de la nube (CNAPP)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le impone 450.000 USD por minimizar en sus informes el efecto del ataque a SolarWinds [17]; en noviembre la prensa informa de que explora su venta tras recibir interés comprador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Enterprise TruRisk Management (ETM), que reúne la exposición de riesgo de sensores propios y de terceros, y TruConfirm, que valida si una vulnerabilidad es explotable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Abril: la presentación de Claude Mythos y Project Glasswing de Anthropic hunde a las empresas de vulnerabilidades (Qualys −13 % en un día) [15, 16]; después entra en Glasswing como socio y consigue FedRAMP High para TotalCloud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Qualys vende suscripciones a una plataforma en la nube (Enterprise TruRisk) que descubre los activos informáticos de una organización (servidores, portátiles, nube, contenedores, OT), detecta sus vulnerabilidades y errores de configuración, los prioriza por riesgo y ayuda a corregirlos [1]. El producto central es VMDR (gestión, detección y respuesta de vulnerabilidades), con el 49 % de las contrataciones de los últimos doce meses; crecen ETM (gestión unificada del riesgo con datos propios y de terceros, 12 %), la gestión de parches (9 %) y TotalCloud, su protección de la nube (5 %) [8]. Usa un único agente y una base de datos común, lo que abarata añadir módulos. Tiene más de 10.000 clientes de suscripción, incluida la mayoría del Forbes Global 100 [3]. El 56 % de los ingresos viene de EE. UU. y el 54 % pasa ya por socios (MSSP, nubes, revendedores) [1, 8].</w:t>
      </w:r>
    </w:p>
    <w:p>
      <w:pPr>
        <w:pStyle w:val="Heading2"/>
      </w:pPr>
      <w:r>
        <w:t xml:space="preserve">Cómo gana dinero</w:t>
      </w:r>
    </w:p>
    <w:p>
      <w:pPr>
        <w:spacing w:after="100"/>
      </w:pPr>
      <w:r>
        <w:t xml:space="preserve">Cobra suscripciones anuales por adelantado según el número de activos o aplicaciones vigilados: casi todo el ingreso es recurrente y se reconoce linealmente, y los clientes financian el circulante (401 M USD de ingresos diferidos corrientes en 2025) [1]. El margen bruto contable es del 83 % y el operativo GAAP del 33 % en 2025 [6]: el coste es sobre todo personal, el 70 % en la India, lo que da una estructura de costes muy baja para el sector [1]. El crecimiento sale de vender más módulos a la base (tasa de expansión neta del 105 % en junio de 2026) y de clientes nuevos, cada vez más a través del canal (+22 % en el 2T26 frente a un directo plano) [4, 8]. Los pagos en acciones (77 M USD, 11,5 % de las ventas en 2025) son el gran coste que no se ve en las cifras ajustadas [2]. Sin estacionalidad relevante en ingresos; la facturación es más fuerte en el cuarto trimestre.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Socios y canal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Socios y canal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diversificada: ningún cliente es significativo y 229 clientes pagan más de 500.000 USD al año (+8 %) [8]. Los contratos son anuales y renovables, con algunos plurianuales pagados por adelantado [4]. La empresa no publica la retención bruta y en la conferencia del 2T26 no la dio [8]; la tasa de expansión neta pasó del 103 % de 2024-2025 al 105 % en junio de 2026, y del 107 % en los clientes con ETM [1, 4, 8]. El poder de precios es moderado: la plataforma cobra por activo y QFlex, el nuevo nivel premium, intenta subir el gasto por cliente, pero el crecimiento de un dígito alto en un mercado que crece al 6,5 % dice que la ganancia de cuota es pequeña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expansión neta (ARR, divisa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103 % en diciembre de 2024 y de 2025 [1, 4]; la cohorte con ETM o CSAM, 107 %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corriente calculada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+10 % (8,5 % el trimestre anterior); la empresa supone solo +7-8 % en el segundo semestre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más de 500.000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la conferencia del 2T26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canal de socios (% del total,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+22 % y directo plano en el 2T26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VMDR en las contrataciones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compensan ETM/CSAM (12 % de las contrataciones totales), parches (9 %) y TotalCloud (5 %)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77,0 M USD en 2025; 38,2 M en el 1S26 (10,7 %)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seguridad y gestión de vulnerabilidades: descubrimiento de activos, escaneo, priorización y corrección de vulnerabilidades y configuraciones, incluida la gestión continua de la exposición (CTEM) y la parte de postura de seguridad de la nube. Ámbito mundial. Usamos MarketsandMarkets (17.550 M USD en 2025, +6,5 % anual hasta 2030) [9], que coincide con P&amp;S Intelligence (17.600 M, +6,7 %) [10]; Qualys factura 669 M, un 3,8 % de ese mercado. Excluye la protección de endpoint y de red, donde Qualys apenas está.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≈17.550 M USD en 2025 (seguridad y gestión de vulnerabilidades, mundial) [9]; P&amp;S Intelligence da 17.600 M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vulnerabilidades publicadas y descubiertas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frontera (Claude Mythos, Project Glasswing) encuentran fallos más deprisa; la CISA exige parchear en 72 horas los críticos: más demanda de priorización y parcheo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plataformas de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CrowdStrike, Palo Alto, Microsoft y Wiz (Google) incluyen la gestión de exposición en sus suites; el peso de VMDR en las contrataciones de Qualys bajó del 54 % al 49 % en un año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a contenedores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la superficie a vigilar, pero en la nube manda Wiz; TotalCloud solo pesa el 5 % de las contrataciones de Qualys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seguros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FedRAMP High para TotalCloud y acuerdos con aseguradoras que rebajan primas a quien demuestra higiene (Converge)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habla de ciclos de venta más largos desde 2023 y de presión de presupuestos en EE. UU. y Europa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Tenable, Rapid7, CrowdStrike, Palo Alto, Microsoft y Wiz compiten por el mismo presupuesto; Rapid7 cotiza a 1,3 veces ventas y lucha por clientes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que consolidan proveedores y negocian a la baja; la base es muy diversificada y ningún cliente pesa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sobre todo de personal en la India y centros de datos propios y de nubes públicas; sin insumos críticos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escribir escáneres y agentes; pero la base de datos de vulnerabilidades, el agente desplegado en millones de equipos y las certificaciones (FedRAMP) cuestan años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incluidas «gratis» en las licencias de Microsoft E5 o en el agente de endpoint de CrowdStrike; y modelos de IA que encuentran y corrigen fallos directamente [15, 16].</w:t>
            </w:r>
          </w:p>
        </w:tc>
      </w:tr>
    </w:tbl>
    <w:p>
      <w:pPr>
        <w:spacing w:after="160" w:before="0"/>
      </w:pPr>
    </w:p>
    <w:p>
      <w:pPr>
        <w:pStyle w:val="Heading2"/>
      </w:pPr>
      <w:r>
        <w:t xml:space="preserve">Ciclo</w:t>
      </w:r>
    </w:p>
    <w:p>
      <w:pPr>
        <w:spacing w:after="100"/>
      </w:pPr>
      <w:r>
        <w:t xml:space="preserve">El gasto en ciberseguridad aguanta los ciclos: en 2020 se aceleró y en 2022 cayeron los múltiplos, no las ventas (Qualys creció un 19 %) [2]. Desde 2023 los ciclos de venta son más largos [4]. En 2026 la IA ha creado urgencia (encuestas de directores de sistemas citadas por KeyBanc y JPMorgan) pero, según la propia empresa, todavía son conversaciones y pruebas, no contratos [8].</w:t>
      </w:r>
    </w:p>
    <w:p>
      <w:pPr>
        <w:pStyle w:val="Heading2"/>
      </w:pPr>
      <w:r>
        <w:t xml:space="preserve">Regulación</w:t>
      </w:r>
    </w:p>
    <w:p>
      <w:pPr>
        <w:spacing w:after="100"/>
      </w:pPr>
      <w:r>
        <w:t xml:space="preserve">La directiva de la CISA de 2026 obliga a las agencias federales a corregir las vulnerabilidades críticas en 72 horas y FedRAMP High abre a TotalCloud el mercado federal [3, 8]. La SEC exige desde 2023 informar de los incidentes de ciberseguridad materiales; Qualys pagó 450.000 USD en 2024 por minimizar el de SolarWinds [17]. En Europa, NIS2 y DORA (2024-2025) obligan a gestionar vulnerabilidades y proveedores, lo que sostiene la demanda. Las leyes de privacidad (RGPD, leyes estatales) afectan a los datos que recoge el agente [1].</w:t>
      </w:r>
    </w:p>
    <w:p>
      <w:pPr>
        <w:pStyle w:val="Heading2"/>
      </w:pPr>
      <w:r>
        <w:t xml:space="preserve">Tendencias y disrupción</w:t>
      </w:r>
    </w:p>
    <w:p>
      <w:pPr>
        <w:spacing w:after="100"/>
      </w:pPr>
      <w:r>
        <w:t xml:space="preserve">La tendencia que manda es la IA en las dos direcciones: los modelos de frontera encuentran vulnerabilidades a una velocidad que ningún equipo humano puede parchear, y eso puede hacer más valiosa una plataforma que prioriza y corrige (ETM, parches, TruConfirm, Agent Val) o más prescindible el escaneo, si el propio modelo encuentra y arregla [15, 16]. La segunda es la consolidación: los clientes compran plataformas (CrowdStrike, Palo Alto, Microsoft) y Wiz domina la nube tras su compra por Google [1]. Qualys responde con una plataforma abierta a datos de terceros (ETM) y con el canal de socios.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especialistas cotizados de gestión de vulnerabilidades (con Tenable); ≈3,8 % del mercado mundial de seguridad y gestión de vulnerabilidades y el más rentable del grupo [9,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vulnerabilidades (Nessus, Tenable One); más grande en ingresos y casi sin beneficio contable (EBITDA del 5,2 %)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Vulnerabilidades y detección gestionada; crecimiento casi nulo y cotiza a 1,3 veces ventas: el rival que pierde cuota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CRWD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exposición desde su agente de endpoint (Falcon Exposure Management): la amenaza de «gratis dentro de la suite»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Cortex y Prisma Cloud (CNAPP) compiten con TotalCloud y con la consolidación de plataformas [1,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 (Google)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seguridad de la nube (CNAPP); comprada por Google, gana terreno en el inventario de riesgos de la nube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Microsoft (Defender Vulnerability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vulnerabilidades incluida en las licencias E5: presión de precio en los clientes medianos.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datos de vulnerabilidades mejora con más clientes, pero no impide que un rival ofrezca lo mismo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 desplegado en todos los equipos, informes de cumplimiento e integraciones; la expansión neta del 105 % y ningún aviso de bajas en VMDR lo confirman [A4, A8].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patentes, FedRAMP High y la marca entre los grandes clientes (mayoría del Forbes Global 100) [B1,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70 % de la plantilla en la India y una plataforma única: margen operativo GAAP del 33 % frente a cerca de cero en Tenable, Rapid7 y CrowdStrike [A1, B5, B6,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17.500 M USD con varios jugadores rentables solo a gran escala; la escala de las suites es mayor [B2].</w:t>
            </w:r>
          </w:p>
        </w:tc>
      </w:tr>
    </w:tbl>
    <w:p>
      <w:pPr>
        <w:spacing w:after="160" w:before="0"/>
      </w:pPr>
    </w:p>
    <w:p>
      <w:pPr>
        <w:pStyle w:val="Heading2"/>
      </w:pPr>
      <w:r>
        <w:t xml:space="preserve">Amenazas</w:t>
      </w:r>
    </w:p>
    <w:p>
      <w:pPr>
        <w:spacing w:after="100"/>
      </w:pPr>
      <w:r>
        <w:t xml:space="preserve">Tres amenazas, de mayor a menor probabilidad: (1) la consolidación en suites (Microsoft Defender en las licencias E5, CrowdStrike Falcon Exposure Management, Palo Alto Cortex), que convierte el escaneo en una función incluida y presiona precios en los clientes medianos (probabilidad alta); (2) la IA, que puede automatizar el hallazgo y la corrección de fallos dentro del propio entorno de desarrollo o del sistema operativo (media, a 3-5 años); (3) Wiz con el respaldo de Google en la nube, donde TotalCloud no despega (media) [1, 8, 15,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2018-2025: ingresos </w:t>
      </w:r>
      <w:r>
        <w:rPr>
          <w:b/>
          <w:bCs/>
        </w:rPr>
        <w:t xml:space="preserve">13,3 %</w:t>
      </w:r>
      <w:r>
        <w:t xml:space="preserve">, EBITDA </w:t>
      </w:r>
      <w:r>
        <w:rPr>
          <w:b/>
          <w:bCs/>
        </w:rPr>
        <w:t xml:space="preserve">16,9 %</w:t>
      </w:r>
      <w:r>
        <w:t xml:space="preserve">, BPA </w:t>
      </w:r>
      <w:r>
        <w:rPr>
          <w:b/>
          <w:bCs/>
        </w:rPr>
        <w:t xml:space="preserve">21,8 %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13,3 % anual en 2018-2025, todo orgánico (compras de menos de 14 M USD al año), pero el ritmo se ha frenado del 19 % de 2022 al 10 % de 2024-2025 y al 9-10 % que guía para 2026 [2, 3]. El margen EBITDA contable subió del 28 % de 2018 al 35,3 % de 2025 y el operativo del 18 % al 33,2 %, por la escala y por llevar personal a la India; el bruto se mantiene en el 83 % [1]. El BPA GAAP pasó de 1,37 a 5,44 USD (+21,8 % anual), con ayuda de las recompras: las acciones diluidas bajaron de 41,9 a 36,5 M [2]. En el 1S26 los ingresos suben un 10,4 % y el beneficio operativo un 19 %, con la guía de 2026 subida dos veces (ingresos de 732-738 M y BPA GAAP de 5,76-5,90) [3, 5].</w:t>
      </w:r>
    </w:p>
    <w:p>
      <w:pPr>
        <w:pStyle w:val="Heading2"/>
      </w:pPr>
      <w:r>
        <w:t xml:space="preserve">Ajustes y partidas no recurrentes</w:t>
      </w:r>
    </w:p>
    <w:p>
      <w:pPr>
        <w:spacing w:after="100"/>
      </w:pPr>
      <w:r>
        <w:t xml:space="preserve">Usamos cifras GAAP: el EBITDA y el BPA del informe ya restan los pagos en acciones (77,0 M USD en 2025, el 11,5 % de las ventas; 38,2 M en el 1S26) [2, 3]. La empresa publica un EBITDA ajustado de 313,4 M en 2025 (46,8 %) y un BPA ajustado de 7,74-7,88 para 2026, que suman esos pagos y la amortización de intangibles comprados (2,6 M) [3, 6]: son un 33 % más altos que los GAAP. Los pagos en acciones son recurrentes y diluyen (la empresa gasta además 25 M al año en retenciones fiscales de esas acciones), así que los tratamos como coste. No hay partidas no recurrentes relevantes; en el 1S26 hubo un deterioro de inversiones no cotizadas de 2,0 M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(4-ago) la dirección presentó a Qualys como plataforma de «operaciones de riesgo» nativa de IA: ETM y CSAM ya son el 12 % de las contrataciones (9 % hace un año) y el 14 % de las nuevas, y la gestión de parches el 9 % y el 16 % [8]. La facturación corriente creció un 16 % y la expansión neta subió al 105 % (104 % en el 1T y 103 % a principios de año); el canal creció un 22 % [4, 8]. Sobre Mythos, el mensaje cambió respecto al 1T (5-may), cuando la caída de la acción dominaba las preguntas: ahora hay «conversaciones, pruebas y cartera», pero la directora financiera dijo que no ven aceleración del ciclo de venta y la guía supone solo un 7-8 % de facturación corriente en el segundo semestre [5, 8]. Los analistas preguntaron por el calendario del gasto ligado a Mythos, la mezcla de parches frente a ETM, si la guía es prudente y el negocio federal. La dirección evitó cuantificar la demanda de Mythos, la retención bruta, el tamaño del negocio federal y cómo cobraría si se duplican las vulnerabilidades; tampoco nombró a ningún competidor ni explicó la salida del responsable de seguridad y del director general de ETM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703,5 M USD de caja y valores negociables a 30-jun-2026, sin deuda [4]. El circulante comercial es negativo (−37 % de las ventas en 2025) porque los clientes pagan por adelantado: el crecimiento genera caja. Las cuentas a cobrar suben más que las ventas (93 días en 2025 frente a ≈82 en 2023), por el mayor peso del canal y de la facturación del cuarto trimestre [2]. El patrimonio neto es bajo (561 M) porque la empresa ha recomprado 1.411 M USD de acciones desde 2018, más que todo su flujo de caja libre (1.497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1.497</w:t>
      </w:r>
      <w:r>
        <w:t xml:space="preserve">, conversión </w:t>
      </w:r>
      <w:r>
        <w:rPr>
          <w:b/>
          <w:bCs/>
        </w:rPr>
        <w:t xml:space="preserve">163 %</w:t>
      </w:r>
      <w:r>
        <w:t xml:space="preserve"> del beneficio neto; adquisiciones 29, dividendos 0, recompras 1.411.</w:t>
      </w:r>
    </w:p>
    <w:p>
      <w:pPr>
        <w:spacing w:after="100"/>
      </w:pPr>
      <w:r>
        <w:t xml:space="preserve">La conversión de beneficio en caja es excelente: el flujo de caja libre de 2025 fue de 300,7 M USD, el 152 % del beneficio neto, porque los pagos en acciones (77 M) no son caja y los ingresos diferidos crecen con las ventas [2]. En el 1S26 la caja libre subió un 7 %, a 149,5 M [3]. El capex es mínimo (8,7 M en 2025 con las comisiones activadas, 1,3 % de las ventas; guía de 8-12 M para 2026) y casi todo es de mantenimiento: el centro de datos se renueva y la inversión de crecimiento es personal, que va por la cuenta de resultados [8]. Pero la caja libre exagera la que queda al accionista: hay que restar los 77 M de pagos en acciones como coste económico; la caja libre «después de pagos en acciones» es de ≈224 M, un 3,4 % del valor en bolsa.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conservadoras: Grant Thornton da opinión favorable sobre las cuentas y el control interno de 2025 [1]. No se capitaliza I+D; solo las comisiones de ventas nuevas (26,3 M de saldo, amortizadas en cinco años), que sumamos al capex [1, 2]. El riesgo contable está en los pagos en acciones: 11,5 % de las ventas, que la dirección excluye de todas sus métricas y de los objetivos de remuneración (EBITDA ajustado) [20]. Los indicadores del motor son buenos: Altman Z de 8,67 (zona segura) y Piotroski F de 8 sobre 9; el Beneish M de −2,90 no apunta a manipulación. El tipo impositivo efectivo bajó al 19,7 % en 2025 por la deducción FDII y créditos de I+D, y la empresa guía un 21 % en 2026 [3]. El aumento de las cuentas a cobrar es la única señal que vigilar.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del 11,5 % de las ventas, excluidos de las métricas ajustadas y de los objetivos de remuneración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(7,81 en 2026e) es un 33 % mayor que el GAAP (5,83); usamos el GAAP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 al alza (93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el paso al canal y la facturación por adelantado; vigilar en el 3T26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Sanción de la SEC por la información sobre SolarWinds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450.000 USD; asunto cerrado, pero muestra la tentación de minimizar incidentes [17].</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 M en 2025;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El ROIC del motor no aplica: el capital invertido es negativo (−135,7 M USD en 2025) porque los clientes financian el negocio con 417 M de ingresos diferidos y la caja supera al patrimonio [2]. Calculado a mano (estimación propia), con el capital operativo sin contar los ingresos diferidos (281,7 M), el NOPAT de 2025 (178 M, con el 19,7 % de impuesto) da un ROIC del 63 %, frente a un WACC del 10,71 %: más de 50 puntos de diferencia. El ROE es del 38,6 % [27]. El ROIC sale del margen (33 % operativo), no de la rotación: el negocio casi no necesita capital. Frente a los competidores, Qualys es la excepción rentable: Tenable tiene un ROIC del 5,8 % y Rapid7 del 2,6 % [11, 12]. Sin compras relevantes, el fondo de comercio es de solo 7,4 M y el ROIC sin él es el mismo.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250,3 M USD + valores negociables a corto 176,0 M y a largo 277,2 M = 703,5 M USD a 30-jun-2026; sin deuda financiera ni líneas de crédito dispuestas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sin rating y sin covenants [4]. Arrendamientos operativos de oficinas por 53,4 M USD (vida media 5,3 años), dentro del EBITDA en US GAAP y fuera del puente [4]. Ingresos diferidos de 402,3 M a 30-jun-2026 (388,1 corrientes y 14,2 no corrientes): son una obligación de servicio, no de caja, y financian el circulante [3]. Activos por impuestos diferidos netos de 69,6 M [3]. Sin pensiones ni litigios materiales declarados; la sanción de la SEC de 2024 (450.000 USD) está pagada [17]. Coberturas de divisa sobre EUR, GBP e INR, sin efecto material [4].</w:t>
      </w:r>
    </w:p>
    <w:p>
      <w:pPr>
        <w:pStyle w:val="Heading1"/>
      </w:pPr>
      <w:r>
        <w:t xml:space="preserve">12. Asignación de capital</w:t>
      </w:r>
    </w:p>
    <w:p>
      <w:pPr>
        <w:spacing w:after="100"/>
      </w:pPr>
      <w:r>
        <w:t xml:space="preserve">Sin dividendo. Toda la caja libre (y más) va a recomprar acciones: el consejo aprueba 100-200 M USD cada año desde 2018 (1.600 M en total) y quedaban 229,8 M a 30-jun-2026 [4]. En el 1S26 recompró 1,30 M de acciones por 130,7 M (a ≈100 USD de media, cerca de los mínimos) y 797.000 en el 2T por 76,8 M [4, 8]. La dirección da prioridad a invertir en producto y en ventas; las compras han sido pequeñas y tecnológicas.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tecnológicos (detección y respuesta)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plataforma; sin deterioros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tecnología (inventario y seguridad de contenedores,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solo 7,4 M y sin deterioros: se integraron como funciones [2].</w:t>
            </w:r>
          </w:p>
        </w:tc>
      </w:tr>
    </w:tbl>
    <w:p>
      <w:pPr>
        <w:spacing w:after="160" w:before="0"/>
      </w:pPr>
    </w:p>
    <w:p>
      <w:pPr>
        <w:spacing w:after="100"/>
      </w:pPr>
      <w:r>
        <w:t xml:space="preserve">Buena asignación de capital por el lado de la inversión (casi nada en compras, 29 M desde 2018) y discutible por el de la recompra: de 2018 a 2025 recompró 1.411 M USD, el 94 % del flujo de caja libre, pero las acciones diluidas solo bajaron de 41,9 a 36,5 M (−13 %) porque una parte se va en compensar los pagos en acciones [2]. Recompró caro en 2021-2023 (a 110-200 USD) y barato en el 1S26 (≈100 USD). Con la acción a 190 USD y 29 veces el beneficio, la recompra rinde poco; el ROIC incremental no se puede medir con capital negativo.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Sumedh S. Thakar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Qualys desde 2003 (ingeniero, director de producto de 2014 a 2021); consejero delegado desde abril de 2021. Con él los ingresos han pasado de 411 a 669 M USD (2021-2025) y el margen operativo GAAP del 21 % al 33 %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Joo Mi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junio de 2020; antes directora financiera de Impact y anteriormente en Qualys. Ha llevado la política de recompra continuada y la disciplina de margen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K. Posey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desde 2021 y secretario desde 2012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Shailesh Athalye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soluciones (ETM)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14 años en Qualys, cinco como vicepresidente sénior de producto; sustituye al director general de ETM que se marchó en 2026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399-402 M USD; BPA GAAP 1,39-1,44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411,2 M; BPA 1,77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482-485 M USD; BPA GAAP 1,59-1,64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489,7 M; BPA 2,74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553-557 M USD; BPA GAAP 2,54-2,62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554,5 M; BPA 4,03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600-610 M USD; BPA GAAP 3,11-3,43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607,6 M; BPA 4,65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645-657 M USD; BPA GAAP 3,62-4,02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669,1 M; BPA 5,44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717-725 M USD; BPA GAAP 5,20-5,48 (febrero); subida a 732-738 M y 5,76-5,90 en agosto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1S26 357,8 M y BPA 2,91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Thakar lleva 23 años en Qualys y la directora financiera seis; ha cumplido o superado su guía de ingresos y BPA cada año desde 2021, con un BPA GAAP siempre por encima del rango [1, 6]. En 2026 se fueron el responsable de seguridad y el director general de ETM, la línea que sostiene la tesis de crecimiento; los sustitutos son internos o con experiencia [8]. La remuneración del consejero delegado (15,9 M USD, 456 veces el salario mediano) es alta para una empresa de 6.600 M [20]. Las ventas de la dirección (23,5 M en 12 meses, con plan 10b5-1) tras la subida de la acción no son una buena señal, aunque estén programadas [22]. No hay un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Hank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Sumedh S. Thakar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 M. Rogers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Wendy M. Pfeiffer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Zangardi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 Berquist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Bradford L.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23,54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por ventas de plan 10b5-1 (≈173.000 acciones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Sumedh S. Thakar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Joo Mi Kim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Bruce K. Posey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Wendy M. Pfeiffer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P. Berquist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P. Hank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 largo plazo (91 % del total del consejero delegado en 2025) son acciones restringidas por tiempo y acciones por objetivos (PRSU) ligadas al crecimiento de ingresos y al margen EBITDA ajustado; en 2025 se cumplieron con un 10 % de crecimiento y un 47 % de margen [20]. El EBITDA ajustado excluye los pagos en acciones, así que el objetivo no penaliza la dilución. El variable anual es pequeño (0,72 M). Hay cláusula de recuperación (clawback) conforme a la norma 10D-1 [20]. La remuneración se aprobó con el 91,5 % a favor y el 8,3 % en contra en la junta de 2026 [21].</w:t>
      </w:r>
    </w:p>
    <w:p>
      <w:pPr>
        <w:pStyle w:val="Heading2"/>
      </w:pPr>
      <w:r>
        <w:t xml:space="preserve">Operaciones vinculadas, estructura de control y defensas</w:t>
      </w:r>
    </w:p>
    <w:p>
      <w:pPr>
        <w:spacing w:after="100"/>
      </w:pPr>
      <w:r>
        <w:t xml:space="preserve">Sin accionista de control: BlackRock (14,4 %) y Vanguard (11,8 %) son los mayores, y la dirección tiene menos del 1 % [20]. Una clase de acciones y un voto por acción. Defensas: consejo escalonado en tres clases con mandatos de tres años (dificulta cambiar el consejo en una sola junta) y las propias de Delaware [21]. Presidente independiente (Jeffrey Hank, desde 2023) separado del consejero delegado; seis de siete consejeros son independientes [20]. Sin operaciones vinculadas relevantes. En 2024 la empresa exploró su venta tras recibir interés [18]: el consejo no se opone a una operación a buen precio.</w:t>
      </w:r>
    </w:p>
    <w:p>
      <w:pPr>
        <w:pStyle w:val="Heading2"/>
      </w:pPr>
      <w:r>
        <w:t xml:space="preserve">Señales de alerta</w:t>
      </w:r>
    </w:p>
    <w:p>
      <w:pPr>
        <w:pStyle w:val="ListParagraph"/>
        <w:numPr>
          <w:ilvl w:val="0"/>
          <w:numId w:val="2"/>
        </w:numPr>
        <w:spacing w:after="60"/>
      </w:pPr>
      <w:r>
        <w:t xml:space="preserve">Ventas de la dirección por 23,5 M USD en 12 meses, todas con plan 10b5-1 y ninguna compra; el consejero delegado vendió ≈108.700 acciones, cerca de tres cuartas partes de las 142.682 que tenía en abril de 2026 [20, 22].</w:t>
      </w:r>
    </w:p>
    <w:p>
      <w:pPr>
        <w:pStyle w:val="ListParagraph"/>
        <w:numPr>
          <w:ilvl w:val="0"/>
          <w:numId w:val="2"/>
        </w:numPr>
        <w:spacing w:after="60"/>
      </w:pPr>
      <w:r>
        <w:t xml:space="preserve">Salida en 2026 del responsable de seguridad (CISO) y del director general de ETM, la línea que sostiene la tesis de crecimiento [8].</w:t>
      </w:r>
    </w:p>
    <w:p>
      <w:pPr>
        <w:pStyle w:val="ListParagraph"/>
        <w:numPr>
          <w:ilvl w:val="0"/>
          <w:numId w:val="2"/>
        </w:numPr>
        <w:spacing w:after="60"/>
      </w:pPr>
      <w:r>
        <w:t xml:space="preserve">Sanción de la SEC de octubre de 2024 (450.000 USD) por minimizar en sus informes el ataque a SolarWinds [17].</w:t>
      </w:r>
    </w:p>
    <w:p>
      <w:pPr>
        <w:pStyle w:val="ListParagraph"/>
        <w:numPr>
          <w:ilvl w:val="0"/>
          <w:numId w:val="2"/>
        </w:numPr>
        <w:spacing w:after="60"/>
      </w:pPr>
      <w:r>
        <w:t xml:space="preserve">Consejo escalonado (tres clases con mandatos de tres años): dificulta un cambio de control sin acuerdo del consejo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ingresos de 732-738 M USD (+9-10 %), BPA GAAP de 5,76-5,90 (21 % de impuesto) y ajustado de 7,74-7,88, con 35,2 M de acciones; margen EBITDA ajustado de mitad de los 40 y capex de 8-12 M [3, 8]. Es la segunda subida del año: en febrero era de 717-725 M y 5,20-5,48, y en mayo de 721-727 M y 5,40-5,61 [5, 6]. Para el 3T26 guía 185,5-187,5 M y BPA GAAP de 1,43-1,50 [3]. Sin plan a medio plazo publicado. Próximos resultados: 3-nov-2026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analistas; EBITDA y EBIT ajustados, sin pagos en acciones; BPA GAAP)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Las estimaciones suben: el BPA GAAP de 2026 pasó de ≈5,3 en febrero a 5,81 tras la guía de agosto (+9 %), siguiendo las dos subidas de la guía [6, 24]. Los objetivos de los analistas subieron con la acción desde mayo (Scotiabank y JPMorgan mejoraron la recomendación en julio), pero el objetivo medio (181,03 USD, 22 analistas, consenso Mantener) queda por debajo de la cotización [24, 32, 33]. Solo una fuente con estimaciones completas (MarketScreener); el objetivo y la recomendación se contrastan con Traders Union (174,5 USD, Mantener).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bl>
    <w:p>
      <w:pPr>
        <w:spacing w:after="160" w:before="0"/>
      </w:pPr>
    </w:p>
    <w:p>
      <w:pPr>
        <w:spacing w:after="100"/>
      </w:pPr>
      <w:r>
        <w:t xml:space="preserve">La acción ha vivido un año de montaña rusa: cayó un 63 % desde el máximo de diciembre de 2023 hasta el mínimo de 74,51 USD del 9-abr-2026, cuando Anthropic presentó Claude Mythos y Project Glasswing y el mercado vendió todo lo que suena a «escáner de vulnerabilidades» (−13,3 % el 6-feb y −12,2 % el 9-abr) [16, 23]. Desde entonces ha subido un 155 %, hasta 189,63, con las mejoras de recomendación de julio, los resultados del 2T (+14 % en un día) y la idea de que la IA aumenta la demanda de priorización y parcheo [33, 35]. Con todo, a tres años rinde un 5,6 % anual frente al 22,7 % del S&amp;P 500. La volatilidad (56,6 %) duplica la habitual del software, y la posición corta es alta (9,6 % del flotante) [27].</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beneficio contable, Qualys cotiza a 32,9 veces el BPA de los últimos 12 meses, por debajo de su media de 48,7 veces (2018-2025, sin 2021) y a 23,1 veces el EBITDA, frente a 29,2 de media. Pero la comparación engaña: la media se formó cuando crecía un 15-20 % anual y con tipos a cero, y hoy crece al 10 % con el bono al 5,2 % [25]. En la base adelantada que usa la regla, el PER actual (29,1 veces el BPA de 2027e) está en línea con su mediana de cinco años (27,8 veces): el mercado ha devuelto la acción a su múltiplo normal tras el pánico de abril, cuando cotizó a unas 13 veces.</w:t>
      </w:r>
    </w:p>
    <w:p>
      <w:pPr>
        <w:pStyle w:val="Heading1"/>
      </w:pPr>
      <w:r>
        <w:t xml:space="preserve">18. Comparables cotizados</w:t>
      </w:r>
    </w:p>
    <w:p>
      <w:pPr>
        <w:pStyle w:val="Confianza"/>
        <w:spacing w:after="100"/>
      </w:pPr>
      <w:r>
        <w:t xml:space="preserve">Confianza: Baja</w:t>
      </w:r>
    </w:p>
    <w:p>
      <w:pPr>
        <w:spacing w:after="100"/>
      </w:pPr>
      <w:r>
        <w:t xml:space="preserve">Siete cotizadas de ciberseguridad de EE. UU. e Israel: los dos especialistas en vulnerabilidades (Tenable y Rapid7), las tres plataformas que compiten con la gestión de exposición (CrowdStrike, Palo Alto y Fortinet) y dos rentables de software de seguridad (Check Point y Okta). Fuera Varonis (pérdidas, PER de 215 veces) y las privadas (Wiz, Tanium). Las cifras son de Stock Analysis al cierre del 14-oct [11]: su PER adelantado está casi siempre en BPA ajustado, mientras el de Qualys en el informe es GAAP; por eso los comparables pesan 0 en el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Okta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 / 65,6x / 101,4x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52,0x / 71,0x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11,3x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Qualys es la más rentable del grupo con diferencia (margen EBITDA contable del 35 % frente a una mediana del 10,5 %) y cotiza en el medio: 8,4 veces ventas frente a 11,3 de mediana, y a 23,1 veces el EBITDA frente a 65,6 [11]. La prima de las plataformas (CrowdStrike a 47 veces ventas, Palo Alto a 27) se explica por crecimientos del 17-23 % y por la tesis de consolidación; los especialistas que no crecen (Rapid7 a 1,3 veces ventas, Tenable a 4,1) muestran lo que pasa cuando el mercado cree que la gestión de vulnerabilidades se vuelve una función de las suites. Qualys cotiza hoy más cerca de las plataformas que de su rival natural, Tenable: el mercado ya le reconoce que es la ganadora del nicho. El PER de los comparables (mediana 52 veces, en base ajustada) no sirve como ancla; usamos la historia propia.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de la nube; sin beneficios y creciendo a más del 50 %: no comparable en múltiplo, sí en interés estratégico por la seguridad de la nube.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Darktrace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7,75 USD por acción; prima del 44 % sobre la media de tres meses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SailPoint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veces las ventas LTM según 451 Research; media del sector en 2022, 8,8 veces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Proofpoint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USD por acción en efectivo [30].</w:t>
            </w:r>
          </w:p>
        </w:tc>
      </w:tr>
    </w:tbl>
    <w:p>
      <w:pPr>
        <w:spacing w:after="160" w:before="0"/>
      </w:pPr>
    </w:p>
    <w:p>
      <w:pPr>
        <w:spacing w:after="160" w:before="0"/>
      </w:pPr>
    </w:p>
    <w:p>
      <w:pPr>
        <w:spacing w:after="100"/>
      </w:pPr>
      <w:r>
        <w:t xml:space="preserve">La ciberseguridad mediana es un terreno habitual del capital riesgo: Thoma Bravo compró Proofpoint (12.300 M USD, 2021), SailPoint (6.900 M, 16 veces ventas, 2022) y Darktrace (5.300 M, con una prima del 44 %, 2024) [28, 29, 30]. Qualys exploró su venta en noviembre de 2024 tras recibir interés [18]; a 8,4 veces ventas, un 46 % de margen ajustado y sin deuda, es un candidato natural para una compra apalancada. No ponderamos las transacciones (peso 0) porque solo una publica múltiplo y una operación no es nuestra hipótesis, pero da un suelo: a 10-12 veces ventas, el capital valdría 220-270 USD por acción.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(732-738 M USD, +9-10 %; tomamos +10 % por el historial de batirla) [3, 6]. Después, 8,5 % en 2027 (consenso +8,2 %) y 8 % en 2028 (consenso +7,8 %) [24], bajando hasta el 4 % en 2033. Es menos que el 13,3 % anual de 2018-2025 porque el crecimiento se ha frenado cuatro años seguidos (19 %, 13 %, 10 %, 10 %) y la guía del 2S26 supone solo un 7-8 % de facturación corriente [2, 8]. El puente: 5-7,5 puntos de volumen (expansión neta del 105 % y clientes nuevos por el canal) y 2-2,5 de precio (QFlex, módulos).</w:t>
      </w:r>
    </w:p>
    <w:p>
      <w:pPr>
        <w:keepNext/>
        <w:spacing w:after="100"/>
      </w:pPr>
      <w:r>
        <w:rPr>
          <w:b/>
          <w:bCs/>
        </w:rPr>
        <w:t xml:space="preserve">Márgenes.</w:t>
      </w:r>
    </w:p>
    <w:p>
      <w:pPr>
        <w:spacing w:after="100"/>
      </w:pPr>
      <w:r>
        <w:t xml:space="preserve">Margen EBITDA contable (después de pagos en acciones) del 35 % en 2026-2027, igual que en 2025 (35,3 %) y en el 1S26 (36,0 %), porque la empresa acelera el gasto comercial en el 2S26 [2, 3, 8]. Después sube al 36 % por escala, por debajo del margen operativo ajustado del 45 % porque los pagos en acciones (≈10 % de las ventas) son coste. La competencia de las suites impide suponer más.</w:t>
      </w:r>
    </w:p>
    <w:p>
      <w:pPr>
        <w:keepNext/>
        <w:spacing w:after="100"/>
      </w:pPr>
      <w:r>
        <w:rPr>
          <w:b/>
          <w:bCs/>
        </w:rPr>
        <w:t xml:space="preserve">Inversión y circulante.</w:t>
      </w:r>
    </w:p>
    <w:p>
      <w:pPr>
        <w:spacing w:after="100"/>
      </w:pPr>
      <w:r>
        <w:t xml:space="preserve">Capex del 2,0 % de las ventas (inmovilizado, guía de 8-12 M USD, más el aumento de comisiones activadas) y amortización del 1,8 % (1,7 % en el 1S26) [3, 8]. El circulante se queda en el −36 % de las ventas (−37 % en 2025): los ingresos diferidos crecen con las ventas y liberan caja [2]. Impuesto del 21 %, el que guía la empresa para 2026 [3].</w:t>
      </w:r>
    </w:p>
    <w:p>
      <w:pPr>
        <w:keepNext/>
        <w:spacing w:after="100"/>
      </w:pPr>
      <w:r>
        <w:rPr>
          <w:b/>
          <w:bCs/>
        </w:rPr>
        <w:t xml:space="preserve">Coste del capital.</w:t>
      </w:r>
    </w:p>
    <w:p>
      <w:pPr>
        <w:spacing w:after="100"/>
      </w:pPr>
      <w:r>
        <w:t xml:space="preserve">Tasa libre del 5,21 % (bono de EE. UU. a 10 años del 13-oct-2026) [25], prima de mercado del 5,5 % y beta de 1,0: la mensual de cinco años es 0,57, pero la semanal de dos años es 1,23 y la volatilidad del 56,6 % no es la de una acción defensiva [23]. Sin deuda: WACC del 10,71 %. Con la prima implícita del mercado (4,20 %) el WACC sería del 9,41 % [26]. Cada décima de beta mueve el valor ≈6 %; con beta 0,8 el DCF subiría a ≈140 USD, aún por debajo del precio.</w:t>
      </w:r>
    </w:p>
    <w:p>
      <w:pPr>
        <w:keepNext/>
        <w:spacing w:after="100"/>
      </w:pPr>
      <w:r>
        <w:rPr>
          <w:b/>
          <w:bCs/>
        </w:rPr>
        <w:t xml:space="preserve">Valor terminal.</w:t>
      </w:r>
    </w:p>
    <w:p>
      <w:pPr>
        <w:spacing w:after="100"/>
      </w:pPr>
      <w:r>
        <w:t xml:space="preserve">Gordon con un 3,0 % de crecimiento a perpetuidad (inflación del 2-2,5 % más algo de volumen), por debajo de la tasa libre menos medio punto. El valor terminal es el 60 % del total. Implica unas 13 veces el FCFF terminal; el múltiplo de salida de referencia (18 veces el EBITDA) daría más, pero suponerlo sería pagar hoy por un crecimiento que no proyectamos.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frente al 7,0 %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(hoy: 3,8 %)</w:t>
            </w:r>
          </w:p>
        </w:tc>
      </w:tr>
    </w:tbl>
    <w:p>
      <w:pPr>
        <w:spacing w:after="160" w:before="0"/>
      </w:pPr>
    </w:p>
    <w:p>
      <w:pPr>
        <w:spacing w:after="100"/>
      </w:pPr>
      <w:r>
        <w:t xml:space="preserve">La proyección apenas necesita inversión neta de la amortización (reinversión acumulada de -150 M, con un capex bruto medio del 2,0 % de las ventas). En un negocio de activos ligeros, el crecimiento medio del 7,0 % tiene que salir de subir precios y de ganar volumen sin capital nuevo, y la prueba es el poder de precios y la cuota (4,0 % del mercado en 2033e, frente al 3,8 %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732-738 M USD; expansión neta del 105 % (≈5 puntos) más clientes nuevos por el canal (≈2,5) y precio y QFlex (≈2,5)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neta del 104-105 % sostenida por ETM y parches; clientes nuevos por socios; subidas de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con algo menos de clientes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6,5 % más una ganancia de cuota de un punto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el crecimiento del mercado [9].</w:t>
            </w:r>
          </w:p>
        </w:tc>
      </w:tr>
    </w:tbl>
    <w:p>
      <w:pPr>
        <w:spacing w:after="160" w:before="0"/>
      </w:pPr>
    </w:p>
    <w:p>
      <w:pPr>
        <w:spacing w:after="100"/>
      </w:pPr>
      <w:r>
        <w:t xml:space="preserve">Sí: el crecimiento proyectado (7,0 % de media en 2026-2033, 6,6 % en los años no fijos) está por debajo del histórico (13,3 %) y del de un mercado que crece al 6,5 % más una ganancia de cuota mínima (del 3,8 % al 4,0 % en 2033). El negocio no necesita capital (reinversión neta negativa: los clientes pagan por adelantado), así que la prueba es el poder de precios y la cuota: la expansión neta ha subido del 103 % al 105 % en 2026 y el margen operativo GAAP del 33 % es el mejor del nicho [4, 11]. El motor llega al mismo veredicto. El riesgo para el crecimiento no es de financiación sino de competencia y de IA, y está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10,7 %)</w:t>
            </w:r>
          </w:p>
        </w:tc>
      </w:tr>
    </w:tbl>
    <w:p>
      <w:pPr>
        <w:spacing w:after="160" w:before="0"/>
      </w:pPr>
    </w:p>
    <w:p>
      <w:pPr>
        <w:spacing w:after="100"/>
      </w:pPr>
      <w:r>
        <w:t xml:space="preserve">El DCF da 120,49 USD por acción, un 36,5 % por debajo del precio, con un 60 % del valor en el terminal. El DCF inverso es la clave: para justificar 189,63 USD, Qualys tendría que crecer un 14,9 % anual en 2027-2033 con nuestros márgenes (frente al 6,6 % de nuestro base y al 13,3 % de su mejor época), o llegar a un margen EBITDA contable del 61 % con nuestro crecimiento; la rentabilidad implícita en el precio es del 7,6 % anual, por debajo del WACC (10,71 %) y del 9,41 % que pide el mercado. Es exigente: el precio supone que la IA devuelve a Qualys a crecimientos de dos cifras durante siete años, cuando la empresa guía un 7-8 % de facturación para el semestre. Con los pagos en acciones excluidos (como hace la empresa) el valor subiría a ≈150 USD, todavía por debajo. Aquí falla el filtro de valor real.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suites (Microsoft, CrowdStrike, Wiz) absorben la gestión de vulnerabilidades de los clientes medianos y la IA abarata el escaneo: crecimiento de 3,6 % de media y margen del 33 %, como le ha pasado a Rapid7, que hoy no crece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mantiene su nicho con ETM y parches, crece algo por encima del mercado (8,5 % → 4 %) y conserva un margen contable del 35-36 %.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las vulnerabilidades y la plataforma de priorización y corrección se vuelve imprescindible: crecimiento del 8,6 % de media con picos del 10-11 % y margen del 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117,16 USD (-38,2 %).</w:t>
      </w:r>
    </w:p>
    <w:p>
      <w:pPr>
        <w:spacing w:after="100"/>
      </w:pPr>
      <w:r>
        <w:t xml:space="preserve">La asimetría a largo plazo es desfavorable: ni el escenario alcista (138,77 USD) alcanza el precio, y el bajista (88,89) pierde un 53 %. El valor ponderado de los escenarios es de 117,16 USD. A 12 meses la cuenta es otra (alcista +57,1 %, bajista −26,9 %, asimetría de 2,13) porque la regla toma el múltiplo de hoy y no el que justifica el DCF: la rentabilidad a un año depende de que el mercado siga pagando 28 veces, no de lo que vale el negocio.</w:t>
      </w:r>
    </w:p>
    <w:p>
      <w:pPr>
        <w:pStyle w:val="Heading1"/>
      </w:pPr>
      <w:r>
        <w:t xml:space="preserve">22. Suma de partes</w:t>
      </w:r>
    </w:p>
    <w:p>
      <w:pPr>
        <w:pStyle w:val="Confianza"/>
        <w:spacing w:after="100"/>
      </w:pPr>
      <w:r>
        <w:t xml:space="preserve">Confianza: Alta</w:t>
      </w:r>
    </w:p>
    <w:p>
      <w:pPr>
        <w:spacing w:after="100"/>
      </w:pPr>
      <w:r>
        <w:t xml:space="preserve">No aplica: un solo negocio (suscripciones a una plataforma única con un agente y una base de datos comunes); la empresa no publica resultados por producto.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119,16 USD (-37,2 % sobre 189,63).</w:t>
      </w:r>
    </w:p>
    <w:p>
      <w:pPr>
        <w:spacing w:after="100"/>
      </w:pPr>
      <w:r>
        <w:t xml:space="preserve">El valor intrínseco (119,16 USD) sale del DCF (60 %) y de los escenarios (40 %). Los comparables pesan 0: su PER adelantado está en base ajustada (sin pagos en acciones) y con crecimientos del 15-25 %, y aplicado al BPA GAAP de Qualys daría 330 USD por acción, una cifra sin sentido. Las transacciones tampoco pesan (una sola con múltiplo y no suponemos una operación). La dispersión es enorme: el DCF da 111-133 USD según WACC y crecimiento terminal; con la prima del mercado, 140,72; la historia de PER, 140-300. Lo que dice el conjunto es que el precio de hoy solo se sostiene con un múltiplo alto, no con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(29.1x) a mitad de camino hacia abajo, hacia la mediana de 5 años (27.8x)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+57,1 %</w:t>
            </w:r>
          </w:p>
        </w:tc>
      </w:tr>
    </w:tbl>
    <w:p>
      <w:pPr>
        <w:spacing w:after="160" w:before="0"/>
      </w:pPr>
    </w:p>
    <w:p>
      <w:pPr>
        <w:spacing w:after="100"/>
      </w:pPr>
      <w:r>
        <w:rPr>
          <w:b/>
          <w:bCs/>
        </w:rPr>
        <w:t xml:space="preserve">Objetivo a 12 meses (ponderado):</w:t>
      </w:r>
      <w:r>
        <w:t xml:space="preserve"> 210,98 USD · rentabilidad +11,3 % (base +7,4 %) · señal Mantener.</w:t>
      </w:r>
    </w:p>
    <w:p>
      <w:pPr>
        <w:spacing w:after="100"/>
      </w:pPr>
      <w:r>
        <w:t xml:space="preserve">Para comparar, con la regla v2 (historia al cierre, mismo precio): 24,4x / 29,1x / 37,8x, 13,6 %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(5,93) queda un 2 % sobre el consenso (5,81) y el de 2027e (6,51) en línea (6,48) [24]. En 2028e vamos un 8,8 % por encima (7,17 frente a 6,59): el consenso apenas sube el BPA ese año (+1,6 %), lo que parece un tipo impositivo más alto o menos ingresos financieros; nosotros suponemos el 21 % que guía la empresa y una caja estable. Nuestro precio base (203,63) queda un 12,5 % sobre el objetivo medio de 22 analistas (181,03), que va por detrás de una cotización que ha subido un 150 % desde el mínimo de abril [23, 32]. La diferencia es de múltiplo y de calendario, no de beneficio.</w:t>
      </w:r>
    </w:p>
    <w:p>
      <w:pPr>
        <w:keepNext/>
        <w:spacing w:after="100"/>
      </w:pPr>
      <w:r>
        <w:rPr>
          <w:b/>
          <w:bCs/>
        </w:rPr>
        <w:t xml:space="preserve">Del valor intrínseco al objetivo a 12 meses.</w:t>
      </w:r>
    </w:p>
    <w:p>
      <w:pPr>
        <w:spacing w:after="100"/>
      </w:pPr>
      <w:r>
        <w:t xml:space="preserve">El valor intrínseco (119,16 USD) queda un 44 % por debajo del objetivo a 12 meses (210,98): el mercado paga 29 veces el beneficio contable del año que viene, un múltiplo que el DCF solo justifica con un crecimiento del 14,9 % anual durante siete años. Para cerrar la distancia haría falta que la demanda creada por la IA llevara el crecimiento de la facturación de nuevo al 13-15 % sostenido, como en 2019-2022, o que la acción corrigiera. La tesis de valor es a más de un año y hoy no se cumple: Qualys es un buen negocio a un precio que ya descuenta la reaceleración.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facturación corriente supera el 7-8 % guiado y la expansión neta sube del 105 %, confirma la tesis de la IA; si no, la acción pierde la prima reciente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(primera semana)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crecimiento de 2027 (consenso +8,2 %) decide si el mercado mantiene 29 veces 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autorización anual de recompra (200 M USD en 2025 y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(≈3 % menos de acciones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contratos federales con FedRAMP High y la directiva de 72 horas de la CISA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un mercado hoy pequeño para Qualys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IA de ciberseguridad (Anthropic, OpenAI, Google)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lanzamiento ha movido la acción un 10-13 % en un día, en los dos sentidos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compra de capital riesgo o de una plataforma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del 30-45 % (Darktrace 44 %); ya exploró su venta en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en suites: Microsoft, CrowdStrike, Palo Alto y Wiz (Google) regalan la gestión de vulnerabilidades dentro de sus plataformas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88,89 USD frente a 120,49)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ETM abierto a datos de terceros, parcheo propio y coste por activo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VMDR en las contrataciones por debajo del 45 % sin que ETM compense, o expansión neta por debajo del 103 %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encuentra y corrige vulnerabilidades sin necesidad de un escáner (agentes en el ciclo de desarrollo y en los sistemas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se integra en Glasswing y vende la validación y la corrección (TruConfirm, Agent Val, parches)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facturación corriente por debajo del 5 % o caída del precio medio por activo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Expectativas: el precio descuenta un 14,9 % de crecimiento anual en 2027-2033 y la empresa guía un 7-8 % de facturación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(bajista a 12 meses: 138,66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continua y caja neta de 703,5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9 %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y dilución: 11,5 % de las ventas, y ventas de la dirección por 23,5 M USD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(cada punto de ventas en pagos en acciones ≈ 3 %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 compensan la dilución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12 % de las ventas o acciones diluidas que dejan de bajar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giro a ETM tras la salida del director general de ETM y del responsable de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interno con 14 años en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ETM/CSAM en las contrataciones nuevas que deja de subir (14 % hoy)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de seguridad propio: un agente instalado en millones de equipos es un objetivo de alto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FedRAMP High; historial sin brechas graves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CISA o de clientes sobre el agente de Qualys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venta más largos y presupuestos de TI en EE. UU.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recurrentes y cobrados por adelantado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Facturación del 4T por debajo de la guía</w:t>
            </w:r>
          </w:p>
        </w:tc>
      </w:tr>
    </w:tbl>
    <w:p>
      <w:pPr>
        <w:spacing w:after="160" w:before="0"/>
      </w:pPr>
    </w:p>
    <w:p>
      <w:pPr>
        <w:pStyle w:val="Heading2"/>
      </w:pPr>
      <w:r>
        <w:t xml:space="preserve">Pre-mortem</w:t>
      </w:r>
    </w:p>
    <w:p>
      <w:pPr>
        <w:spacing w:after="100"/>
      </w:pPr>
      <w:r>
        <w:t xml:space="preserve">Octubre de 2029: la acción vale 115 USD, un 40 % menos. Lo que pasó: la «demanda de Mythos» resultó ser un año de pruebas, no de contratos. En 2027 Microsoft incluyó la priorización con IA y la corrección automática en Defender para todas las licencias E5 y CrowdStrike regaló Exposure Management a sus 30.000 clientes; los clientes medianos de Qualys empezaron a renovar con descuento o a irse, y la expansión neta volvió al 101-102 %. ETM creció, pero canibalizó a VMDR en vez de sumar. El crecimiento cayó al 5-6 %, el margen contable se mantuvo gracias a recortar gasto comercial, y el mercado, que había pagado 29 veces el beneficio por una reaceleración, pasó a pagar 18-20 veces, como a una empresa madura de software. La recompra no lo compensó porque se hizo a 180-200 USD. Los indicadores que lo anticipaban: la guía de facturación del 2S26 (7-8 %), la caída del peso de VMDR (del 54 % al 49 %), la salida del responsable de ETM y las ventas de acciones del consejero delegado durante la subida.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a +10 % a 3-5 años (bajista: −26 % sobre el DCF base; alcista: +15 %)</w:t>
      </w:r>
    </w:p>
    <w:p>
      <w:pPr>
        <w:spacing w:after="100"/>
      </w:pPr>
      <w:r>
        <w:t xml:space="preserve">La IA toca el 100 % de las ventas de Qualys, que viven de encontrar y priorizar vulnerabilidades. Amenaza: modelos como Claude Mythos encuentran fallos solos y, si el propio entorno (sistema operativo, nube, herramienta de desarrollo) los corrige, el escáner independiente sobra; el mercado lo descontó en abril (−13 % en un día, mínimo de 74,51 USD) [16, 23]. Oportunidad: más fallos descubiertos y plazos de 72 horas hacen más valiosa la priorización y el parcheo automático; Qualys está en Project Glasswing, vende Agent Val y TruConfirm, y ETM y parches ya son el 21 % de las contrataciones [3, 8]. Sus datos de activos de millones de equipos son un activo para la IA. Hoy no se ve en las cifras: la guía supone un 7-8 % de facturación en el 2S26 [8]. Señal: expansión neta por encima del 106 % (oportunidad) o por debajo del 103 % (amenaza).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Qualys es la seguridad de su propia plataforma y la transparencia sobre incidentes: un fallo en un agente instalado en millones de equipos sería grave, y la SEC ya la sancionó en 2024 por minimizar el incidente de SolarWinds [17]. El segundo asunto es el capital humano: el 70 % de la plantilla está en la India y el coste salarial es su ventaja de costes, con riesgo de rotación e inflación salarial [1]. Las emisiones son pequeñas (centros de datos y oficinas) y no mueven las cifras.</w:t>
      </w:r>
    </w:p>
    <w:p>
      <w:pPr>
        <w:pStyle w:val="Heading2"/>
      </w:pPr>
      <w:r>
        <w:t xml:space="preserve">Controversias</w:t>
      </w:r>
    </w:p>
    <w:p>
      <w:pPr>
        <w:spacing w:after="100"/>
      </w:pPr>
      <w:r>
        <w:t xml:space="preserve">Octubre de 2024: la SEC sancionó a Qualys con 450.000 USD, junto con Unisys, Avaya y Check Point, por describir el ataque a SolarWinds como hipotético cuando ya lo había sufrido [17]. No constan otros litigios ni sanciones en los tres últimos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oportunidades nacida tras Mythos se ha firmado, y a qué precio por activo frente a VMDR?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una reaceleración que la guía del 2S26 (7-8 %) no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han dejado VMDR por Microsoft Defender o CrowdStrike en 2025-2026 y cuál es la retención bruta?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da la retención bruta y el peso de VMDR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IA duplica las vulnerabilidades encontradas, ¿cobraréis por activo, por corrección o por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por activo no captura más trabajo; el analista preguntó y no hubo respuesta clara.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 remuneración usan el EBITDA ajustado sin pagos en acciones, y cuál es el objetivo de dilución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11,5 % de las ventas y un tercio del beneficio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¿Seguiréis recomprando a 29 veces el beneficio, o hay un precio por encima del cual preferís acumular caja o comprar tecnología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190 USD rinde poco.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fueron el director general de ETM y el responsable de seguridad, y qué cambia en la hoja de ruta de ETM?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ETM es el motor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pesa hoy el negocio federal y qué contratos hay en curso con FedRAMP High?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dice que no es grande; es una de las palancas citadas.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«vientos de cola de la IA y valoración razonable» (junio-julio) a «gran trimestre, mejor negocio, precio equivocado» (rebaja de agosto) y «la cartera de oportunidades justificaría la prima si acelera» (septiembre)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Blair rebaja a Qualys, Tenable y Rapid7 por la IA en mayo; Scotiabank y JPMorgan suben recomendación en julio porque los modelos de frontera multiplican las vulnerabilidades; tras el 2T, «gana cuota»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de corto plazo (máximos de 200 USD, «mi mejor compra del año», objetivos de 300); pocos bajistas, que hablan de subida inflada por la moda de la IA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(Kalkine, TIKR, Valens)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que circula: cuanto más rápido encuentre la IA vulnerabilidades, más vale priorizar y parchear; Agent Val y TruConfirm como prueba de que Qualys se adapta [35, 36,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viento de cola (más vulnerabilidades, más parches)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Razonable a medio plazo, pero la empresa no lo ve aún en los contratos: guía un 7-8 % de facturación en el 2S26 [8,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subida del 150 %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de Seeking Alpha más prudentes coinciden con nuestro DCF: el precio exige crecer al 14,9 %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Momento técnico y nuevos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contenido fundamental; refleja la entrada de inversores de impulso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obsolescencia por la IA (abril-mayo)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 desaparecido de la conversación, pero el riesgo de fondo sigue (sección de riesgos) [33, 36].</w:t>
            </w:r>
          </w:p>
        </w:tc>
      </w:tr>
    </w:tbl>
    <w:p>
      <w:pPr>
        <w:spacing w:after="160" w:before="0"/>
      </w:pPr>
    </w:p>
    <w:p>
      <w:pPr>
        <w:spacing w:after="100"/>
      </w:pPr>
      <w:r>
        <w:t xml:space="preserve">El sentimiento ha pasado del pánico de abril (William Blair rebaja por la IA, mínimo de 74,51 USD) a la euforia de octubre (máximos de 200 USD, objetivos de 300 en Stocktwits, mejoras de Scotiabank y JPMorgan) en seis meses [33, 34]. Es un giro extremo para un negocio cuyas cifras apenas han cambiado: la guía de ingresos subió un 2 %. El sentimiento va por delante del consenso de analistas (Mantener, objetivo de 181 USD) y de nuestra valoración; es una señal de prudencia, no de entrada [24].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38 (13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4,0 % en 2033e frente al 3,8 %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-37,0 %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3T25 al 2T26 (solo dan el trimestre del año anterior); 2) XBRL trimestral de 2023-2024 no descargado; 3)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el informe de Grant Thornton); 2) proxy 2026 (ratificación sin año de inicio); 3) búsqueda web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 de mercado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(página pública sin cuotas); 2) IDC Worldwide Device Vulnerability Management Market Shares (de pago); 3) Gartner (de pago) y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Corporate Search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2026 (solo 2026); 2) lista de presentaciones de EDGAR (8-K de 2024-2025 no descargados por tiempo); 3) proxy 2026 (no resume votos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EV/ventas y EV/EBITDA de Darktrace, Proofpoint y Wiz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las operaciones (solo valor y precio por acción); 2) S&amp;P Global/451 Research (solo SailPoint); 3) búsqueda de bases de operaciones (CapIQ, PitchBook: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de 181,03 USD y 22 analistas); 2) Traders Union (objetivo medio 174,5 USD, Mantener); 3) Investing.com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y crecimiento esperado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y PER adelantado); 2) MarketScreener (no abre las páginas de los comparables sin sesión); 3) informes growth del repositorio (CrowdStrike, Zscaler: otra fecha y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sobre todo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del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capital invertido negativo (−135,7 M en 2025) por los ingresos diferidos y la caja; 2) Stock Analysis da un ROIC de 112 % [27], con otra definición; 3) cálculo propio sin ingresos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notas de ingresos por canal y geografía, comisiones activadas, competencia,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https://www.sec.gov/Archives/edgar/data/1107843/000110784326000008/qlys-20251231.htm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valores negociables, pagos en acciones, comisiones activadas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https://data.sec.gov/api/xbrl/companyfacts/CIK0001107843.json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https://www.sec.gov/Archives/edgar/data/1107843/000110784326000034/qlys-20260804xex991.htm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tasa de expansión neta 105 %, recompras, ingresos por canal y geografía)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https://www.sec.gov/Archives/edgar/data/1107843/000110784326000035/qlys-20260630.htm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https://www.sec.gov/Archives/edgar/data/1107843/000110784326000013/qlys-20260505xex991.htm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Fourth Quarter and Full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https://www.sec.gov/Archives/edgar/data/1107843/000110784326000004/qlys-2026205xex991.htm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https://www.sec.gov/Archives/edgar/data/1107843/000110784325000037/qlys-20251104xex991.htm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Q2 2026 Earnings Call Transcript (facturación corriente +16 %, ETM 12 % de las contrataciones, 229 clientes de más de 500.000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https://www.webull.com/news/15386993117914112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and Vulnerability Management Market: 17.550 M USD en 2025 y 24.070 M en 2030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https://www.marketsandmarkets.com/Market-Reports/vulnerability-assessment-management-market-225551733.html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&amp; Vulnerability Management Market Report: 17.600 M USD en 2025, +6,7 % anual 2026-2032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https://www.psmarketresearch.com/market-analysis/security-&amp;-vulnerability-management-market-report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Tenable: estadísticas (ingresos LTM 1.040 M USD, EBITDA 53,7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https://stockanalysis.com/stocks/tenb/statistics/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Rapid7: estadísticas (ingresos LTM 855,9 M USD, margen operativo 1,6 %)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CrowdStrike: estadísticas (ingresos LTM 5.400 M USD, margen operativo −2,5 %)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https://stockanalysis.com/stocks/crwd/statistics/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 Alto Networks: estadísticas (ingresos LTM 11.480 M USD, margen operativo 7,1 %)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cybersecurity stocks tank: Anthropic and OpenAI fears rattle the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https://finance.yahoo.com/sectors/technology/articles/software-cybersecurity-stocks-tank-anthropic-121840002.html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Rapid7 and Tenable shares plummet: what you need to know (Claude Mythos y Project Glasswing)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https://www.barchart.com/story/news/928634/qualys-rapid7-and-tenable-shares-plummet-what-you-need-to-know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four companies with misleading cyber disclosures (Qualys, 450.000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https://www.sec.gov/newsroom/press-releases/2024-174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exploring sale after attracting takeover interest, Bloomberg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https://www.nasdaq.com/articles/qualys-exploring-sale-after-attracting-takeover-interest-bloomberg-reports-0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software de aplicaciones (mapa del riesgo de IA, economía del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(sectores/software-2026-10-14)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ratio salarial 456:1,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https://www.sec.gov/Archives/edgar/data/1107843/000114036126016101/ny20064597x1_def14a.htm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10-jun-2026 (votos de consejeros, remuneración y plan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https://www.sec.gov/Archives/edgar/data/1107843/000110784326000024/qlys-20260610.htm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https://www.sec.gov/cgi-bin/browse-edgar?action=getcompany&amp;CIK=0001107843&amp;type=4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QLYS, SPY y CIBR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https://finance.yahoo.com/quote/QLYS/history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Financial data, forecasts, estimates (consenso 2026-2028; EBITDA y EBIT ajustados, BPA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https://www.marketscreener.com/quote/stock/QUALYS-INC-11612572/finances/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estadísticas (acciones 34,60 M, posición corta 9,57 % del flotante, caja neta 650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https://stockanalysis.com/stocks/qlys/statistics/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to buy cybersecurity firm Darktrace for $5.3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Boulevard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https://securityboulevard.com/2024/04/thoma-bravo-to-buy-cybersecurity-firm-darktrace-for-5-3-billion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SailPoint, Tufin go private in run of cybersecurity acquisitions by PE firms (SailPoint a 16,0 veces ventas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 (451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https://www.spglobal.com/market-intelligence/en/news-insights/articles/2022/4/sailpoint-tufin-go-private-in-run-of-cybersecurity-acquisitions-by-pe-firms-69703930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acquires Proofpoint for approximately $12.3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https://www.privsource.com/acquisitions/deal/thoma-bravo-acquires-proofpoint-for-approximately-12-3-billion-D8SWX5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Earnings Date (3T26 previsto el 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https://unusualwhales.com/stock/QLYS/earnings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Stock Forecast (objetivo medio a 6 meses 174,5 USD; consenso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https://tradersunion.com/currencies/forecast/qlys-usd/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noticias y análisis (titulares abril-octubre de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https://seekingalpha.com/api/sa/combined/QLYS.xml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$QLYS (30 mensajes, 5-ago a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https://api.stocktwits.com/api/2/streams/symbol/QLYS.json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(NASDAQ:QLYS) rallies after beat, raised guidance and AI scanning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https://kalkinemedia.com/us/stocks/midcap/qualys-nasdaqqlys-rallies-after-beat-raised-guidance-and-ai-scanning-push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fears led investors to undervalue cybersecurity firm (Investor Essentials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https://www.valens-research.com/investor-essentials-daily/ai-fears-led-investors-undervalue-cybersecurity-firm/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comes next for Qualys after the launch of «Agent Val» exploit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https://www.tikr.com/blog/what-comes-next-for-qualys-after-the-launch-of-agent-val-exploit-automation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85,5 %</w:t>
      </w:r>
      <w:r>
        <w:t xml:space="preserve"> · Secciones con menos del 60 % de campos cubiertos: </w:t>
      </w:r>
      <w:r>
        <w:rPr>
          <w:b/>
          <w:bCs/>
        </w:rPr>
        <w:t xml:space="preserve">consenso, rentabilidad</w:t>
      </w:r>
      <w:r>
        <w:t xml:space="preserve"> · Generado el 15 oct 2026.</w:t>
      </w:r>
    </w:p>
    <w:p>
      <w:pPr>
        <w:pStyle w:val="Nota"/>
        <w:spacing w:after="100"/>
      </w:pPr>
      <w:r>
        <w:t xml:space="preserve">Línea cotizada: acciones ordinarias en el Nasdaq (QLYS), única clase. Precio: cierre del 14-oct-2026 (189,63 USD), porque la sesión del 15-oct no había cerrado a la hora del análisis [23]. Cuentas 2018-2025 del XBRL de la SEC, comprobadas con el 10-K 2025 [1, 2]; la «caja» del balance incluye los valores negociables a corto y largo plazo (703,5 M USD a 30-jun-2026) [4]; los ingresos diferidos (corrientes y no corrientes) van como pasivos de contrato en el circulante. US GAAP: los arrendamientos operativos (53,4 M) quedan dentro del EBITDA y fuera de la deuda. El capex suma el aumento neto de comisiones activadas y las recompras suman las retenciones fiscales pagadas al liquidar acciones de empleados. Comparables: PER adelantado de Stock Analysis en bases mezcladas (casi todos ajustado, sin pagos en acciones); por eso pesan 0 en el valor. Una acción cuesta 169,39 EUR al cambio del BCE del 14-oct [38], muy por debajo del 7 % de una cartera de 30.000 EUR (2.100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Qualys, Inc. (QLYS)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189,63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Hoja1!$B$2:$B$7</c:f>
              <c:numCache>
                <c:formatCode>#,##0</c:formatCode>
                <c:ptCount val="6"/>
                <c:pt idx="0">
                  <c:v>74.51</c:v>
                </c:pt>
                <c:pt idx="1">
                  <c:v>98.25</c:v>
                </c:pt>
                <c:pt idx="2">
                  <c:v>111.06</c:v>
                </c:pt>
                <c:pt idx="3">
                  <c:v>88.89</c:v>
                </c:pt>
                <c:pt idx="4">
                  <c:v>132.03</c:v>
                </c:pt>
                <c:pt idx="5">
                  <c:v>188.68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Hoja1!$C$2:$C$7</c:f>
              <c:numCache>
                <c:formatCode>#,##0</c:formatCode>
                <c:ptCount val="6"/>
                <c:pt idx="0">
                  <c:v>131.74</c:v>
                </c:pt>
                <c:pt idx="1">
                  <c:v>351.48</c:v>
                </c:pt>
                <c:pt idx="2">
                  <c:v>21.609999999999985</c:v>
                </c:pt>
                <c:pt idx="3">
                  <c:v>49.88000000000001</c:v>
                </c:pt>
                <c:pt idx="4">
                  <c:v>18.849999999999994</c:v>
                </c:pt>
                <c:pt idx="5">
                  <c:v>1.9000000000000057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Venta directa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315</c:v>
                </c:pt>
                <c:pt idx="1">
                  <c:v>325.4</c:v>
                </c:pt>
                <c:pt idx="2">
                  <c:v>338</c:v>
                </c:pt>
              </c:numCache>
            </c:numRef>
          </c:val>
        </c:ser>
        <c:ser>
          <c:idx val="1"/>
          <c:order val="1"/>
          <c:tx>
            <c:strRef>
              <c:f>Hoja1!$C$1</c:f>
              <c:strCache>
                <c:ptCount val="1"/>
                <c:pt idx="0">
                  <c:v>Socios y canal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239.5</c:v>
                </c:pt>
                <c:pt idx="1">
                  <c:v>282.1</c:v>
                </c:pt>
                <c:pt idx="2">
                  <c:v>331.1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Venta directa</c:v>
                </c:pt>
                <c:pt idx="1">
                  <c:v>Socios y canal</c:v>
                </c:pt>
              </c:strCache>
            </c:strRef>
          </c:cat>
          <c:val>
            <c:numRef>
              <c:f>Hoja1!$B$2:$B$3</c:f>
              <c:numCache>
                <c:formatCode>General</c:formatCode>
                <c:ptCount val="2"/>
                <c:pt idx="0">
                  <c:v>50.5</c:v>
                </c:pt>
                <c:pt idx="1">
                  <c:v>49.5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56.4</c:v>
                </c:pt>
                <c:pt idx="1">
                  <c:v>43.6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17550</c:v>
                </c:pt>
                <c:pt idx="1">
                  <c:v>18690</c:v>
                </c:pt>
                <c:pt idx="2">
                  <c:v>19910</c:v>
                </c:pt>
                <c:pt idx="3">
                  <c:v>21200</c:v>
                </c:pt>
                <c:pt idx="4">
                  <c:v>22580</c:v>
                </c:pt>
                <c:pt idx="5">
                  <c:v>24070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Qualys</c:v>
                </c:pt>
                <c:pt idx="1">
                  <c:v>Tenable Holdings</c:v>
                </c:pt>
                <c:pt idx="2">
                  <c:v>Rapid7</c:v>
                </c:pt>
                <c:pt idx="3">
                  <c:v>CrowdStrike</c:v>
                </c:pt>
                <c:pt idx="4">
                  <c:v>Palo Alto Networks</c:v>
                </c:pt>
                <c:pt idx="5">
                  <c:v>Wiz (Google)</c:v>
                </c:pt>
                <c:pt idx="6">
                  <c:v>Microsoft (Defender Vulnerability Management)</c:v>
                </c:pt>
              </c:strCache>
            </c:strRef>
          </c:cat>
          <c:val>
            <c:numRef>
              <c:f>Hoja1!$B$2:$B$8</c:f>
              <c:numCache>
                <c:formatCode>0.0"%"</c:formatCode>
                <c:ptCount val="7"/>
                <c:pt idx="0">
                  <c:v>33.2</c:v>
                </c:pt>
                <c:pt idx="2">
                  <c:v>1.6</c:v>
                </c:pt>
                <c:pt idx="3">
                  <c:v>-2.5</c:v>
                </c:pt>
                <c:pt idx="4">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278.9</c:v>
                </c:pt>
                <c:pt idx="1">
                  <c:v>321.6</c:v>
                </c:pt>
                <c:pt idx="2">
                  <c:v>363</c:v>
                </c:pt>
                <c:pt idx="3">
                  <c:v>411.2</c:v>
                </c:pt>
                <c:pt idx="4">
                  <c:v>489.7</c:v>
                </c:pt>
                <c:pt idx="5">
                  <c:v>554.5</c:v>
                </c:pt>
                <c:pt idx="6">
                  <c:v>607.6</c:v>
                </c:pt>
                <c:pt idx="7">
                  <c:v>669.1</c:v>
                </c:pt>
                <c:pt idx="8">
                  <c:v>736</c:v>
                </c:pt>
                <c:pt idx="9">
                  <c:v>799</c:v>
                </c:pt>
                <c:pt idx="10">
                  <c:v>862</c:v>
                </c:pt>
                <c:pt idx="11">
                  <c:v>927</c:v>
                </c:pt>
                <c:pt idx="12">
                  <c:v>992</c:v>
                </c:pt>
                <c:pt idx="13">
                  <c:v>1052</c:v>
                </c:pt>
                <c:pt idx="14">
                  <c:v>1104</c:v>
                </c:pt>
                <c:pt idx="15">
                  <c:v>1148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79.3</c:v>
                </c:pt>
                <c:pt idx="1">
                  <c:v>103.5</c:v>
                </c:pt>
                <c:pt idx="2">
                  <c:v>129.5</c:v>
                </c:pt>
                <c:pt idx="3">
                  <c:v>123.6</c:v>
                </c:pt>
                <c:pt idx="4">
                  <c:v>165.1</c:v>
                </c:pt>
                <c:pt idx="5">
                  <c:v>190.1</c:v>
                </c:pt>
                <c:pt idx="6">
                  <c:v>205.7</c:v>
                </c:pt>
                <c:pt idx="7">
                  <c:v>236.5</c:v>
                </c:pt>
                <c:pt idx="8">
                  <c:v>258</c:v>
                </c:pt>
                <c:pt idx="9">
                  <c:v>279</c:v>
                </c:pt>
                <c:pt idx="10">
                  <c:v>306</c:v>
                </c:pt>
                <c:pt idx="11">
                  <c:v>334</c:v>
                </c:pt>
                <c:pt idx="12">
                  <c:v>357</c:v>
                </c:pt>
                <c:pt idx="13">
                  <c:v>379</c:v>
                </c:pt>
                <c:pt idx="14">
                  <c:v>397</c:v>
                </c:pt>
                <c:pt idx="15">
                  <c:v>413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76.3</c:v>
                </c:pt>
                <c:pt idx="1">
                  <c:v>78.4</c:v>
                </c:pt>
                <c:pt idx="2">
                  <c:v>78.2</c:v>
                </c:pt>
                <c:pt idx="3">
                  <c:v>78.3</c:v>
                </c:pt>
                <c:pt idx="4">
                  <c:v>79</c:v>
                </c:pt>
                <c:pt idx="5">
                  <c:v>80.6</c:v>
                </c:pt>
                <c:pt idx="6">
                  <c:v>81.6</c:v>
                </c:pt>
                <c:pt idx="7">
                  <c:v>82.8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28.4</c:v>
                </c:pt>
                <c:pt idx="1">
                  <c:v>32.2</c:v>
                </c:pt>
                <c:pt idx="2">
                  <c:v>35.7</c:v>
                </c:pt>
                <c:pt idx="3">
                  <c:v>30.1</c:v>
                </c:pt>
                <c:pt idx="4">
                  <c:v>33.7</c:v>
                </c:pt>
                <c:pt idx="5">
                  <c:v>34.3</c:v>
                </c:pt>
                <c:pt idx="6">
                  <c:v>33.9</c:v>
                </c:pt>
                <c:pt idx="7">
                  <c:v>35.3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18.1</c:v>
                </c:pt>
                <c:pt idx="1">
                  <c:v>22.5</c:v>
                </c:pt>
                <c:pt idx="2">
                  <c:v>26.6</c:v>
                </c:pt>
                <c:pt idx="3">
                  <c:v>21.3</c:v>
                </c:pt>
                <c:pt idx="4">
                  <c:v>26.6</c:v>
                </c:pt>
                <c:pt idx="5">
                  <c:v>29.4</c:v>
                </c:pt>
                <c:pt idx="6">
                  <c:v>30.8</c:v>
                </c:pt>
                <c:pt idx="7">
                  <c:v>33.2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20.5</c:v>
                </c:pt>
                <c:pt idx="1">
                  <c:v>21.5</c:v>
                </c:pt>
                <c:pt idx="2">
                  <c:v>25.2</c:v>
                </c:pt>
                <c:pt idx="3">
                  <c:v>17.3</c:v>
                </c:pt>
                <c:pt idx="4">
                  <c:v>22.1</c:v>
                </c:pt>
                <c:pt idx="5">
                  <c:v>27.3</c:v>
                </c:pt>
                <c:pt idx="6">
                  <c:v>28.6</c:v>
                </c:pt>
                <c:pt idx="7">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10.4</c:v>
                </c:pt>
                <c:pt idx="5">
                  <c:v>10.1</c:v>
                </c:pt>
                <c:pt idx="6">
                  <c:v>9.8</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99</c:v>
                </c:pt>
                <c:pt idx="1">
                  <c:v>89</c:v>
                </c:pt>
                <c:pt idx="2">
                  <c:v>101</c:v>
                </c:pt>
                <c:pt idx="3">
                  <c:v>97</c:v>
                </c:pt>
                <c:pt idx="4">
                  <c:v>91</c:v>
                </c:pt>
                <c:pt idx="5">
                  <c:v>96</c:v>
                </c:pt>
                <c:pt idx="6">
                  <c:v>99</c:v>
                </c:pt>
                <c:pt idx="7">
                  <c:v>93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c:v>
                </c:pt>
                <c:pt idx="1">
                  <c:v>4</c:v>
                </c:pt>
                <c:pt idx="2">
                  <c:v>3</c:v>
                </c:pt>
                <c:pt idx="3">
                  <c:v>5</c:v>
                </c:pt>
                <c:pt idx="4">
                  <c:v>10</c:v>
                </c:pt>
                <c:pt idx="5">
                  <c:v>3</c:v>
                </c:pt>
                <c:pt idx="6">
                  <c:v>4</c:v>
                </c:pt>
                <c:pt idx="7">
                  <c:v>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101.10000000000001</c:v>
                </c:pt>
                <c:pt idx="1">
                  <c:v>131.3</c:v>
                </c:pt>
                <c:pt idx="2">
                  <c:v>148.7</c:v>
                </c:pt>
                <c:pt idx="3">
                  <c:v>173.9</c:v>
                </c:pt>
                <c:pt idx="4">
                  <c:v>181</c:v>
                </c:pt>
                <c:pt idx="5">
                  <c:v>233.2</c:v>
                </c:pt>
                <c:pt idx="6">
                  <c:v>226.9</c:v>
                </c:pt>
                <c:pt idx="7">
                  <c:v>300.7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57.3</c:v>
                </c:pt>
                <c:pt idx="1">
                  <c:v>69.3</c:v>
                </c:pt>
                <c:pt idx="2">
                  <c:v>91.6</c:v>
                </c:pt>
                <c:pt idx="3">
                  <c:v>71</c:v>
                </c:pt>
                <c:pt idx="4">
                  <c:v>108</c:v>
                </c:pt>
                <c:pt idx="5">
                  <c:v>151.6</c:v>
                </c:pt>
                <c:pt idx="6">
                  <c:v>173.7</c:v>
                </c:pt>
                <c:pt idx="7">
                  <c:v>198.3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10.7</c:v>
                </c:pt>
                <c:pt idx="1">
                  <c:v>10.7</c:v>
                </c:pt>
                <c:pt idx="2">
                  <c:v>10.7</c:v>
                </c:pt>
                <c:pt idx="3">
                  <c:v>10.7</c:v>
                </c:pt>
                <c:pt idx="4">
                  <c:v>10.7</c:v>
                </c:pt>
                <c:pt idx="5">
                  <c:v>10.7</c:v>
                </c:pt>
                <c:pt idx="6">
                  <c:v>10.7</c:v>
                </c:pt>
                <c:pt idx="7">
                  <c:v>10.7</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c:v>
                </c:pt>
                <c:pt idx="1">
                  <c:v>18.6</c:v>
                </c:pt>
                <c:pt idx="2">
                  <c:v>23.2</c:v>
                </c:pt>
                <c:pt idx="3">
                  <c:v>16.9</c:v>
                </c:pt>
                <c:pt idx="4">
                  <c:v>29.8</c:v>
                </c:pt>
                <c:pt idx="5">
                  <c:v>46.1</c:v>
                </c:pt>
                <c:pt idx="6">
                  <c:v>41.1</c:v>
                </c:pt>
                <c:pt idx="7">
                  <c:v>38.2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-4.61</c:v>
                </c:pt>
                <c:pt idx="1">
                  <c:v>-4.04</c:v>
                </c:pt>
                <c:pt idx="2">
                  <c:v>-3.51</c:v>
                </c:pt>
                <c:pt idx="3">
                  <c:v>-4.18</c:v>
                </c:pt>
                <c:pt idx="4">
                  <c:v>-2.3</c:v>
                </c:pt>
                <c:pt idx="5">
                  <c:v>-2.54</c:v>
                </c:pt>
                <c:pt idx="6">
                  <c:v>-2.8</c:v>
                </c:pt>
                <c:pt idx="7">
                  <c:v>-2.95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13.6</c:v>
                </c:pt>
                <c:pt idx="1">
                  <c:v>4.1</c:v>
                </c:pt>
                <c:pt idx="2">
                  <c:v>1.5</c:v>
                </c:pt>
                <c:pt idx="3">
                  <c:v>1.2</c:v>
                </c:pt>
                <c:pt idx="4">
                  <c:v>8.6</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99.9</c:v>
                </c:pt>
                <c:pt idx="1">
                  <c:v>102.1</c:v>
                </c:pt>
                <c:pt idx="2">
                  <c:v>146.9</c:v>
                </c:pt>
                <c:pt idx="3">
                  <c:v>157.8</c:v>
                </c:pt>
                <c:pt idx="4">
                  <c:v>334.9</c:v>
                </c:pt>
                <c:pt idx="5">
                  <c:v>193.1</c:v>
                </c:pt>
                <c:pt idx="6">
                  <c:v>168.3</c:v>
                </c:pt>
                <c:pt idx="7">
                  <c:v>208.4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The Vanguard Group</c:v>
                </c:pt>
                <c:pt idx="2">
                  <c:v>Consejeros y directivos (9 personas)</c:v>
                </c:pt>
              </c:strCache>
            </c:strRef>
          </c:cat>
          <c:val>
            <c:numRef>
              <c:f>Hoja1!$B$2:$B$4</c:f>
              <c:numCache>
                <c:formatCode>0.0"%"</c:formatCode>
                <c:ptCount val="3"/>
                <c:pt idx="0">
                  <c:v>14.4</c:v>
                </c:pt>
                <c:pt idx="1">
                  <c:v>11.8</c:v>
                </c:pt>
                <c:pt idx="2">
                  <c:v>0.72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c:v>
                </c:pt>
                <c:pt idx="1">
                  <c:v>87.5</c:v>
                </c:pt>
                <c:pt idx="2">
                  <c:v>25.9</c:v>
                </c:pt>
                <c:pt idx="3">
                  <c:v>11.5</c:v>
                </c:pt>
                <c:pt idx="4">
                  <c:v>46.2</c:v>
                </c:pt>
                <c:pt idx="5">
                  <c:v>12.6</c:v>
                </c:pt>
                <c:pt idx="6">
                  <c:v>-18.2</c:v>
                </c:pt>
                <c:pt idx="7">
                  <c:v>74.9</c:v>
                </c:pt>
                <c:pt idx="8">
                  <c:v>-28.6</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34.9</c:v>
                </c:pt>
                <c:pt idx="1">
                  <c:v>29.2</c:v>
                </c:pt>
                <c:pt idx="2">
                  <c:v>34.8</c:v>
                </c:pt>
                <c:pt idx="3">
                  <c:v>40.3</c:v>
                </c:pt>
                <c:pt idx="4">
                  <c:v>24.4</c:v>
                </c:pt>
                <c:pt idx="5">
                  <c:v>36.3</c:v>
                </c:pt>
                <c:pt idx="6">
                  <c:v>22.7</c:v>
                </c:pt>
                <c:pt idx="7">
                  <c:v>17.6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29.2</c:v>
                </c:pt>
                <c:pt idx="1">
                  <c:v>29.2</c:v>
                </c:pt>
                <c:pt idx="2">
                  <c:v>29.2</c:v>
                </c:pt>
                <c:pt idx="3">
                  <c:v>29.2</c:v>
                </c:pt>
                <c:pt idx="4">
                  <c:v>29.2</c:v>
                </c:pt>
                <c:pt idx="5">
                  <c:v>29.2</c:v>
                </c:pt>
                <c:pt idx="6">
                  <c:v>29.2</c:v>
                </c:pt>
                <c:pt idx="7">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Qualys</c:v>
                </c:pt>
                <c:pt idx="1">
                  <c:v>Tenable Holdings</c:v>
                </c:pt>
                <c:pt idx="2">
                  <c:v>Rapid7</c:v>
                </c:pt>
                <c:pt idx="3">
                  <c:v>CrowdStrike</c:v>
                </c:pt>
                <c:pt idx="4">
                  <c:v>Palo Alto Networks</c:v>
                </c:pt>
                <c:pt idx="5">
                  <c:v>Fortinet</c:v>
                </c:pt>
                <c:pt idx="6">
                  <c:v>Check Point Software</c:v>
                </c:pt>
                <c:pt idx="7">
                  <c:v>Okta</c:v>
                </c:pt>
              </c:strCache>
            </c:strRef>
          </c:cat>
          <c:val>
            <c:numRef>
              <c:f>Hoja1!$B$2:$B$9</c:f>
              <c:numCache>
                <c:formatCode>0.0"x"</c:formatCode>
                <c:ptCount val="8"/>
                <c:pt idx="0">
                  <c:v>21.6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209</c:v>
                </c:pt>
                <c:pt idx="1">
                  <c:v>230</c:v>
                </c:pt>
                <c:pt idx="2">
                  <c:v>251</c:v>
                </c:pt>
                <c:pt idx="3">
                  <c:v>272</c:v>
                </c:pt>
                <c:pt idx="4">
                  <c:v>289</c:v>
                </c:pt>
                <c:pt idx="5">
                  <c:v>303</c:v>
                </c:pt>
                <c:pt idx="6">
                  <c:v>315</c:v>
                </c:pt>
                <c:pt idx="7">
                  <c:v>324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1400</c:v>
                </c:pt>
                <c:pt idx="1">
                  <c:v>2077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189,63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88.89</c:v>
                </c:pt>
                <c:pt idx="1">
                  <c:v>120.49</c:v>
                </c:pt>
                <c:pt idx="2">
                  <c:v>138.77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189,63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Hoja1!$B$2:$B$7</c:f>
              <c:numCache>
                <c:formatCode>#,##0</c:formatCode>
                <c:ptCount val="6"/>
                <c:pt idx="0">
                  <c:v>74.51</c:v>
                </c:pt>
                <c:pt idx="1">
                  <c:v>98.25</c:v>
                </c:pt>
                <c:pt idx="2">
                  <c:v>111.06</c:v>
                </c:pt>
                <c:pt idx="3">
                  <c:v>88.89</c:v>
                </c:pt>
                <c:pt idx="4">
                  <c:v>132.03</c:v>
                </c:pt>
                <c:pt idx="5">
                  <c:v>188.68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Hoja1!$C$2:$C$7</c:f>
              <c:numCache>
                <c:formatCode>#,##0</c:formatCode>
                <c:ptCount val="6"/>
                <c:pt idx="0">
                  <c:v>131.74</c:v>
                </c:pt>
                <c:pt idx="1">
                  <c:v>351.48</c:v>
                </c:pt>
                <c:pt idx="2">
                  <c:v>21.609999999999985</c:v>
                </c:pt>
                <c:pt idx="3">
                  <c:v>49.88000000000001</c:v>
                </c:pt>
                <c:pt idx="4">
                  <c:v>18.849999999999994</c:v>
                </c:pt>
                <c:pt idx="5">
                  <c:v>1.9000000000000057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