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Industria de Diseño Textil, S.A. (Inditex)</w:t>
      </w:r>
    </w:p>
    <w:p>
      <w:pPr>
        <w:spacing w:after="60"/>
        <w:rPr>
          <w:color w:val="52514E"/>
          <w:sz w:val="22"/>
          <w:szCs w:val="22"/>
        </w:rPr>
      </w:pPr>
      <w:r>
        <w:rPr>
          <w:color w:val="52514E"/>
          <w:sz w:val="22"/>
          <w:szCs w:val="22"/>
        </w:rPr>
        <w:t xml:space="preserve">ITX · Bolsa de Madrid (Mercado Continuo, SIBE), en EUR · ISIN ES0148396007 · Consumer Discretionary (Consumo discrecional)</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6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Vender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53,82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objetivo</w:t>
            </w:r>
          </w:p>
          <w:p>
            <w:pPr>
              <w:spacing w:after="0"/>
            </w:pPr>
            <w:r>
              <w:rPr>
                <w:rFonts w:ascii="Calibri" w:cs="Calibri" w:eastAsia="Calibri" w:hAnsi="Calibri"/>
                <w:b/>
                <w:bCs/>
                <w:color w:val="1F2A3C"/>
                <w:sz w:val="26"/>
                <w:szCs w:val="26"/>
              </w:rPr>
              <w:t xml:space="preserve">44,48 EUR · mercado 44,65</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total 12 m</w:t>
            </w:r>
          </w:p>
          <w:p>
            <w:pPr>
              <w:spacing w:after="0"/>
            </w:pPr>
            <w:r>
              <w:rPr>
                <w:rFonts w:ascii="Calibri" w:cs="Calibri" w:eastAsia="Calibri" w:hAnsi="Calibri"/>
                <w:b/>
                <w:bCs/>
                <w:color w:val="1F2A3C"/>
                <w:sz w:val="26"/>
                <w:szCs w:val="26"/>
              </w:rPr>
              <w:t xml:space="preserve">-15,1 % · mercado -14,8 %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167.649 M</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12,8x</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-0,4x</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de Diseño Textil, S.A. (Inditex)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ITX / ES0148396007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Bolsa de Madrid (Mercado Continuo, SIBE), en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IBEX 35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Consumer Discretionary (Consumo discrecional) / Specialty Retail - Apparel Retail (distribución especializada de ropa)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Arteixo (A Coruña) · 1985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163.047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www.inditex.com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53,82 (6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46,07 – 59,42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3.115,0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167.649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163.017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86,9 M EUR/día (1,58 M de acciones; 3 meses, solo Bolsa de Madrid)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 dic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Vender</w:t>
      </w:r>
      <w:r>
        <w:t xml:space="preserve"> · Convicción Baja · Valor objetivo </w:t>
      </w:r>
      <w:r>
        <w:rPr>
          <w:b/>
          <w:bCs/>
        </w:rPr>
        <w:t xml:space="preserve">44,48 EUR</w:t>
      </w:r>
      <w:r>
        <w:t xml:space="preserve"> frente a 53,82 · con la prima implícita del mercado: 44,65 (-17,0 %) · Rentabilidad total esperada a 12 meses </w:t>
      </w:r>
      <w:r>
        <w:rPr>
          <w:b/>
          <w:bCs/>
        </w:rPr>
        <w:t xml:space="preserve">-15,1 %</w:t>
      </w:r>
      <w:r>
        <w:t xml:space="preserve"> · Alcista / bajista +9,4 % / -48,1 %</w:t>
      </w:r>
    </w:p>
    <w:p>
      <w:pPr>
        <w:spacing w:after="100"/>
      </w:pPr>
      <w:r>
        <w:rPr>
          <w:b/>
        </w:rPr>
        <w:t xml:space="preserve">La recomendación y por qué.</w:t>
      </w:r>
      <w:r>
        <w:t xml:space="preserve"> Vender, con convicción baja. Nuestro valor objetivo es 44,48 EUR, un 17,4 % por debajo del precio de 53,82 EUR; con el dividendo ordinario (2,2 %), la rentabilidad total esperada a 12 meses es del −15,1 %, y el alcista gana un 9,4 % frente al −48,1 % del bajista (0,20 veces). Las dos reglas coinciden: con la prima implícita del mercado (4,20 % [153]) el WACC apenas cambia (8,48 % frente a 8,51 %), porque nuestra prima ya era la madura de Damodaran (4,23 %) y la beta es 1; el objetivo queda en 44,65 EUR (−14,8 % de rentabilidad total). No es un Vender solo absoluto: Inditex está cara frente a su coste de capital y frente a lo que hoy pide el mercado. La convicción es baja porque discrepamos en la tasa y en lo que dura el crecimiento, no en la operativa, y no vemos un catalizador propio con fecha.</w:t>
      </w:r>
    </w:p>
    <w:p>
      <w:pPr>
        <w:spacing w:after="100"/>
      </w:pPr>
      <w:r>
        <w:rPr>
          <w:b/>
        </w:rPr>
        <w:t xml:space="preserve">El negocio.</w:t>
      </w:r>
      <w:r>
        <w:t xml:space="preserve"> El diseño cercano y la reposición dentro de la temporada permiten vender a precio completo: margen bruto del 58,3 % en FY2025 y margen EBITDA del 28,3 %, frente a una mediana del 17,6 % en sus comparables [1]. El ROIC del 42,4 % quintuplica el WACC. Su calidad sostiene el crecimiento que proyectamos, un 5,3 % anual frente al 5,9 % de FY2019-FY2025: superficie y circulante negativo lo financian casi sin capital nuevo, el poder de precios está demostrado y la cuota solo pasaría del 2,4 % al 2,9 % [50]. El foso es estrecho: no protege de un error de colección como el de H&amp;M [71].</w:t>
      </w:r>
    </w:p>
    <w:p>
      <w:pPr>
        <w:spacing w:after="100"/>
      </w:pPr>
      <w:r>
        <w:rPr>
          <w:b/>
        </w:rPr>
        <w:t xml:space="preserve">Sector y ciclo.</w:t>
      </w:r>
      <w:r>
        <w:t xml:space="preserve"> En Europa, el 67 % de sus ventas, el gasto en vestido cae en volumen desde 2023 y la confianza del consumidor está en −15,8 [4, 53, 55]. Inditex gana cuota, así que su crecimiento depende de la superficie, guiada al +5 %, más que del mercado [2].</w:t>
      </w:r>
    </w:p>
    <w:p>
      <w:pPr>
        <w:spacing w:after="100"/>
      </w:pPr>
      <w:r>
        <w:rPr>
          <w:b/>
        </w:rPr>
        <w:t xml:space="preserve">Finanzas.</w:t>
      </w:r>
      <w:r>
        <w:t xml:space="preserve"> Entre FY2019 y FY2025 las ventas crecieron un 5,9 % anual y el BPA un 9,3 %; en euros el crecimiento bajó al 3,2 % en FY2025 por la divisa y repuntó al 7,6 % en el 1S26 [2, 4]. El flujo libre acumulado fue el 90 % del beneficio y la caja neta sin arrendamientos suma 10.398 M [5].</w:t>
      </w:r>
    </w:p>
    <w:p>
      <w:pPr>
        <w:spacing w:after="100"/>
      </w:pPr>
      <w:r>
        <w:rPr>
          <w:b/>
        </w:rPr>
        <w:t xml:space="preserve">Valoración.</w:t>
      </w:r>
      <w:r>
        <w:t xml:space="preserve"> El DCF da 42,80 EUR con un WACC del 8,51 % y una proyección a menos del 1,4 % del consenso hasta FY2028e [116, 132]; con la prima del mercado, 43,01 EUR. El DCF inverso pide un crecimiento del 8,2 % anual hasta FY2035e, frente al 5,0 % de nuestra base y el 5,9 % histórico, o aceptar una rentabilidad del 7,3 %, por debajo tanto de nuestro WACC como del 8,5 % que pide el mercado a una acción de beta 1. Frente a sus pares no está cara: 12,8x EBITDA NTM frente a 12,2x (50,77 EUR). No usamos la etapa de transición: es un negocio maduro en un mercado que crece un 3-4 %, y diez años explícitos ya recogen su ventaja; con ella, el DCF solo subiría un 2,5 %.</w:t>
      </w:r>
    </w:p>
    <w:p>
      <w:pPr>
        <w:spacing w:after="100"/>
      </w:pPr>
      <w:r>
        <w:rPr>
          <w:b/>
        </w:rPr>
        <w:t xml:space="preserve">Riesgos y catalizadores.</w:t>
      </w:r>
      <w:r>
        <w:t xml:space="preserve"> Nuestro riesgo es tener razón tarde: el arranque del 2S (+9 % a tipo constante) es bueno y los resultados del 2-dic-2026 pueden sostener el múltiplo [4, 120]. Un punto más de WACC resta un 14 % al DCF; un punto menos de crecimiento anual, un 7 %. La guía de superficie de marzo de 2027 es la siguiente prueba [20].</w:t>
      </w:r>
    </w:p>
    <w:p>
      <w:pPr>
        <w:spacing w:after="100"/>
      </w:pPr>
      <w:r>
        <w:rPr>
          <w:b/>
        </w:rPr>
        <w:t xml:space="preserve">Qué cambiaría la decisión.</w:t>
      </w:r>
      <w:r>
        <w:t xml:space="preserve"> Con la regla combinada, compraríamos por debajo de 39,85 EUR y venderíamos por encima de 48,84 EUR; entre ambos, Mantener. No basta con un factor: un Bund por debajo del 3 % (objetivo de 47,50 EUR) o un punto más de crecimiento anual (47,07 EUR) dejan la rentabilidad cerca del −10 %, pero el bajista sigue pesando más del doble que el alcista y la regla mantiene Vender. Pasaríamos a Mantener con las dos cosas a la vez o con el precio por debajo de 48,84 EUR.</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Vender</w:t>
      </w:r>
      <w:r>
        <w:t xml:space="preserve"> · Convicción: Baja · Horizonte: 12 meses · Valor objetivo: </w:t>
      </w:r>
      <w:r>
        <w:rPr>
          <w:b/>
          <w:bCs/>
        </w:rPr>
        <w:t xml:space="preserve">44,48 EUR</w:t>
      </w:r>
      <w:r>
        <w:t xml:space="preserve"> (-17,4 % sobre 53,82; rentabilidad total esperada -15,1 %) · con la prima implícita del mercado: 44,65 (-17,0 %)</w:t>
      </w:r>
    </w:p>
    <w:p>
      <w:pPr>
        <w:spacing w:after="100"/>
      </w:pPr>
      <w:r>
        <w:t xml:space="preserve">Inditex es el mejor operador de la moda cotizada: 39.864 M de ventas en FY2025, un margen EBITDA del 28,3 % (frente a una mediana del 17,6 % en sus comparables), un ROIC del 42,4 % y 10.398 M de caja neta sin arrendamientos [1, 5]. Su modelo de proximidad y reposición dentro de la temporada le permite vender a precio completo: el margen bruto ha subido 240 pb en seis ejercicios y la guía de «margen estable ±50 pb» se ha cumplido o superado cada año desde FY2022 [1, 107].</w:t>
      </w:r>
    </w:p>
    <w:p>
      <w:pPr>
        <w:spacing w:after="100"/>
      </w:pPr>
      <w:r>
        <w:t xml:space="preserve">El precio, 53,82 EUR, descuenta más que eso. Con nuestros márgenes, exige que las ventas crezcan un 8,2 % anual entre FY2027e y FY2035e, frente al 5,9 % de FY2019-FY2025 y al 7,1-7,5 % que el consenso espera solo para los dos próximos ejercicios [116]; dicho de otro modo, implica una rentabilidad del 7,3 % anual, solo 3,8 puntos sobre un Bund en el 3,49 % [132]. Cotiza a 23,4 veces el beneficio de los próximos 12 meses y a 12,8 veces el EBITDA.</w:t>
      </w:r>
    </w:p>
    <w:p>
      <w:pPr>
        <w:spacing w:after="100"/>
      </w:pPr>
      <w:r>
        <w:t xml:space="preserve">El mercado acierta en la calidad y paga por ella lo mismo que por TJX o Ross, pero exige poco a cambio: para invertir hay que creer que Inditex crecerá nueve años como en su mejor etapa reciente, o aceptar una rentabilidad inferior a la del mercado. Nuestro valor objetivo es 44,48 EUR (−17,4 %), y con la prima implícita del mercado (4,20 % [153]) apenas cambia: 44,65 EUR. Las dos reglas dan Vender. La debilidad de la recomendación es el calendario: el arranque del 2S (+9 % a tipo constante) es bueno y no vemos un catalizador propio que fuerce la convergencia en 12 meses [4].</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(síntesis ponderada)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44,48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9,4 % / -48,1 %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7,3 % frente a 8,5 % y 8,5 %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8,5 %)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44,65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0,21x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(FY2027e-FY2035e)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8,2 % frente a 2,6 %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(5,3 %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las reglas (manda la relativa salvo contradicción; un Comprar solo relativo exige ≥ 5 % con nuestro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(no llega a Alta: rentabilidad del -15,1 % (&gt; −20 %); con la prima del mercado, -14,8 % (&gt; −15 %); el precio pide 3,2 puntos más de crecimiento que el caso base (&lt; 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39,85 (rentabilidad total esperada ≥ 15 % y el alcista compensa al bajista, con la regla combinada)</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39,85 y 48,84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48,84 (rentabilidad total esperada ≤ −10 %, o negativa con un bajista que pesa el doble que el alcista, con la regla combinada)</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48,84 EUR, pasaríamos a Mantener; por debajo de 39,85 EUR (rentabilidad total esperada ≥ 15 %), a Comprar.</w:t>
      </w:r>
    </w:p>
    <w:p>
      <w:pPr>
        <w:pStyle w:val="ListParagraph"/>
        <w:numPr>
          <w:ilvl w:val="0"/>
          <w:numId w:val="2"/>
        </w:numPr>
        <w:spacing w:after="60"/>
      </w:pPr>
      <w:r>
        <w:t xml:space="preserve">Si en marzo de 2027 Inditex guía una superficie bruta superior al 5 % y el crecimiento a tipo constante de FY2026 supera el 10 %, subiríamos un punto el crecimiento anual del DCF (46,02 EUR; objetivo de 47,07 EUR): sola, esa mejora no basta para salir de Vender, porque el bajista sigue pesando más del doble que el alcista.</w:t>
      </w:r>
    </w:p>
    <w:p>
      <w:pPr>
        <w:pStyle w:val="ListParagraph"/>
        <w:numPr>
          <w:ilvl w:val="0"/>
          <w:numId w:val="2"/>
        </w:numPr>
        <w:spacing w:after="60"/>
      </w:pPr>
      <w:r>
        <w:t xml:space="preserve">Si además el Bund baja del 3,0 % de forma sostenida (WACC del 8,0 %; objetivo de 47,50 EUR por sí solo), pasaríamos a Mantener.</w:t>
      </w:r>
    </w:p>
    <w:p>
      <w:pPr>
        <w:pStyle w:val="ListParagraph"/>
        <w:numPr>
          <w:ilvl w:val="0"/>
          <w:numId w:val="2"/>
        </w:numPr>
        <w:spacing w:after="60"/>
      </w:pPr>
      <w:r>
        <w:t xml:space="preserve">Si el margen bruto de FY2026 sale por debajo del 57,8 % (fuera del rango ±50 pb), mantendríamos Vender con convicción media.</w:t>
      </w:r>
    </w:p>
    <w:p>
      <w:pPr>
        <w:pStyle w:val="Heading2"/>
      </w:pPr>
      <w:r>
        <w:t xml:space="preserve">Dónde discrepamos del mercado</w:t>
      </w:r>
    </w:p>
    <w:p>
      <w:pPr>
        <w:keepNext/>
        <w:spacing w:after="100"/>
      </w:pPr>
      <w:r>
        <w:rPr>
          <w:b/>
          <w:bCs/>
        </w:rPr>
        <w:t xml:space="preserve">Lo que descuenta el precio.</w:t>
      </w:r>
    </w:p>
    <w:p>
      <w:pPr>
        <w:spacing w:after="100"/>
      </w:pPr>
      <w:r>
        <w:t xml:space="preserve">El consenso (20 compras de 24 analistas y un precio objetivo medio de 60,39 EUR) trata a Inditex como un valor de crecimiento compuesto que merece 25 veces beneficio indefinidamente: ventas del 7-8 % anual, márgenes en máximos y una rentabilidad exigida cercana al 7 % [115, 116]. En la práctica, la valora por los múltiplos de sus pares de calidad (TJX, Ross, Fast Retailing) y no por sus flujos.</w:t>
      </w:r>
    </w:p>
    <w:p>
      <w:pPr>
        <w:keepNext/>
        <w:spacing w:after="100"/>
      </w:pPr>
      <w:r>
        <w:rPr>
          <w:b/>
          <w:bCs/>
        </w:rPr>
        <w:t xml:space="preserve">Lo que creemos nosotros.</w:t>
      </w:r>
    </w:p>
    <w:p>
      <w:pPr>
        <w:spacing w:after="100"/>
      </w:pPr>
      <w:r>
        <w:t xml:space="preserve">Compartimos las cifras operativas: nuestra proyección queda dentro del 1,4 % del consenso en ventas y EBITDA hasta FY2028e. Discrepamos en dos cosas: en lo que dura el crecimiento (bajamos del 7 % al 3 % en diez años, porque la superficie crece absorbiendo tiendas pequeñas y el online se ha estancado en torno al 27 % de las ventas) y en la rentabilidad exigida (8,5 %, con el Bund en el 3,49 % y la inflación de la eurozona en el 3,8 %) [2, 131].</w:t>
      </w:r>
    </w:p>
    <w:p>
      <w:pPr>
        <w:keepNext/>
        <w:spacing w:after="100"/>
      </w:pPr>
      <w:r>
        <w:rPr>
          <w:b/>
          <w:bCs/>
        </w:rPr>
        <w:t xml:space="preserve">Por qué podemos tener razón.</w:t>
      </w:r>
    </w:p>
    <w:p>
      <w:pPr>
        <w:spacing w:after="100"/>
      </w:pPr>
      <w:r>
        <w:t xml:space="preserve">Los precedentes apoyan la cautela: el crecimiento en euros bajó de +10,4 % a +3,2 % entre FY2023 y FY2025, la divisa restó 3-4 puntos cada año y la acción perdió un 38,9 % en 2021-2022 sin que el negocio fallara, solo por tipos y múltiplos [2, 114]. Hoy la prima de riesgo implícita en el precio (3,8 puntos sobre el Bund) es menor que la que pide el mercado en su conjunto: la prima implícita del S&amp;P 500 es del 4,20 % [153] y la madura de Damodaran, del 4,23 % [135], para una acción de beta 1.</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53,8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Negocio excepcional</w:t>
      </w:r>
      <w:r>
        <w:t xml:space="preserve">: ROIC del 42,4 % y margen EBITDA del 28,3 %, por encima de las medianas de sus comparables (29,4 % y 17,6 %).</w:t>
      </w:r>
    </w:p>
    <w:p>
      <w:pPr>
        <w:pStyle w:val="ListParagraph"/>
        <w:numPr>
          <w:ilvl w:val="0"/>
          <w:numId w:val="2"/>
        </w:numPr>
        <w:spacing w:after="60"/>
      </w:pPr>
      <w:r>
        <w:rPr>
          <w:b/>
        </w:rPr>
        <w:t xml:space="preserve">Balance sin riesgo</w:t>
      </w:r>
      <w:r>
        <w:t xml:space="preserve">: 10.398 M de caja neta sin arrendamientos y ninguna deuda financiera [5].</w:t>
      </w:r>
    </w:p>
    <w:p>
      <w:pPr>
        <w:pStyle w:val="ListParagraph"/>
        <w:numPr>
          <w:ilvl w:val="0"/>
          <w:numId w:val="2"/>
        </w:numPr>
        <w:spacing w:after="60"/>
      </w:pPr>
      <w:r>
        <w:rPr>
          <w:b/>
        </w:rPr>
        <w:t xml:space="preserve">Ejecución creíble</w:t>
      </w:r>
      <w:r>
        <w:t xml:space="preserve">: margen bruto dentro o por encima de la guía cada año desde FY2022 y del 58,7 % en el 1S26 [4, 107].</w:t>
      </w:r>
    </w:p>
    <w:p>
      <w:pPr>
        <w:pStyle w:val="ListParagraph"/>
        <w:numPr>
          <w:ilvl w:val="0"/>
          <w:numId w:val="2"/>
        </w:numPr>
        <w:spacing w:after="60"/>
      </w:pPr>
      <w:r>
        <w:rPr>
          <w:b/>
        </w:rPr>
        <w:t xml:space="preserve">Arranque fuerte del 2S26</w:t>
      </w:r>
      <w:r>
        <w:t xml:space="preserve">: ventas +9 % a tipo constante del 1-ago al 7-sep-2026 [4].</w:t>
      </w:r>
    </w:p>
    <w:p>
      <w:pPr>
        <w:pStyle w:val="ListParagraph"/>
        <w:numPr>
          <w:ilvl w:val="0"/>
          <w:numId w:val="2"/>
        </w:numPr>
        <w:spacing w:after="60"/>
      </w:pPr>
      <w:r>
        <w:rPr>
          <w:b/>
        </w:rPr>
        <w:t xml:space="preserve">En precio frente a sus pares</w:t>
      </w:r>
      <w:r>
        <w:t xml:space="preserve">: 12,8x EBITDA NTM frente a 12,2x de la mediana de los seis comparables, con más margen y ROIC.</w:t>
      </w:r>
    </w:p>
    <w:p>
      <w:pPr>
        <w:pStyle w:val="Heading2"/>
      </w:pPr>
      <w:r>
        <w:t xml:space="preserve">En contra</w:t>
      </w:r>
    </w:p>
    <w:p>
      <w:pPr>
        <w:pStyle w:val="ListParagraph"/>
        <w:numPr>
          <w:ilvl w:val="0"/>
          <w:numId w:val="2"/>
        </w:numPr>
        <w:spacing w:after="60"/>
      </w:pPr>
      <w:r>
        <w:rPr>
          <w:b/>
        </w:rPr>
        <w:t xml:space="preserve">El precio exige demasiado</w:t>
      </w:r>
      <w:r>
        <w:t xml:space="preserve">: el DCF inverso pide un 8,2 % de crecimiento anual hasta FY2035e o aceptar un 7,3 % de rentabilidad.</w:t>
      </w:r>
    </w:p>
    <w:p>
      <w:pPr>
        <w:pStyle w:val="ListParagraph"/>
        <w:numPr>
          <w:ilvl w:val="0"/>
          <w:numId w:val="2"/>
        </w:numPr>
        <w:spacing w:after="60"/>
      </w:pPr>
      <w:r>
        <w:rPr>
          <w:b/>
        </w:rPr>
        <w:t xml:space="preserve">Asimetría desfavorable</w:t>
      </w:r>
      <w:r>
        <w:t xml:space="preserve">: el alcista da +9,4 % y el bajista −48,1 % (0,20 veces).</w:t>
      </w:r>
    </w:p>
    <w:p>
      <w:pPr>
        <w:pStyle w:val="ListParagraph"/>
        <w:numPr>
          <w:ilvl w:val="0"/>
          <w:numId w:val="2"/>
        </w:numPr>
        <w:spacing w:after="60"/>
      </w:pPr>
      <w:r>
        <w:rPr>
          <w:b/>
        </w:rPr>
        <w:t xml:space="preserve">Crecimiento en euros a la baja</w:t>
      </w:r>
      <w:r>
        <w:t xml:space="preserve">: +3,2 % en FY2025 frente a +10,4 % en FY2023, con la divisa restando 3-4 puntos al año [2].</w:t>
      </w:r>
    </w:p>
    <w:p>
      <w:pPr>
        <w:pStyle w:val="ListParagraph"/>
        <w:numPr>
          <w:ilvl w:val="0"/>
          <w:numId w:val="2"/>
        </w:numPr>
        <w:spacing w:after="60"/>
      </w:pPr>
      <w:r>
        <w:rPr>
          <w:b/>
        </w:rPr>
        <w:t xml:space="preserve">Costes al alza</w:t>
      </w:r>
      <w:r>
        <w:t xml:space="preserve">: gastos operativos +8,3 % frente a ventas +7,6 % en el 1S26 por el transporte de Oriente Medio, y aranceles del 12,5 % a Marruecos y Turquía en EE. UU. [20, 62].</w:t>
      </w:r>
    </w:p>
    <w:p>
      <w:pPr>
        <w:pStyle w:val="ListParagraph"/>
        <w:numPr>
          <w:ilvl w:val="0"/>
          <w:numId w:val="2"/>
        </w:numPr>
        <w:spacing w:after="60"/>
      </w:pPr>
      <w:r>
        <w:rPr>
          <w:b/>
        </w:rPr>
        <w:t xml:space="preserve">Tipos en máximos</w:t>
      </w:r>
      <w:r>
        <w:t xml:space="preserve">: Bund en el 3,49 % e inflación de la eurozona en el 3,8 %, con el BCE subiendo [131, 132].</w:t>
      </w:r>
    </w:p>
    <w:p>
      <w:pPr>
        <w:pStyle w:val="Heading2"/>
      </w:pPr>
      <w:r>
        <w:t xml:space="preserve">Qué tiene que pasar para que la tesis funcione</w:t>
      </w:r>
    </w:p>
    <w:p>
      <w:pPr>
        <w:spacing w:after="100"/>
      </w:pPr>
      <w:r>
        <w:t xml:space="preserve">La tesis depende de que el crecimiento a tipo constante no sostenga el 9 % y de que los tipos no bajen. La señal de error sería una guía de superficie para 2027 por encima del 5 % en marzo de 2027 con arranques de doble dígito, o un Bund por debajo del 3 %: con un WACC del 7,5 % y un crecimiento terminal del 3 %, el DCF daría 54,92 EUR, el precio actual. La señal de acierto: un margen bruto del 9M26 fuera del rango por abajo y arranques por debajo del +6 %.</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ventas a tipo constante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 en 1S26; +9 % del 1-ago al 7-sep [4]</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encima del 10 % dos trimestres seguidos, o por debajo del 6 %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variable que separa nuestro DCF (5,0 % medio) del precio (8,2 %).</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58,7 % en 1S26 (+40 pb) [4]</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Fuera del rango ±50 pb sobre el 58,3 % de FY2025</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punto de margen EBITDA mueve el valor un 5 %.</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Superficie bruta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+5 % guiado para 2026 [4]</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Guía de 2027 por debajo del 4 % o por encima del 6 %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motor del crecimiento a largo plazo.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Bund a 10 años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3,49 % [132]</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3,0 % o por encima del 4,0 %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Medio punto de WACC mueve el DCF unos 3,8 EUR por acción.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Existencias frente a ventas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 frente a +7,6 % (jul-26) [4]</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Existencias creciendo más de 5 puntos por encima de las ventas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Anticipa rebajas y presión en el margen del 4T.</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14,0x / 12,8x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26,2x / 23,4x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19,7x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(FY2019-FY2025)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-0,4x · -0,4x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Amancio Ortega empezó en la confección en 1963 y abrió la primera tienda Zara en A Coruña en 1975: el fabricante se hizo minorista, y esa integración de diseño, aprovisionamiento cercano y tienda es todavía el modelo [35, 36]. Inditex se constituyó en 1985, salió de España en 1988 y sumó Pull&amp;Bear, Massimo Dutti, Bershka y Stradivarius en los noventa [36]. Salió a bolsa en mayo de 2001 [36]. Zara vende por internet desde 2010 [42]. Ortega dejó la presidencia en 2011 a Pablo Isla [41]; en 2021-2022 la familia recuperó la presidencia con Marta Ortega, con Óscar García Maceiras como consejero delegado [40]. En 2022 salió de Rusia y cerró Uterqüe [37, 39], y en 2024-2025 invirtió 900 M al año en capacidad logística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1963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Amancio Ortega empieza en la confección y abre Confecciones GOA, un pequeño taller [36]; en 1972 funda Confecciones Goa, S.A., la primera fábrica del grupo [35].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tienda Zara en A Coruña: el negocio pasa de fabricante a minorista (Zara España, S.A.) [35, 36].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constituye Inditex como sociedad cabecera que agrupa las compañías [36].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1988-1990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Primeras tiendas fuera de España: Oporto, Nueva York y París [36].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1991-1999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incorporan Pull&amp;Bear, Massimo Dutti, Bershka y Stradivarius: nace el modelo multimarca [36].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el 23 de mayo de 2001 en las cuatro bolsas españolas y entrada en el IBEX 35 en julio; nace Oysho [35, 36].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Creación de Zara Home [36].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Zara abre su tienda online el 2 de septiembre en seis países europeos (Zara Home vendía online desde 2007) [36, 42].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Amancio Ortega deja la presidencia en la junta de julio; le sucede Pablo Isla, consejero delegado desde 2005 [35, 40, 41].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Óscar García Maceiras, consejero delegado desde el 29 de noviembre de 2021; Marta Ortega, presidenta desde el 1 de abril de 2022 [35, 40]. Uterqüe cierra sus 82 tiendas en febrero de 2022 y se integra en Massimo Dutti [39].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más de 500 tiendas en Rusia (5 de marzo) y acuerdo de venta del negocio ruso al grupo emiratí Daher (25 de octubre) [37, 38].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2024-2025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Programa extraordinario de 900 M EUR anuales en capacidad logística (Zaragoza II en marcha en 2025); 50 años de Zara; ventas de 39.864 M EUR en el ejercicio 2025 [34, 35].</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Inditex diseña, aprovisiona y vende moda con ocho formatos (Zara, Pull&amp;Bear, Massimo Dutti, Bershka, Stradivarius, Oysho, Lefties y Zara Home) en 215 mercados [4]. Vendió 39.864 M en FY2025: el 91 % en tiendas propias y online (36.390 M), el 7 % a franquicias (2.935 M) y el resto en otros servicios [1]. Zara, con Zara Home y Lefties, es el 70 % de las ventas y el 69 % del beneficio antes de impuestos de los formatos [2]. Tenía 5.460 tiendas en enero de 2026 (4.310 propias), un 2 % menos que un año antes, porque sustituye tiendas pequeñas por grandes: en tres ejercicios la superficie neta creció un 6 % con un 6 % menos de tiendas [2]. El online facturó 10.700 M en FY2025, el 26,8 % de las ventas, integrado con la tienda: el 60 % de las devoluciones online se hace en tienda [2, 20]. No tiene fábricas propias relevantes: trabaja con 6.684 fábricas en 49 mercados, con una parte significativa en proximidad (España, Portugal, Marruecos y Turquía) [34].</w:t>
      </w:r>
    </w:p>
    <w:p>
      <w:pPr>
        <w:pStyle w:val="Heading2"/>
      </w:pPr>
      <w:r>
        <w:t xml:space="preserve">Cómo gana dinero</w:t>
      </w:r>
    </w:p>
    <w:p>
      <w:pPr>
        <w:spacing w:after="100"/>
      </w:pPr>
      <w:r>
        <w:t xml:space="preserve">El margen sale de vender a precio completo: con series cortas y reposición dentro de la temporada, Inditex rebaja menos que sus rivales y su margen bruto subió de 55,9 % en FY2019 a 58,3 % en FY2025 y 58,7 % en el 1S26 [1, 4]. El coste más grande después de la mercancía es el personal (5.914 M en FY2025, 14,8 % de las ventas) y el alquiler variable ligado a ventas (690 M) [1]. El negocio es de caja: el fondo de maniobra operativo es negativo (−4.173 M en enero de 2026) porque cobra al contado y paga a proveedores a más plazo, así que crecer libera caja [2]. Hay estacionalidad marcada: el tercer trimestre (agosto-octubre) es el de mayor margen EBITDA (32,5 % en 3T25) y el cuarto, con rebajas, el de menor (25,4 %) [3]. El apalancamiento operativo es moderado: los gastos operativos crecieron un 8,3 % en el 1S26 frente a un 7,6 % de ventas, por el transporte encarecido por el conflicto de Oriente Medio [20].</w:t>
      </w:r>
    </w:p>
    <w:p>
      <w:pPr>
        <w:pStyle w:val="Heading2"/>
      </w:pPr>
      <w:r>
        <w:t xml:space="preserve">Segmentos (FY2025)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Zara (Zara, Zara Home y Lefties)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28.051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BAI</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Pull&amp;Bear</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BAI</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Massimo Dutti</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BAI</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Bershka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BAI</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Stradivarius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BAI</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Oysho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BAI</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Zara (Zara, Zara Home y Lefties)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19.586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23.761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26.050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27.778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28.051</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Pull&amp;Bear</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Massimo Dutti</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Bershka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Stradivarius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3.002</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Oysho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Cliente final atomizado: no hay concentración (el mayor canal mayorista son las franquicias, el 7,4 % de las ventas, repartidas en unos 1.150 puntos, sobre todo en Oriente Medio y mercados pequeños) [1, 35]. No hay contratos ni recurrencia: la retención depende de la novedad de la colección y de la experiencia en tienda y online. El poder de precios se ve en el margen bruto, que ha subido 240 pb en seis ejercicios a pesar de la inflación de costes de 2022-2023 y del transporte de 2026, y en que Inditex mantiene la guía de margen bruto «estable ±50 pb» desde FY2022 y la ha cumplido o superado cada año [1, 107]. El límite está en el volumen: el gasto en vestido de la UE-27 cayó en volumen un 0,7 % en 2023 y un 0,6 % en 2024 mientras subía en euros [53].</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ventas a tipo de cambio constante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 (FY2025); +9,2 %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Reportado +7,5 % y +3,2 %; efecto divisa ≈ -3 y -4 pp [2, 4, 12].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57,8 %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58,3 % (FY2025); 58,7 %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pb</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2026: estable ±50 pb [2,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Número de tiendas al cierre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5.563 (ene-25)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5.460 (ene-26); 5.444 (jul-26)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4.310 propias y 1.150 franquicias a ene-26; 190 aperturas y 293 absorciones en 2025 [2, 3,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Superficie comercial (m²)</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4.650.575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4.720.703 (FY2025)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Espacio bruto nuevo +5,8 % en 2024 y +5,3 % en 2025; guía ≈ +5 % en 2026 [2, 12].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online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10.200 M (FY2024, +12,0 %)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10.700 M (FY2025, +4,8 %)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≈27 % de las ventas; no se publica la cifra semestral [2, 12].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Existencias al cierre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3.321 M (ene-25)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3.249 M (ene-26); 3.789 M (jul-26, +9,3 %)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Rotación FY2025 = coste de ventas / existencias medias ≈ 5,1 veces (≈71 días), estimación propia [1,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Mercados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(FY2025); 215 online y 98 con tiendas (sep-26)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 12, 20]</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Plantilla (grupo y negocios conjuntos)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162.083 (ene-25)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163.047 (ene-26)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140.064 en tiendas [1].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la venta minorista de prendas y calzado, mundial (Inditex vende en 215 mercados) y con núcleo en Europa, que es el 67 % de sus ventas [2, 4]. Euromonitor lo cifra en 1,86 billones de USD en 2025 (≈ 1,65 billones de EUR) [50]; Statista da unos 2,6 billones con un perímetro de calzado casi doble, así que usamos Euromonitor para el tamaño mundial [48, 49]. Ninguna fuente gratuita publica la serie mundial anual, por lo que la serie es el gasto de los hogares de la UE-27 en vestido y calzado (Eurostat), con 2025e y 2026e como estimaciones propias [53].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1,86 billones de USD en 2025 (≈ 1.646.000 M EUR al cambio medio de 2025) en ventas minoristas mundiales de prendas y calzado, y 1,93 billones de USD previstos en 2026 (+3,7 %), según Euromonitor [50]. En Europa, el gasto de los hogares de la UE-27 en vestido y calzado fue de 381.558 M EUR en 2024 [53].</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Fragmentada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EUR corrientes; gasto de los hogares de la UE-27 en vestido y calzado (Eurostat, COICOP CP03); 2025e y 2026e son estimaciones propias)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frente a volumen en Europa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gasto nominal de la UE-27 en vestido y calzado creció un 3,5 % en 2023 y un 1,2 % en 2024, pero en volumen cayó un 0,7 % y un 0,6 % [53]; la inflación del vestido y calzado fue del 4,4 % en 2023, del 1,6 % en 2024 y del 0,4 % en 2025 [56].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Confianza del consumidor europeo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Confianza del consumidor UE-27: −12,2 en febrero de 2026, −19,8 en abril y −15,8 en septiembre de 2026; en España, −4,7 en septiembre de 2026 [55].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Canal online y omnicanalidad</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ventas minoristas por correo e internet en la UE-27 crecieron en volumen un 5,6 % en 2024 y un 7,6 % en 2025, frente al 1,4 % y 2,5 % del comercio minorista total [54]; el online es el 16,9 % del comercio textil español en 2025 [59], el 26,8 % de las ventas de Inditex [35] y algo más del 30 % de las de H&amp;M [71].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mercados emergentes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Euromonitor: Asia-Pacífico aportará más del 30 % del crecimiento mundial entre 2025 y 2030; Oriente Medio y África crecerán a más del 10 % anual; EE. UU. y China suman el 44 % de las ventas mundiales de 2025 [51].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Moda ultrarrápida y competencia de precio desde China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Shein pasó de 32.100 M USD de ingresos en 2023 a 41.800 M USD en 2025 (+8 % en 2025, +20,7 % en 2024) [78, 80]; la UE cobra un derecho de 3 EUR a los paquetes de comercio electrónico de bajo valor desde el 1-7-2026 (4.600 millones de paquetes en 2024, más del 90 % de China) [67].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Aranceles y coste de aprovisionamiento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 aplica desde el 24-7-2026 aranceles de la Sección 301 del 10-12,5 % (China, Vietnam, Turquía y Marruecos 12,5 %; Bangladés, India, Pakistán, Camboya 10 %; UE 10 %) [62]; el 71 % de los directivos de moda prevé subir precios en 2026 [52]; Gap estimó un impacto neto de los aranceles de ≈200 pb en su margen de mercancía del 4T [75].</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 muy fragmentado: los cinco mayores (TJX, Nike, Inditex, Shein y adidas) suman ≈11,9 % de 1,86 billones de USD (estimación propia [35, 50, 74, 78, 81, 82]); Inditex habla de un sector «muy fragmentado» con cuota baja [35]; el 46 % de los directivos espera que las condiciones empeoren en 2026 [52]; Primark cayó un 2,3 % en ventas comparables en su ejercicio 2025 [73].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 atomizado pero sin costes de cambio y sensible al precio: en 2022 la inflación del vestido y calzado en la UE fue del 2,9 % frente al 9,2 % general, y en 2025 del 0,4 % frente al 2,5 % [56]; los volúmenes cayeron en 2023-2024 [53].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fabril fragmentada y no exclusiva: Inditex trabaja con 6.684 fábricas en 49 mercados y ninguna propia salvo las de Arteixo [34]; el riesgo está más en la concentración geográfica (Asia y resto del mundo: 4.133 fábricas) que en el poder de negociación [34].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online abarata la entrada: Shein llegó a 41.800 M USD de ingresos en 2025 [78]; pero la escala logística y de marca pesa, y la regulación encarece el modelo transfronterizo (fin del «de minimis» en EE. UU. en mayo de 2025 [84], derecho de 3 EUR a los paquetes de bajo valor en la UE desde julio de 2026 [67]).</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sustitutos (segunda mano, reparación, alquiler) son todavía marginales, aunque crecen con la regulación: prohibición de destruir ropa no vendida desde julio de 2026 [65] y responsabilidad ampliada del productor textil antes de abril de 2028 [66]; Zara Pre-Owned opera en 17 mercados [34].</w:t>
            </w:r>
          </w:p>
        </w:tc>
      </w:tr>
    </w:tbl>
    <w:p>
      <w:pPr>
        <w:spacing w:after="160" w:before="0"/>
      </w:pPr>
    </w:p>
    <w:p>
      <w:pPr>
        <w:pStyle w:val="Heading2"/>
      </w:pPr>
      <w:r>
        <w:t xml:space="preserve">Ciclo</w:t>
      </w:r>
    </w:p>
    <w:p>
      <w:pPr>
        <w:spacing w:after="100"/>
      </w:pPr>
      <w:r>
        <w:t xml:space="preserve">El sector está en madurez del ciclo: el gasto europeo en vestido crece en euros pero cae en volumen (−0,7 % en 2023 y −0,6 % en 2024) y la confianza del consumidor de la UE está en −15,8 en septiembre de 2026, tras tocar −19,8 en abril [53, 55]. En 2009 el gasto de la UE cayó un 4,0 %, el de España un 9,2 % y el de EE. UU. un 4,2 %, pero Inditex creció un 7 % [53, 57, 68]. En 2020 el gasto de la UE cayó un 15,3 % y las ventas de Inditex un 27,9 %, con el beneficio un 71 % abajo [53, 69]. En 2022 el rebote fue del 15,8 % y Inditex creció un 17,5 % [53, 70]: la empresa gana cuota en las caídas normales y solo sufre con cierres físicos. En España, el comercio de moda cayó un 1,1 % en 2025 y acumula +2,1 % hasta agosto de 2026, con el comercio minorista total en −0,4 % interanual en agosto [58, 60, 61].</w:t>
      </w:r>
    </w:p>
    <w:p>
      <w:pPr>
        <w:pStyle w:val="Heading2"/>
      </w:pPr>
      <w:r>
        <w:t xml:space="preserve">Regulación</w:t>
      </w:r>
    </w:p>
    <w:p>
      <w:pPr>
        <w:spacing w:after="100"/>
      </w:pPr>
      <w:r>
        <w:t xml:space="preserve">Tres frentes con fecha. </w:t>
      </w:r>
      <w:r>
        <w:rPr>
          <w:b/>
        </w:rPr>
        <w:t xml:space="preserve">Aranceles de EE. UU.</w:t>
      </w:r>
      <w:r>
        <w:t xml:space="preserve">: el Supremo anuló en febrero de 2026 los aranceles «recíprocos» y, tras un 10 % global temporal, desde el 24-7-2026 rigen los de la Sección 301 del 10-12,5 %, con un 12,5 % para Marruecos y Turquía, dos clústeres de proximidad, y un 10 % para la UE [62, 63]. Inditex ha ido desplazando compra de China a India y Marruecos y la dirección insiste en que «lo monitoriza» con un aprovisionamiento diversificado, pero no publica cuánto vende en EE. UU. [43, 45, 47]; el mercado llegó a ver los aranceles asimétricos de 2025 como el peor escenario para su modelo [46]. </w:t>
      </w:r>
      <w:r>
        <w:rPr>
          <w:b/>
        </w:rPr>
        <w:t xml:space="preserve">Comercio electrónico de bajo valor</w:t>
      </w:r>
      <w:r>
        <w:t xml:space="preserve">: la UE cobra 3 EUR por paquete desde el 1-7-2026, lo que encarece a Shein y Temu [67]. </w:t>
      </w:r>
      <w:r>
        <w:rPr>
          <w:b/>
        </w:rPr>
        <w:t xml:space="preserve">Sostenibilidad</w:t>
      </w:r>
      <w:r>
        <w:t xml:space="preserve">: prohibición de destruir textiles no vendidos para grandes empresas desde julio de 2026, responsabilidad ampliada del productor textil antes de abril de 2028, y una CSDDD rebajada por la Directiva Ómnibus I (transposición hasta julio de 2028) [64, 65, 66].</w:t>
      </w:r>
    </w:p>
    <w:p>
      <w:pPr>
        <w:pStyle w:val="Heading2"/>
      </w:pPr>
      <w:r>
        <w:t xml:space="preserve">Tendencias y disrupción</w:t>
      </w:r>
    </w:p>
    <w:p>
      <w:pPr>
        <w:spacing w:after="100"/>
      </w:pPr>
      <w:r>
        <w:t xml:space="preserve">Gana el valor: TJX creció un 7 % con ventas comparables +5 % y Primark añade un 4-5 % anual con aperturas [73, 74]; Inditex responde con Lefties, que entra en Reino Unido y Francia en 2026 [2]. La moda ultrarrápida pierde impulso: Shein creció un 8 % en 2025, perdió dinero en el 1T26 y salió a bolsa valorada en unos 27.000 M USD, frente a 98.200 M en 2022 [78, 79, 80]. El online crece más que la tienda en la UE (+7,6 % en volumen en 2025 frente al +2,5 % del comercio total) [54], e Inditex lo integra con la tienda (etiqueta «soft tag» en todas las tiendas, probador con IA en 43 mercados) [4, 35]. Inditex gana con estas tendencias: crece más que el mercado (+7,0 % a tipo constante en FY2025 frente a ≈ +3,5 % mundial) [2, 50].</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Mayor especialista mundial en moda de rotación rápida y segundo distribuidor de ropa por ventas tras TJX: ≈ 2,4 % de un mercado mundial fragmentado, en el que los cinco primeros suman ≈ 12 % [2, 50].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TJX Companies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TJX</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50.652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Outlet de marcas (TJ Maxx, Marshalls, HomeGoods, TK Maxx) a precios un 20-60 % inferiores; ejercicio a ene-2026: 60.372 M USD (+7 %), comparables +5 %, 5.214 tiendas; EBIT = beneficio antes de impuestos 7.299 M USD menos ingreso financiero neto 121 M USD; incluye un beneficio neto por un litigio (margen antes de impuestos ajustado 11,7 %) [74].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Shein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 / Singapur</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35.617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Moda ultrarrápida online desde China; 2025: 41.850 M USD (+8 %), beneficio neto 2.064 M USD (−38,7 %), beneficio operativo ≈1.700 M USD según prensa; pérdida de 99 M USD en el 1T 2026; salida a bolsa en Hong Kong prevista el 1-9-2026 [78, 79, 80]. Cifras de prensa sobre su folleto, no leídas en el original.</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H&amp;M</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Suecia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HM-B</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20.811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más directo en moda asequible; ejercicio dic-2024 a nov-2025: 228.285 M SEK (−3 % en SEK, +2 % en moneda local), margen bruto 53,4 %, beneficio operativo 18.395 M SEK, 4.101 tiendas (−152), algo más del 30 % de ventas online [71].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Fast Retailing (Uniqlo)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9983</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19.803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Básicos de calidad con ciclos largos (LifeWear); ejercicio a ago-2025: ingresos 3.400.539 M JPY (+9,6 %) y beneficio operativo 564.265 M JPY, cuarto año récord seguido [72].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Zalando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ZAL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12.346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Plataforma online multimarca; 2025: ingresos 12.346 M EUR (+16,8 %, con About You consolidada), GMV 17.560 M EUR, 62,0 M de clientes activos; margen de EBIT ajustado 4,8 % (590,7 M EUR) [77].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Gap Inc.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GAP</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12.892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Old Navy, Gap, Banana Republic y Athleta; ejercicio a ene-2026: 15.366 M USD (+2 %), beneficio operativo 1.115 M USD; ≈200 pb de impacto neto de aranceles en el margen de mercancía del 4T; casi 3.500 tiendas [75].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Primark (ABF)</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 / Irlanda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ABF</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10.966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Moda de precio bajo solo en tienda; 52 semanas a 13-9-2025: ventas 9.489 M GBP (+1 % a tipo constante), comparables −2,3 %, beneficio operativo ajustado 1.126 M GBP; 473 tiendas en 17 mercados; cuota del 6,8 % en ropa del Reino Unido; ABF estudia separar Primark del negocio alimentario [73].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NEXT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NXT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7.967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Moda de gama media con fuerte online y plataforma para terceros; 53 semanas a 31-1-2026: ingresos estatutarios 6.901 M GBP (+12,8 %), beneficio operativo estatutario 1.279 M GBP; ventas totales del grupo (52 semanas) 7.004 M GBP (+10,8 %); el online internacional ganó un 51 % [76].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minorista directa al consumidor sin efectos de red; el valor para el cliente no aumenta con el número de clientes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cliente cambia de tienda sin coste; la retención descansa en la novedad de la colección y la experiencia integrada tienda-online (stock único con RFID/SINT) [2]; la propia Inditex habla de cuota baja en un sector fragmentado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Zara (28.051 M EUR de ventas del segmento Zara en 2025) sostiene precios: margen bruto del grupo 57,8 % → 58,3 % → 58,7 % (2024-1S2026) frente al 53,4 % de H&amp;M [2, 10, 40]; sin patentes relevantes.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modelo de proximidad y series cortas reduce rebajas y excedentes (0,57 % de artículos sobrantes en 2024) [1]; margen operativo de Inditex por encima de H&amp;M (8,1 %), Gap (7,3 %) y Zalando (4,8 %) [40, 44, 46]; no es el productor de menor coste (Shein, Primark).</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Mayor especialista de moda por ventas tras TJX y Nike (≈2,4 % del mercado mundial) [19, 2]; logística centralizada en España con 900 M EUR anuales invertidos en 2024-2025 y diseño propio en Arteixo, difíciles de replicar a su escala [2].</w:t>
            </w:r>
          </w:p>
        </w:tc>
      </w:tr>
    </w:tbl>
    <w:p>
      <w:pPr>
        <w:spacing w:after="160" w:before="0"/>
      </w:pPr>
    </w:p>
    <w:p>
      <w:pPr>
        <w:pStyle w:val="Heading2"/>
      </w:pPr>
      <w:r>
        <w:t xml:space="preserve">Amenazas</w:t>
      </w:r>
    </w:p>
    <w:p>
      <w:pPr>
        <w:spacing w:after="100"/>
      </w:pPr>
      <w:r>
        <w:t xml:space="preserve">La amenaza más probable (media) es de precio: Shein (≈ 35.600 M EUR) y Primark presionan en el segmento bajo, y Lefties es la respuesta de Inditex [73, 78]. La segunda, la inflación de costes no trasladable: aranceles de la Sección 301 sobre Marruecos y Turquía (12,5 %), transporte encarecido por Oriente Medio y los costes regulatorios europeos (RAP, prohibición de destruir excedentes) [20, 62, 65, 66]. La tercera, de baja probabilidad pero alto impacto, es una pérdida de acierto en la colección: H&amp;M pasó de un margen operativo del 15 % a menos del 8 % en una década, y es el precedente de lo que le pasa a este modelo cuando falla el producto [71].</w:t>
      </w:r>
    </w:p>
    <w:p>
      <w:r>
        <w:br w:type="page"/>
      </w:r>
    </w:p>
    <w:p>
      <w:pPr>
        <w:pStyle w:val="Parte"/>
      </w:pPr>
      <w:r>
        <w:t xml:space="preserve">Parte II — Finanzas</w:t>
      </w:r>
    </w:p>
    <w:p>
      <w:pPr>
        <w:pStyle w:val="Heading1"/>
      </w:pPr>
      <w:r>
        <w:t xml:space="preserve">5. Cuenta de resultados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28.286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20.402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27.716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7.183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32.569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8.419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35.947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9.850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38.632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10.728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7.554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39.864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11.267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7.997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6.220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r>
    </w:tbl>
    <w:p>
      <w:pPr>
        <w:spacing w:after="160" w:before="0"/>
      </w:pPr>
    </w:p>
    <w:p>
      <w:pPr>
        <w:spacing w:after="100"/>
      </w:pPr>
      <w:r>
        <w:t xml:space="preserve">Crecimiento anual compuesto FY2019-FY2025: ingresos </w:t>
      </w:r>
      <w:r>
        <w:rPr>
          <w:b/>
          <w:bCs/>
        </w:rPr>
        <w:t xml:space="preserve">5,9 %</w:t>
      </w:r>
      <w:r>
        <w:t xml:space="preserve">, EBITDA </w:t>
      </w:r>
      <w:r>
        <w:rPr>
          <w:b/>
          <w:bCs/>
        </w:rPr>
        <w:t xml:space="preserve">6,8 %</w:t>
      </w:r>
      <w:r>
        <w:t xml:space="preserve">, BPA </w:t>
      </w:r>
      <w:r>
        <w:rPr>
          <w:b/>
          <w:bCs/>
        </w:rPr>
        <w:t xml:space="preserve">9,3 %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Todo el crecimiento es orgánico: Inditex no ha hecho compras relevantes en diez años [1]. Entre FY2019 y FY2025 las ventas crecieron a una TCAC del 5,9 %, el EBITDA del 6,8 % y el BPA del 9,3 %, con FY2020 (covid, −27,9 %) en medio [1, 15, 17]. El crecimiento se frena en euros: +10,4 % en FY2023, +7,5 % en FY2024 y +3,2 % en FY2025, pero a tipo constante fue +14,1 %, +10,5 % y +7,0 %: la divisa restó 3-4 puntos cada año [2, 12, 13]. En el 1S26 repunta: +7,6 % reportado y +9,2 % a tipo constante [4]. Los márgenes se han expandido: bruto de 55,9 % a 58,3 % (+240 pb) por menos rebajas y mezcla; EBITDA de 26,9 % a 28,3 %; EBIT de 16,9 % a 20,1 % por el apalancamiento de la superficie, porque las tiendas son menos y más productivas [1]. FY2020 y FY2022 (provisión de Rusia) no son comparables [14].</w:t>
      </w:r>
    </w:p>
    <w:p>
      <w:pPr>
        <w:pStyle w:val="Heading2"/>
      </w:pPr>
      <w:r>
        <w:t xml:space="preserve">Ajustes y partidas no recurrentes</w:t>
      </w:r>
    </w:p>
    <w:p>
      <w:pPr>
        <w:spacing w:after="100"/>
      </w:pPr>
      <w:r>
        <w:t xml:space="preserve">Usamos las cifras reportadas. Inditex no publica un resultado ajustado, pero hay tres partidas que conviene conocer. FY2022: provisión de 231 M por la salida de Rusia y Ucrania, que la empresa presentó debajo del EBITDA (8.649 M publicado); aquí el EBITDA es EBIT + amortizaciones (8.419 M) [14]. FY2020: cierres por la covid y deterioros de tiendas [16]. FY2023-FY2025: ajustes por hiperinflación (Argentina, Turquía) en diferencias de cambio de 77, 144 y 30 M [1, 11]. Ninguna es recurrente en su importe, aunque la hiperinflación vuelve cada año en algún mercado.</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220"/>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9.357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Inferior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11.210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8.274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En línea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10.083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Inferior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9.814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11.693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8.750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11.005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2.945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Inferior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marzo de 2026 (FY2025) la dirección dio un arranque de +9 % a tipo constante y repitió la guía de siempre: margen bruto estable ±50 pb, superficie bruta +5 % con contribución positiva, efecto divisa −1 % e inversión ordinaria de 2.300 M [2, 19]. Los analistas preguntaron por Oriente Medio (unas 480 tiendas franquiciadas), por los fletes, por el techo de los márgenes y por la rentabilidad de Lefties, que la dirección no desglosó [19]. En septiembre (1S26) el discurso cambió en los costes: los gastos operativos crecieron un 8,3 % frente a ventas +7,6 %, el director financiero lo atribuyó al transporte por la crisis de Oriente Medio y avisó de que afectará también al margen bruto del 2S [20]. El beneficio del semestre quedó un 1,7 % por debajo del consenso de FactSet [31]. Lo que no contestó: la guía de espacio más allá de 2026 (la dará en marzo de 2027) y el peso de EE. UU. en ventas; sobre aranceles, solo «impacto limitado» [20]. El arranque del 2S, +9 % a tipo constante del 1-ago al 7-sep, sostiene el año [4]. Antes, los arranques fueron +4 % (2025), +6 %, +9 %, +10,6 % y +11,5 % [7, 8, 9, 10, 12]; en junio la dirección ya atribuía la mejora del margen bruto del 1T26 (+67 pb) al dólar en el aprovisionamiento [21]. El patrón de 2024-2025 fue el mismo: crecimiento a tipo constante del 10-11 % que la divisa recortaba en 3-4 puntos [22, 23, 24, 25]. Las sorpresas frente al consenso se reparten: inferior en 3T24 y 2T25, en línea en 1T25 y superior en 3T25, 4T25 y 1T26 [26, 27, 28, 29, 30, 32].</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28.391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14.913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26.418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7.574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14.520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28.945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9.395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15.733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29.983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10.083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17.008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32.735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18.642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34.714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19.676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35.638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-3.854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-5.025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20.395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1,5x</w:t>
            </w:r>
          </w:p>
        </w:tc>
      </w:tr>
    </w:tbl>
    <w:p>
      <w:pPr>
        <w:spacing w:after="160" w:before="0"/>
      </w:pPr>
    </w:p>
    <w:p>
      <w:pPr>
        <w:pStyle w:val="Nota"/>
        <w:spacing w:after="100"/>
      </w:pPr>
      <w:r>
        <w:t xml:space="preserve">Días de inventario y de pago calculados sobre el coste de ventas.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neta contable es negativa (caja neta de 5.025 M en enero de 2026 incluidos los arrendamientos) y lo ha sido todos los años de la serie [1]. La caja neta sin arrendamientos pasó de 8.060 M (FY2019) a un máximo de 11.495 M (FY2024) y bajó a 10.958 M en FY2025 porque los dividendos (5.235 M) y el capex extraordinario de logística absorbieron casi todo el flujo [1]. El circulante comercial es negativo y estable, del −7 % al −10 % de las ventas; los días de existencias bajaron de 94 (FY2020) a 71 (FY2025), con un repunte del 9,3 % en julio de 2026 que la empresa califica de inventario «de alta calidad» y que acompaña a ventas +7,6 % [4]. Lo que vigilar: que el inventario no crezca más que las ventas en el 9M26.</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8.667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4.686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6.220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FY2019-FY2025: FCF </w:t>
      </w:r>
      <w:r>
        <w:rPr>
          <w:b/>
          <w:bCs/>
        </w:rPr>
        <w:t xml:space="preserve">26.708</w:t>
      </w:r>
      <w:r>
        <w:t xml:space="preserve">, conversión </w:t>
      </w:r>
      <w:r>
        <w:rPr>
          <w:b/>
          <w:bCs/>
        </w:rPr>
        <w:t xml:space="preserve">90 %</w:t>
      </w:r>
      <w:r>
        <w:t xml:space="preserve"> del beneficio neto; adquisiciones 35, dividendos 22.713, recompras 132.</w:t>
      </w:r>
    </w:p>
    <w:p>
      <w:pPr>
        <w:spacing w:after="100"/>
      </w:pPr>
      <w:r>
        <w:t xml:space="preserve">Convierte el beneficio en caja: el flujo libre (después de capex y de todo el pago de arrendamientos) sumó 26.708 M entre FY2019 y FY2025, un 90 % del beneficio neto [1]. La conversión bajó al 82 % en FY2024 y al 75 % en FY2025 por el plan extraordinario de logística (900 M al año) y por un circulante que restó 803 M en FY2025 [1, 2]. El capex pasó del 4,1 % de las ventas (FY2019) al 6,8 % (FY2025); la guía de FY2026 es de unos 2.300 M ordinarios más unos 200 M extraordinarios para oficinas corporativas (≈ 5,8 % de las ventas) [4]. Estimación propia: el mantenimiento rondaría el 4-4,5 % de las ventas (la amortización de inmovilizado sin derechos de uso fue de 1.674 M, el 4,2 %), y el resto es crecimiento (tiendas más grandes, logística y tecnología). Además, las altas de derechos de uso fueron de 2.151 M en FY2025 (5,4 % de las ventas): son el coste económico de las tiendas alquiladas y el DCF las trata como capex [1]. En el 1S26 el flujo libre se duplicó (2.299 M frente a 1.165 M) por un circulante menos negativo [4].</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S.L. (EY)</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9,42</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Las cifras son fiables. EY dio opinión favorable sin salvedades en FY2025, con los arrendamientos y las existencias como cuestiones clave, y Deloitte la sustituirá desde FY2027 tras un concurso ordinario [1, 112]. No hay cambios de criterio en FY2024-FY2025 [1]. Inditex activa diseños y software (414 y 391 M en FY2025), pero los amortiza en vidas muy cortas (353 M de amortización del otro intangible), sin efecto material en el resultado [1]. No hay remuneración en acciones relevante frente al beneficio (los planes se cubren con autocartera) ni deterioros del fondo de comercio (197 M) [1]. El tipo efectivo es estable (22,4 %) y el impuesto pagado (1.585 M) es inferior al devengado (1.800 M) sin señales de agresividad [1]. Los tres indicadores lo confirman: Altman Z de 9,42 (zona segura, con caja neta), Piotroski F de 8 sobre 9 y Beneish M de −2,79, lejos del umbral de −1,78. El flujo operativo acumulado es 1,71 veces el beneficio neto. Las operaciones con el accionista de control (49 M de alquileres) son pequeñas pero recurrentes [1].</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Rotación de auditor: EY (FY2022-FY2026) será sustituido por Deloitte para FY2027-FY2029</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EY audita desde el ejercicio cerrado el 31-ene-2023 (4 ejercicios seguidos; antes, Deloitte). Concurso de cuatro firmas en 2025; la Comisión de Auditoría propuso el 1-dic-2025 nombrar a Deloitte para 2027-2029 [1, 18].</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Operaciones con el accionista de control (Pontegadea / Amancio Ortega)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Rentas de locales propiedad de sociedades vinculadas: 49 M en FY2025 (46 M en FY2024) y 24 M en 1S26; además, una filial de obras de Inditex construye siete centros de mayores en Galicia promovidos por entidades del accionista de control (ingresos de 49 M en FY2025 y 19 M en 1S26) [1, 6]. Importes pequeños frente al tamaño del grupo.</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Cuestiones clave de auditoría: arrendamientos (NIIF 16) y valoración de existencias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EY destaca los juicios sobre plazos de arrendamiento, renegociaciones y tasas de descuento (4.310 tiendas propias) y el valor neto realizable de existencias de 3.249 M (9,1 % del activo)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Capitalización de diseños y software como intangible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activaron 414 M de desarrollo de diseños industriales y propiedad intelectual y 391 M de software en FY2025 (373 y 359 M en FY2024); la amortización del «otro inmovilizado intangible» fue 353 M en FY2025, lo que indica vidas útiles muy cortas y poco efecto en el resultado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Confirming (financiación de proveedores) dentro de acreedores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1.335 M dispuestos de 2.367 M a ene-26; clasificado como acreedores comerciales y flujo de explotación [1]. Mejora el circulante negativo publicado.</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Partida fuera del EBITDA en FY2022</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provisión de 231 M por Rusia y Ucrania se presentó en «otros resultados», debajo del EBITDA (8.649 M publicado frente a 8.419 M = EBIT + amortizaciones) [13].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Hiperinflación y diferencias de cambio en el resultado financiero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Ajustes por hiperinflación (Argentina, Turquía) en diferencias negativas de cambio: 30 M en FY2025, 144 M en FY2024 y 77 M en FY2023 [1, 11].</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13.421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12.683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12.314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12.611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13.360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14.637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8,5 %.</w:t>
      </w:r>
    </w:p>
    <w:p>
      <w:pPr>
        <w:spacing w:after="100"/>
      </w:pPr>
      <w:r>
        <w:t xml:space="preserve">Inditex crea mucho valor: el ROIC (con los arrendamientos en el capital) fue del 42,4 % en FY2025, frente a un WACC del 8,5 %, y no ha bajado del 26 % en ningún año normal desde FY2019 (8,8 % en FY2020, por la covid). Lo mueve el margen más que la rotación: el margen EBIT pasó del 16,9 % al 20,1 % y el capital invertido apenas creció, porque la caja neta compensa el inmovilizado y los arrendamientos. Por eso el ROIC incremental entre FY2019 y FY2025 sale del 265,1 %: el NOPAT creció mucho más que el capital, que es casi constante, y la cifra no sirve para medir el crecimiento marginal. El ROE del 31,0 % está deprimido por los 10.400 M de caja. Frente a los comparables, solo Fast Retailing se le acerca (ROIC del 37,5 % según Stock Analysis); la mediana de los seis comparables es del 29,4 % [127]. Inditex declara un ROCE del 40 % por formato, con Stradivarius al 72 % y Zara al 36 % [3].</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31 jul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-4.201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y equivalentes 4.361 M + inversiones financieras temporales 6.038 M = 10.399 M a 31-jul-2026, frente a 1 M de deuda financiera; posición financiera neta publicada de 10.398 M [5]. Sin líneas comprometidas relevantes publicadas.</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Sin covenants: no hay deuda bancaria ni bonos [1]. Los pasivos que importan son tres. </w:t>
      </w:r>
      <w:r>
        <w:rPr>
          <w:b/>
        </w:rPr>
        <w:t xml:space="preserve">Arrendamientos</w:t>
      </w:r>
      <w:r>
        <w:t xml:space="preserve">: 6.197 M a julio de 2026, con 1.717 M de pagos a menos de un año [1, 5]. </w:t>
      </w:r>
      <w:r>
        <w:rPr>
          <w:b/>
        </w:rPr>
        <w:t xml:space="preserve">Dividendo pendiente</w:t>
      </w:r>
      <w:r>
        <w:t xml:space="preserve">: el segundo pago de FY2025 (0,875 EUR, ≈ 2.726 M) estaba en acreedores a 31-jul-2026 y se paga el 2-nov-2026; como el precio del 6-oct incluye ese derecho, no se resta en el puente [6]. </w:t>
      </w:r>
      <w:r>
        <w:rPr>
          <w:b/>
        </w:rPr>
        <w:t xml:space="preserve">Confirming</w:t>
      </w:r>
      <w:r>
        <w:t xml:space="preserve">: 1.335 M dispuestos de 2.367 M a enero de 2026, dentro de acreedores comerciales; mejora el circulante negativo [1]. Pensiones y obligaciones con el personal: 122 M; litigios: 130 M, sin ninguno significativo según la memoria [1]. Hay opciones cruzadas sobre minoritarios en Corea (Lotte, 20 %), Sudáfrica (10 %) e India (Trent, 20 %), registradas como pasivo financiero de 43 M con derivados [1]. Los anticipos de clientes no aplican.</w:t>
      </w:r>
    </w:p>
    <w:p>
      <w:pPr>
        <w:pStyle w:val="Heading1"/>
      </w:pPr>
      <w:r>
        <w:t xml:space="preserve">12. Asignación de capital</w:t>
      </w:r>
    </w:p>
    <w:p>
      <w:pPr>
        <w:pStyle w:val="Confianza"/>
        <w:spacing w:after="100"/>
      </w:pPr>
      <w:r>
        <w:t xml:space="preserve">Confianza: Alta</w:t>
      </w:r>
    </w:p>
    <w:p>
      <w:pPr>
        <w:spacing w:after="100"/>
      </w:pPr>
      <w:r>
        <w:t xml:space="preserve">Dividendo ordinario del 60 % del beneficio más dividendos extraordinarios: con cargo a FY2025, 1,75 EUR por acción (1,20 ordinario + 0,55 extraordinario), pagados el 4-may-2026 y el 2-nov-2026 [2, 6]. No hay recompras para amortizar: solo compra autocartera para los planes de incentivos (3 M de acciones y 161 M en 2026), y en abril de 2026 entregó 14,8 M EUR en acciones a 15 directivos [5, 111, 121, 122]. La prioridad declarada es reinvertir en tiendas, logística y tecnología con un modelo «autofinanciado», sin deuda [19].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3.114,4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3.114,9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3.113,6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3.112,5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3.112,8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3.114,5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4.686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5.235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3.116,1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spacing w:after="100"/>
      </w:pPr>
      <w:r>
        <w:t xml:space="preserve">La dirección asigna bien el capital y de forma conservadora. Entre FY2019 y FY2025 generó 26.708 M de flujo libre y pagó 22.713 M en dividendos, 132 M en recompras y solo 35 M en compras de sociedades. No hay dilución: el número de acciones es el mismo desde 2014 [1]. El ROIC del 42 % justifica la reinversión, que hoy se concentra en logística (900 M al año en 2024-2025) y en tiendas más grandes. La crítica posible es la caja ociosa: 10.400 M, una cuarta parte de las ventas, rentan menos que el negocio; un dividendo extraordinario mayor o recompras serían más eficientes, pero la familia prefiere el dividendo y la caja neta. El dividendo de FY2025 supone un 88 % del beneficio incluido el extraordinario.</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Óscar García Maceiras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(único consejero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Abogado del Estado; secretario general de Banco Pastor, vicesecretario del consejo de Banco Popular, director general de desarrollo corporativo y asuntos jurídicos de Sareb y director de la asesoría jurídica y vicesecretario del consejo del Banco Santander (2016); entró en Inditex en 2021 como secretario general y es consejero delegado desde el 29-nov-2021 [88]. Entre el ejercicio 2021 y el 2025 las ventas subieron un 43,8 % hasta 39.864 M EUR, el margen bruto 120 pb hasta el 58,3 %, el EBITDA un 56,9 %, el beneficio neto un 91,8 % y el TSR fue del 165 % [97]. Reelegido consejero y consejero delegado el 7-jul-2026 [98].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Andrés Sánchez Iglesias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y miembro del Comité de Dirección</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Fiscal de Inditex hasta su nombramiento como director financiero el 16-may-2025, en sustitución de Ignacio Fernández [88, 99]. En su primer ejercicio completo (FY2025) la caja neta cerró en 10.958 M EUR y la inversión total fue de 2.712 M EUR, en línea con lo guiado [89, 101]. Recibió 14.734 acciones del ILP el 1-abr-2026 [100].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Marta Ortega Pérez</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no ejecutiva (consejera dominical)</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Hija del fundador; en el grupo desde 2007, con funciones en tiendas internacionales y en el equipo de diseño de Zara Mujer, centrada en la estrategia de marca y producto de Zara [88]. Presidenta no ejecutiva desde el 1-abr-2022; reelegida en la junta de 2026 con el 96,86 % a favor, el apoyo más bajo de los consejeros [91, 98]. Titular directa de 42.511 acciones [88].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Ignacio Fernández Fernández</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general corporativo (finanzas, sostenibilidad, logística, transporte e infraestructuras)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general de Finanzas (director financiero del grupo) hasta el 16-may-2025, cuando pasó a director general corporativo, cargo creado para apoyar directamente al consejero delegado [88, 99]. Como director financiero, la posición financiera neta pasó de 10.070 M EUR (FY2022) a 11.406 M (FY2023), con el plan logístico extraordinario de 900 M anuales en 2024-2025 en marcha [101, 102, 103]. Recibió 26.515 acciones del ILP el 1-abr-2026 [100].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Óscar Pérez Marcote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de Zara y miembro del Comité de Dirección</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Dirige Zara y forma parte del Comité de Dirección [88, 104]. Zara (con Zara Home) aportó 5.004 M EUR de BAI en el ejercicio 2023, frente a 2.890 M en 2021 [102, 103]. Recibió 26.515 acciones del ILP el 1-abr-2026 [100].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Alfredo Ferro Varela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de Zara Mujer</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Más de 30 años en el grupo; director de Zara Basic desde 2013, sustituye en julio de 2026 a Beatriz Padín, que dirigía Zara Mujer desde hacía 25 años. No se incorpora al Comité de Dirección, que queda en nueve miembros [104].</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Mar-2021: inversión de unos 900 M EUR anuales en 2020-2022, con 1.000 M de inversión digital en tres años; venta online creciendo a tasas muy elevadas [105].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Inversión de 1.126 M EUR; venta online +14 % hasta 7.500 M (25,5 % de las ventas); margen bruto 57,1 % (+123 pb) [106].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Mar-2022: margen bruto estable (±50 pb); inversión de unos 1.100 M EUR; contribución neta del espacio a la venta neutral; impacto divisa neutral [106].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del 57,0 % (-8 pb), dentro del rango; inversión de 1.415 M EUR, un 29 % por encima de lo guiado; espacio bruto +4,5 % y neto -6 % por la salida de Rusia [102].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Mar-2023: espacio bruto alrededor del +3 %; contribución del espacio positiva; divisa -1 %; margen bruto estable (±50 pb); inversión ordinaria de unos 1.600 M EUR [102].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del 57,8 % (+77 pb), por encima del rango; espacio bruto +4,5 % y ventas en tienda +7,9 % con un 2 % más de superficie; inversión de 1.872 M EUR [103].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Mar-2024: espacio bruto alrededor del +5 % anual en 2024-2026 con contribución positiva; inversión ordinaria de unos 1.800 M EUR más 900 M de plan logístico; divisa -1,5 %; margen bruto estable (±50 pb) [103]. Además, en mar-2022 se fijó que la venta online superaría el 30 % del total en 2024 [106].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del 57,8 % (+8 pb); espacio bruto +5,8 %; inversión total de 2.672 M EUR (frente a 2.700 M); ventas +7,5 % frente a +10,5 % a tipo constante. Venta online de 10.163 M, el 26,3 % de 38.632 M (estimación propia): no llegó al 30 % [101].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Mar-2025: espacio bruto alrededor del +5 % anual en 2025-2026 con contribución positiva; inversión ordinaria de unos 1.800 M EUR más 900 M de plan logístico; divisa -1 %; margen bruto estable (±50 pb) [101].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del 58,3 % (+42 pb), dentro del rango; superficie bruta +5,3 %; inversión total de 2.712 M EUR; ventas +3,2 % frente a +7,0 % a tipo constante, con un efecto divisa muy superior al -1 % guiado [107].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FY2026 (en curso)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Mar-2026: espacio bruto alrededor del +5 % con contribución positiva; inversión ordinaria de unos 2.300 M EUR; divisa -1 %; margen bruto estable (±50 pb) [107]. En sep-2026 se añaden unos 200 M EUR de inversión extraordinaria en instalaciones corporativas [108].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1S26: margen bruto del 58,7 % (+40 pb), dentro del rango; ventas +7,6 % (+9,2 % a tipo constante); inversión de 1.307 M EUR en el semestre [108].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estable y creíble: presidenta y consejero delegado desde 2021-2022, reelegidos en julio de 2026 por dos años, y un Comité de Dirección renovado con relevos internos (Bershka y Stradivarius en 2024, director financiero en 2025) [88, 98, 99, 109]. Inditex no da guía de ventas ni de beneficio; lo que guía (margen bruto estable ±50 pb, espacio e inversión) lo ha cumplido o superado cada año desde FY2022, salvo la inversión de FY2021-FY2023, que se pasó al alza [101, 102, 103, 107]. El único objetivo explícito incumplido fue el de venta online por encima del 30 % en 2024 (26,3 %) [101, 106]. El riesgo de sucesión está en las personas clave de producto: la directora de Zara Mujer, con 25 años en el cargo, salió en julio de 2026 [104]. El plan de sucesión descansa en talento interno, con sucesores identificados [88].</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Marta Ortega Pérez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no ejecutiva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Óscar García Maceiras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Amancio Ortega Gaona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 (fundador)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1985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Flora Pérez Marcote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 (antes, representante persona física de Pontegadea desde 2005)</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Roberto Cibeira Moreiras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 (consejero delegado de Pontegadea)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Cumplimiento; Nombramientos; Retribuciones;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José Luis Durán Schulz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 y consejero independiente coordinador (desde 7-jul-2026)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Cumplimiento (presidente desde jul-2024); Nombramientos;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José Ignacio Goirigolzarri Tellaeche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 (presidente); Auditoría y Cumplimiento;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Denise Patricia Kingsmill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Sostenibilidad (presidenta); Auditoría y Cumplimiento;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Pilar López Álvarez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Cumplimiento; Nombramientos;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Belén Romana García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Nombramientos (presidenta); Auditoría y Cumplimiento; Sostenibilidad</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50 %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Separados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capital libre)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9,8 %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0,50 / ventas 0,00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Amancio Ortega Gaona (total, indirecto)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y accionista de control, a través de Pontegadea Inversiones y Partler Participaciones (1.848.000.315 acciones)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en 24 meses: su última notificación en el registro de la CNMV es de 07-07-2020, y la empresa no recibió avisos de movimientos en 2025 [88, 110]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Pontegadea Inversiones, S.L.</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Sociedad patrimonial del fundador y dominante según el art. 42 del Código de Comercio (1.558.637.990 acciones)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última notificación a la CNMV el 21-12-2015 [88, 110]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Partler Participaciones, S.L.U. (100 % de Partler 2006, S.L.)</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Sociedad patrimonial del fundador</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[88, 110]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Sandra Ortega Mera, a través de Rosp Corunna Participaciones Empresariales, S.L.</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Familiar (hija del fundador); participación significativa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última notificación a la CNMV el 03-11-2014 [88, 110]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excluido el fundador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0,0089 % a 31-ene-2026. Después, Goirigolzarri compró 9.250 acciones el 20-jul-2026 [88, 100]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Bajó de 1.905.846 acciones (0,061 %) a 285.232 (0,0092 %) en FY2025 por la entrega del ILP 2021-2025. Entre feb y jun-2026 se recompraron 3.000.000 de acciones para los ILP y el programa terminó el 30-jun-2026; en la junta del 7-jul-2026 había 1.642.790 acciones (0,0527 %) [88, 91, 111]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José Ignacio Goirigolzarri Tellaeche (consejero independiente)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0,50</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(FY2025)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11,55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96,9 %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consejero delegado devengó 11,549 M EUR en FY2025: 2,6 M de fijo, 3,496 M de variable anual y 5,453 M del plan a largo plazo 2023-2026, que pagó el 100 % [89]. El variable anual depende de ventas (35 %) y margen de contribución (35 %), con un 30 % cualitativo [89]. El largo plazo, de BAI (25 %), ventas a tipo constante (25 %), TSR absoluto y relativo (12,5 % cada uno) e índice de sostenibilidad (25 %) [89]: premia crecer y la cotización, no el ROIC ni el FCF. Tiene </w:t>
      </w:r>
      <w:r>
        <w:rPr>
          <w:i/>
        </w:rPr>
        <w:t xml:space="preserve">malus</w:t>
      </w:r>
      <w:r>
        <w:t xml:space="preserve"> y </w:t>
      </w:r>
      <w:r>
        <w:rPr>
          <w:i/>
        </w:rPr>
        <w:t xml:space="preserve">clawback</w:t>
      </w:r>
      <w:r>
        <w:t xml:space="preserve"> de dos años e indemnización de dos años de fijo más variable [89]. La política 2027-2029 sube la retribución objetivo de 7,3 a 9,175 M [97]. Los votos son holgados por el 59 % del fundador y una asistencia del 89,6 % del capital [93]: el peor fue el informe de 2026 (96,88 % a favor, 2,76 % en contra), frente al 98,12 % de 2025 y el 97,99 % de 2024 [91, 92, 94, 95]; sobre el capital flotante presente, el voto en contra sube al 9,78 % (estimación propia) [91]. La ratio frente a la remuneración media es de 289 veces [34, 89].</w:t>
      </w:r>
    </w:p>
    <w:p>
      <w:pPr>
        <w:pStyle w:val="Heading2"/>
      </w:pPr>
      <w:r>
        <w:t xml:space="preserve">Operaciones vinculadas, estructura de control y defensas</w:t>
      </w:r>
    </w:p>
    <w:p>
      <w:pPr>
        <w:spacing w:after="100"/>
      </w:pPr>
      <w:r>
        <w:t xml:space="preserve">Amancio Ortega controla el 59,294 % (Pontegadea 50,010 % y Partler 9,284 %) y su hija Sandra Ortega tiene otro 5,053 % [88, 110]. No hay pactos conocidos, una sola clase de acciones y ningún límite de voto ni blindaje estatutario [88]. El control se ve en el consejo: cuatro de los diez consejeros son dominicales del fundador (él mismo, su esposa, su hija la presidenta y el consejero delegado de Pontegadea) y cinco son independientes [88, 96]. La comisión de auditoría tiene cinco independientes de seis [88]. Las operaciones vinculadas son pequeñas pero recurrentes: 49 M de alquileres a sociedades del fundador y 49 M de obras facturadas a entidades suyas en FY2025, con informe de la comisión de auditoría [90]. Una OPA hostil no es posible. La lista de doce criterios de gobierno sale completa (12 de 12), pero no mide lo que más pesa aquí: la concentración familiar en el consejo y la dependencia de una sola familia para la sucesión.</w:t>
      </w:r>
    </w:p>
    <w:p>
      <w:pPr>
        <w:pStyle w:val="Heading2"/>
      </w:pPr>
      <w:r>
        <w:t xml:space="preserve">Señales de alerta</w:t>
      </w:r>
    </w:p>
    <w:p>
      <w:pPr>
        <w:pStyle w:val="ListParagraph"/>
        <w:numPr>
          <w:ilvl w:val="0"/>
          <w:numId w:val="2"/>
        </w:numPr>
        <w:spacing w:after="60"/>
      </w:pPr>
      <w:r>
        <w:t xml:space="preserve">Rotación del auditor: el 3-dic-2025 el consejo acordó proponer a Deloitte como auditor para los ejercicios 2027-2029, en sustitución de EY. EY audita desde hace 4 años, emitió opinión sin salvedades y cobró honorarios no de auditoría del 0,8 % de los de auditoría [88, 112].</w:t>
      </w:r>
    </w:p>
    <w:p>
      <w:pPr>
        <w:pStyle w:val="ListParagraph"/>
        <w:numPr>
          <w:ilvl w:val="0"/>
          <w:numId w:val="2"/>
        </w:numPr>
        <w:spacing w:after="60"/>
      </w:pPr>
      <w:r>
        <w:t xml:space="preserve">Cambio de director financiero en mayo de 2025 por reorganización interna: Ignacio Fernández pasó a director general corporativo y le sustituyó Andrés Sánchez Iglesias, hasta entonces director fiscal [99].</w:t>
      </w:r>
    </w:p>
    <w:p>
      <w:pPr>
        <w:pStyle w:val="ListParagraph"/>
        <w:numPr>
          <w:ilvl w:val="0"/>
          <w:numId w:val="2"/>
        </w:numPr>
        <w:spacing w:after="60"/>
      </w:pPr>
      <w:r>
        <w:t xml:space="preserve">Relevo del consejero coordinador: Rodrigo Echenique, independiente desde 2014, salió en la junta de 2026 y José Luis Durán, independiente desde jul-2015, ocupa el cargo desde el 7-jul-2026. Durán también preside la Comisión de Auditoría y cumplirá 12 años como independiente en julio de 2027 (estimación propia por fechas) [88, 98].</w:t>
      </w:r>
    </w:p>
    <w:p>
      <w:pPr>
        <w:pStyle w:val="ListParagraph"/>
        <w:numPr>
          <w:ilvl w:val="0"/>
          <w:numId w:val="2"/>
        </w:numPr>
        <w:spacing w:after="60"/>
      </w:pPr>
      <w:r>
        <w:t xml:space="preserve">Operaciones con el accionista de control: el grupo alquila locales a sociedades de Pontegadea y Partler (49 M EUR en FY2025 y 46 M en FY2024) y construye siete centros sociosanitarios para entidades del fundador (ingresos de 49 M en FY2025). El consejo aprobó en 2025 dos nuevos arrendamientos o novaciones para tiendas de Zara con Pontegadea, con informe de la Comisión de Auditoría y valoraciones independientes [88, 90].</w:t>
      </w:r>
    </w:p>
    <w:p>
      <w:pPr>
        <w:pStyle w:val="ListParagraph"/>
        <w:numPr>
          <w:ilvl w:val="0"/>
          <w:numId w:val="2"/>
        </w:numPr>
        <w:spacing w:after="60"/>
      </w:pPr>
      <w:r>
        <w:t xml:space="preserve">Concentración familiar: cuatro de diez consejeros son dominicales del fundador (él mismo, su esposa, su hija y el consejero delegado de Pontegadea). La presidenta es hija del accionista de control. Carlos Torretta, persona estrechamente vinculada a la presidenta, recibió 3.969 acciones del ILP el 1-abr-2026 [88, 100].</w:t>
      </w:r>
    </w:p>
    <w:p>
      <w:pPr>
        <w:pStyle w:val="ListParagraph"/>
        <w:numPr>
          <w:ilvl w:val="0"/>
          <w:numId w:val="2"/>
        </w:numPr>
        <w:spacing w:after="60"/>
      </w:pPr>
      <w:r>
        <w:t xml:space="preserve">Dedicación: la consejera independiente Pilar López es directora financiera del grupo Vodafone desde diciembre de 2025 [88].</w:t>
      </w:r>
    </w:p>
    <w:p>
      <w:pPr>
        <w:pStyle w:val="ListParagraph"/>
        <w:numPr>
          <w:ilvl w:val="0"/>
          <w:numId w:val="2"/>
        </w:numPr>
        <w:spacing w:after="60"/>
      </w:pPr>
      <w:r>
        <w:t xml:space="preserve">No hay multas, investigaciones ni información privilegiada en los últimos 12 meses: la última comunicación de información privilegiada a la CNMV es de marzo de 2022 (suspensión de operaciones en Rusia) [113].</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Inditex no guía ventas ni beneficio. Para FY2026 (feb-26 a ene-27) espera, desde el 11-mar-2026 y confirmado el 9-sep-2026: margen bruto estable (±50 pb), superficie bruta +5 % con contribución positiva a las ventas, efecto divisa de −1 % en ventas, inversión ordinaria de unos 2.300 M y, desde septiembre, unos 200 M extraordinarios para instalaciones corporativas [2, 4]. No tiene plan a medio plazo con cifras; la guía de espacio para 2027 llegará en marzo de 2027 [20].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42.930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12.050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8.667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[116], consenso de 24 analistas (feb-2026 a ene-2027); Stock Analysis/S&amp;P Global da las mismas ventas (42.930) y BPA (2,17) con 22 analistas [117]</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46.150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13.053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9.446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[116], consenso de 24 analistas (feb-2027 a ene-2028); Stock Analysis: ventas 46.150 y BPA 2,37 [117]</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49.407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14.059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10.225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[116], consenso de 24 analistas (feb-2028 a ene-2029); Stock Analysis no da este año gratis [117]</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42.854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42.930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12.085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12.050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45.854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46.150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12.977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13.053</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48.834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49.407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13.869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14.059</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 / 3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60,39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41,50 – 67,00</w:t>
            </w:r>
          </w:p>
        </w:tc>
      </w:tr>
    </w:tbl>
    <w:p>
      <w:pPr>
        <w:spacing w:after="160" w:before="0"/>
      </w:pPr>
    </w:p>
    <w:p>
      <w:pPr>
        <w:pStyle w:val="Heading2"/>
      </w:pPr>
      <w:r>
        <w:t xml:space="preserve">Revisiones de estimaciones</w:t>
      </w:r>
    </w:p>
    <w:p>
      <w:pPr>
        <w:spacing w:after="100"/>
      </w:pPr>
      <w:r>
        <w:t xml:space="preserve">Sin serie gratuita de revisiones: comparamos copias archivadas de MarketScreener. Desde el 18-abr-2026 (≈ 6 meses), el consenso de FY2026e subió un 0,4 % en ventas y un 0,2 % en EBITDA, y bajó un 0,3 % en EBIT y un 1,1 % en BPA; el de FY2027e bajó un 0,6 % en BPA [116, 124]. Frente a marzo de 2025 (19 meses), el consenso de FY2026e es un 4,2 % menor en ventas y un 3,3 % menor en EBITDA y BPA: la divisa y el frenazo de FY2025 recortaron las estimaciones [125]. El precio objetivo medio subió de 58,40 a 60,39 EUR [115, 124]. Tras el 1S26, RBC, UBS, Morgan Stanley y Citi mantuvieron compra; Barclays bajó su objetivo de 62,50 a 61 EUR [117].</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r>
    </w:tbl>
    <w:p>
      <w:pPr>
        <w:spacing w:after="160" w:before="0"/>
      </w:pPr>
    </w:p>
    <w:p>
      <w:pPr>
        <w:spacing w:after="100"/>
      </w:pPr>
      <w:r>
        <w:t xml:space="preserve">Inditex se ha quedado atrás en 2025-2026: +13,5 % en 2025 frente al +49,3 % del IBEX, y −4,5 % en 2026 frente a +12,3 % [114]. No es la empresa: el IBEX lo han tirado los bancos, y el índice europeo de distribución está igual de plano (−5,0 % en el año) [114]. Antes, Inditex lo hizo mucho mejor (+58,7 % en 2023 y +25,9 % en 2024) por la expansión de márgenes tras la covid [114]. A diez años, su rentabilidad de precio es del 5,1 % anual (8,4 % con dividendos), por debajo del IBEX (8,3 %): 2016-2022 fueron siete años sin subir, con la covid y el miedo a la moda online en medio [114]. La caída máxima en cinco años fue del −38,9 % (nov-2021 a may-2022, guerra de Ucrania) [114]. No hay posiciones cortas declaradas ≥ 0,5 % [123].</w:t>
      </w:r>
    </w:p>
    <w:p>
      <w:pPr>
        <w:pStyle w:val="Heading1"/>
      </w:pPr>
      <w:r>
        <w:t xml:space="preserve">17. Múltiplos frente a su historia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Al precio de hoy, Inditex cotiza a 14,0 veces el EBITDA de los últimos 12 meses, un 12 % por encima de su media de cierre de ejercicio (12,5x; mínimo 10,0x y máximo 14,8x) y en el percentil 67 de la serie; el PER, de 26,2x, está un 3 % por encima de la media (25,3x). Excluimos FY2020 (covid), cuyo PER de 69x distorsiona la media, y FY2016-FY2018, sin NIIF 16 [114]. El salto estructural está en FY2023-FY2024: el múltiplo pasó de 10-11x a 14x cuando el mercado comprobó que el margen EBIT (20 %) y el ROIC (42 %) post-covid eran duraderos [126]. Lo que ha cambiado desde entonces juega en contra: el crecimiento en euros bajó del 10 % al 3-8 % y el Bund subió al 3,49 % [132]. El múltiplo actual no tiene descuento frente a su historia reciente.</w:t>
      </w:r>
    </w:p>
    <w:p>
      <w:pPr>
        <w:pStyle w:val="Heading1"/>
      </w:pPr>
      <w:r>
        <w:t xml:space="preserve">18. Comparables cotizados</w:t>
      </w:r>
    </w:p>
    <w:p>
      <w:pPr>
        <w:pStyle w:val="Confianza"/>
        <w:spacing w:after="100"/>
      </w:pPr>
      <w:r>
        <w:t xml:space="preserve">Confianza: Media</w:t>
      </w:r>
    </w:p>
    <w:p>
      <w:pPr>
        <w:spacing w:after="100"/>
      </w:pPr>
      <w:r>
        <w:t xml:space="preserve">Seis distribuidores de ropa grandes y cotizados con marca propia o modelo de valor: H&amp;M (rival directo), Fast Retailing (Uniqlo), Next, Primark a través de ABF (conglomerado: la mitad de sus ventas es alimentación), y TJX y Ross, que el mercado usa como referencia de calidad en distribución de ropa [127, 128]. Excluimos de la valoración tres que el agente propuso: Zalando (plataforma online con margen EBITDA del 8 %), Gap y Lululemon (ventas estancadas o en caída, a 4-5x EBITDA): incluirlas bajaría la mediana del EV/EBITDA NTM de 12,2x a 7,7x. Shein y Mango no cotizan. Todos con NIIF 16 o homogeneizados, convertidos al tipo del BCE del 6-oct-2026 [128, 129, 130].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Inditex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167.649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H&amp;M (Hennes &amp; Mauritz)</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22.762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Fast Retailing (Uniqlo)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130.171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TJX Companies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133.357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Ross Stores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63.182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Next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19.628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Associated British Foods (Primark)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14.927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32,7 %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12.732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 / 12,2x / 13,8x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11.666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 / 13,1x / 15,5x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17,8x / 21,9x / 24,8x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41.262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1,7x / 2,6x / 2,9x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35,60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39,50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(6 comparables): múltiplo = 4,7 + 1,21 × crecimiento; R² = 0,94. Para el crecimiento esperado de la empresa (7,8 %), el múltiplo ajustado es 14,2x y el valor por acción, 59,53.</w:t>
      </w:r>
    </w:p>
    <w:p>
      <w:pPr>
        <w:spacing w:after="100"/>
      </w:pPr>
      <w:r>
        <w:t xml:space="preserve">Inditex (12,8x EBITDA NTM y 23,4x PER NTM) cotiza en línea con la mediana de los seis comparables (12,2x y 21,9x), con prima frente a H&amp;M (7,7x) y una capitalización de 167.649 M EUR (MarketScreener publica 168.000 M) [119], Next (11,0x) y ABF (6,4x), en línea con TJX (13,3x) y Ross (13,9x) y con descuento frente a Fast Retailing (20,4x). La prima se justifica: su margen EBITDA (28,3 %) y su ROIC (42,4 %) son los más altos del grupo, frente a medianas del 17,6 % y el 29,4 %. La regresión del múltiplo sobre el crecimiento es muy explicativa (R² de 0,94, con solo seis puntos y Fast Retailing tirando de la pendiente): para un crecimiento del 7,8 %, da 14,2x y 59,53 EUR por acción. Usamos la mediana de EV/EBITDA y PER (50,77 EUR) en la síntesis: el mensaje es que, frente a sus pares, Inditex no está cara; lo que la hace cara es el nivel absoluto de los múltiplos del sector con tipos al 3,5 %.</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Hugo Boss (Alemania, moda premium; el 73,94 % que no tenía el comprador)</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Frasers Group</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Oferta pública voluntaria en efectivo de 38,00 EUR por acción, prima del 4 % sobre el cierre de 36,46 EUR del 10-jun-2026 y sobre la media ponderada de 3 meses (36,41) [136]. Frasers tenía el 26,06 %; la contraprestación por el resto es ≈ 1.978,0 M EUR y el valor del 100 % del capital, 2.675,2 M EUR, con ventas de 4.269,8 M y EBITDA de 781,5 M (NIIF 16) en 2025 [137]: valor del capital / EBITDA ≈ 3,4x (no es EV; cálculo propio). Sin umbral mínimo de aceptación; tras el periodo ampliado hasta el 13-ago-2026, Frasers controla el 37,58 % [138]. Valor empresa no publicado.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Guess? (EE. UU., moda y accesorios)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Authentic Brands Group y los fundadores (exclusión de bolsa)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1.242</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0,47x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16,75 USD por acción en efectivo; operación que valora Guess? en ≈ 1.400 M USD incluida la deuda; prima del 73 % sobre el cierre no afectado del 14-mar-2025 [139]. EV/ventas = cálculo propio con ventas de 2.995,3 M USD del ejercicio a feb-2025 [147]. Authentic se queda el 51 % de la propiedad intelectual. EBITDA no publicado.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Foot Locker (EE. UU., distribución de calzado deportivo)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DICK'S Sporting Goods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2.218</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0,31x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24,00 USD en efectivo o 0,1168 acciones de DICK'S; valor del capital ≈ 2.400 M USD y valor empresa ≈ 2.500 M USD; ≈ 6,1x el EBITDA ajustado del ejercicio 2024 (US GAAP, después de alquileres: no comparable con el EBITDA NIIF 16 de Inditex); prima del 66 % sobre la media ponderada de 60 sesiones [140]. EV/ventas = cálculo propio con ventas de 7.988 M USD del ejercicio a feb-2025 [148].</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Skechers (EE. UU., calzado; marca con tiendas propias)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3G Capital (exclusión de bolsa)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63,00 USD por acción en efectivo (o 57,00 USD más una participación no cotizada), prima del 30 % sobre la media ponderada de 15 sesiones; ventas anuales de ≈ 9.000 M USD (8.969 M en 2024) [141, 149]. Valor empresa y múltiplos no publicados en la nota.</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Nordstrom (EE. UU., grandes almacenes de moda)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 Nordstrom y El Puerto de Liverpool (exclusión de bolsa)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0,43x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24,25 USD por acción en efectivo; valor empresa ≈ 6.250 M USD; prima del 42 % sobre el cierre no afectado del 18-mar-2024 [142]. EV/ventas = cálculo propio con ventas de 14.693 M USD del ejercicio a feb-2024 [150]. EBITDA no publicado.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Supreme (EE. UU., marca de ropa urbana; compra a VF Corp.)</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EssilorLuxottica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1.331</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1.500 M USD en efectivo por la marca y su negocio, vendida por VF, que la había comprado en 2020 [143]. Ventas y múltiplos no publicados en la nota.</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Hibbett (EE. UU., distribución de moda y calzado deportivo)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JD Sports Fashion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0,64x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87,50 USD por acción en efectivo; valor empresa ≈ 1.100 M USD; prima del 21 % sobre el cierre del 22-abr-2024 y del 29 % sobre la media de 120 sesiones [144]. EV/ventas = cálculo propio con ventas de 1.728,9 M USD del ejercicio a feb-2024 [151].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2023-08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Capri Holdings (Michael Kors, Versace, Jimmy Choo) - FALLIDA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Tapestry</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7.543</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57,00 USD por acción en efectivo; valor empresa ≈ 8.500 M USD (6.800 de capital y 1.700 de deuda neta); 9x el EBITDA ajustado LTM (7x con sinergias; US GAAP); prima del 59 % sobre la media ponderada de 30 sesiones [145, 146]. La FTC la bloqueó en los tribunales y se abandonó en noviembre de 2024. EV/ventas = cálculo propio con ventas de 5.619 M USD del ejercicio a abr-2023 [152]. Moda y accesorios de lujo accesible, no distribución de moda.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7,18 – 9,96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Las operaciones del sector no sirven para valorar Inditex. Son compras de negocios maduros o en dificultades (Foot Locker, Guess, Nordstrom, Hibbett) a 0,3-0,6 veces las ventas, con primas del 21-73 % [147, 148, 150, 151], y los dos únicos múltiplos de EBITDA publicados (Foot Locker 6,1x y Capri 9x) son en US GAAP, después de alquileres [139, 140, 142, 144, 145]. La mayor (Capri, 8.500 M USD) es el 5 % de la capitalización de Inditex. Inditex no puede ser objeto de una OPA sin el acuerdo de la familia Ortega, que controla el 64 % [88]. Peso cero en la síntesis.</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FY2026e (fijo): +7,5 %, con dos trimestres publicados (+7,6 % en el 1S), un arranque del 2S de +9 % a tipo constante y −1 % de divisa guiado; el consenso da +7,7 % [4, 116]. Después, el crecimiento baja medio punto al año, del 7,0 % de FY2027e al 3,0 % de FY2035e. El consenso da +7,5 % y +7,1 % en FY2027e-FY2028e [116]: nuestra proyección queda un 0,6 % y un 1,2 % por debajo en ventas. La referencia histórica es la TCAC del 5,9 % de FY2019-FY2025 (7,0 % a tipo constante en FY2025) y la superficie bruta, que la empresa guía al +5 % [1, 2]. El mercado de moda crece un 3-4 % nominal [50].</w:t>
      </w:r>
    </w:p>
    <w:p>
      <w:pPr>
        <w:keepNext/>
        <w:spacing w:after="100"/>
      </w:pPr>
      <w:r>
        <w:rPr>
          <w:b/>
          <w:bCs/>
        </w:rPr>
        <w:t xml:space="preserve">Márgenes.</w:t>
      </w:r>
    </w:p>
    <w:p>
      <w:pPr>
        <w:spacing w:after="100"/>
      </w:pPr>
      <w:r>
        <w:t xml:space="preserve">Margen EBITDA del 28,2 % en FY2026e (1S26 plano en el 27,9 %; FY2025 del 28,3 %), un máximo del 28,4 % en FY2028e-FY2030e y una vuelta al 28,0 % en el último año [1, 4]. El consenso da 28,1-28,5 % [116]. No proyectamos más expansión: el margen bruto ya está en máximos (58,7 %), la guía es «estable», y los costes de transporte, aranceles y regulación europea empujan en contra [20, 62, 65]. El 28 % final sigue muy por encima de H&amp;M, Next o Primark [128].</w:t>
      </w:r>
    </w:p>
    <w:p>
      <w:pPr>
        <w:keepNext/>
        <w:spacing w:after="100"/>
      </w:pPr>
      <w:r>
        <w:rPr>
          <w:b/>
          <w:bCs/>
        </w:rPr>
        <w:t xml:space="preserve">Inversión y circulante.</w:t>
      </w:r>
    </w:p>
    <w:p>
      <w:pPr>
        <w:spacing w:after="100"/>
      </w:pPr>
      <w:r>
        <w:t xml:space="preserve">Con los arrendamientos en la deuda, el capex incluye las altas de derechos de uso. FY2026e: 10,8 % de las ventas (2.500 M de inversión guiada, 5,8 %, más ≈ 5 % de altas de derechos de uso, como el 4,7-5,4 % de FY2023-FY2025) [1, 4]. Baja al 9,3 % en FY2035e a medida que se normaliza la inversión en logística. Histórico de capex más altas de derechos de uso: 9,9 % en FY2019, 10,4 % en FY2023, 11,6 % en FY2024 y 12,2 % en FY2025 [1]. La amortización (con derechos de uso) sube del 8,3 % al 8,5 % (8,2 % en FY2025), siempre por debajo del capex. Circulante del −9,7 % de las ventas (−9,7 % en FY2025 y −10,0 % en FY2024), convergente al −9,5 %. Tipo impositivo del 22,5 % (22,4 % en FY2024-FY2025) [1].</w:t>
      </w:r>
    </w:p>
    <w:p>
      <w:pPr>
        <w:keepNext/>
        <w:spacing w:after="100"/>
      </w:pPr>
      <w:r>
        <w:rPr>
          <w:b/>
          <w:bCs/>
        </w:rPr>
        <w:t xml:space="preserve">Coste del capital.</w:t>
      </w:r>
    </w:p>
    <w:p>
      <w:pPr>
        <w:spacing w:after="100"/>
      </w:pPr>
      <w:r>
        <w:t xml:space="preserve">WACC del 8,51 % en EUR. Tasa libre: Bund a 10 años, 3,49 % el 6-oct-2026 [132, 134], no el bono español, porque el 84 % de las ventas está fuera de España [131, 133]. Beta de 1,0 (Blume frente al EURO STOXX 50, 1,09; distribución europea, 0,94) [114, 118]. Prima de mercado madura de Damodaran, 4,23 %, más una prima país del 1,0 % ponderada por las ventas (estimación propia) [4, 135]. Coste de los fondos propios del 8,72 %; deuda: solo arrendamientos, al 3,6 % y con un peso del 3,6 % [5]. Con la prima implícita del S&amp;P 500 de octubre (4,20 % [153]), el WACC sería del 8,48 %: casi idéntico.</w:t>
      </w:r>
    </w:p>
    <w:p>
      <w:pPr>
        <w:keepNext/>
        <w:spacing w:after="100"/>
      </w:pPr>
      <w:r>
        <w:rPr>
          <w:b/>
          <w:bCs/>
        </w:rPr>
        <w:t xml:space="preserve">Valor terminal.</w:t>
      </w:r>
    </w:p>
    <w:p>
      <w:pPr>
        <w:spacing w:after="100"/>
      </w:pPr>
      <w:r>
        <w:t xml:space="preserve">Gordon con un crecimiento a perpetuidad del 2,5 % en EUR: crecimiento real del 0,5-1 % más una inflación a largo plazo del 1,5-2 %, por debajo del 3,5 % nominal que Euromonitor prevé para el mercado en 2026 [50]. Con la inflación de la eurozona en el 3,8 %, el 2,5 % es prudente pero no extremo [131]. El múltiplo de salida implícito es de 8,9 veces el EBITDA, por debajo de los 12,2x de la mediana actual de los comparables: el valor terminal no presupone que los múltiplos de hoy duren.</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8,48 %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0,32</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12.977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14.701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66.435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5.647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2.915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4.714</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165.398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223.222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51.421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77.285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128.705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133.337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3.115,0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42,80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38,47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40,34</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50,68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54,47</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5.188 M (6 %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FY2035e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 (hoy: 2,4 %)</w:t>
            </w:r>
          </w:p>
        </w:tc>
      </w:tr>
    </w:tbl>
    <w:p>
      <w:pPr>
        <w:spacing w:after="160" w:before="0"/>
      </w:pPr>
    </w:p>
    <w:p>
      <w:pPr>
        <w:spacing w:after="100"/>
      </w:pPr>
      <w:r>
        <w:t xml:space="preserve">La proyección apenas necesita inversión neta de la amortización (reinversión acumulada de 5.188 M, el 6 % del NOPAT, con un capex bruto medio del 9,9 % de las ventas). En un negocio de activos ligeros, el crecimiento medio del 5,3 % tiene que salir de subir precios y de ganar volumen sin capital nuevo, y la prueba es el poder de precios y la cuota (2,9 % del mercado en FY2035e, frente al 2,4 %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superficie bruta guiada al +5 % con contribución positiva a las ventas [2, 4]. Precio y productividad por m²: venta a precio completo y mezcla (margen bruto del 58,7 % en el 1S26) [4]; el 1S26 creció un 9,2 % a tipo constante y el 2S arrancó al +9 % [4]. Otros: divisa guiada al −1 % [4]. Reparto entre volumen y precio, estimación propia.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Superficie al ritmo de los últimos años (+5,3-5,8 % de espacio bruto nuevo, con absorciones) [2, 12] y online integrado con la tienda [2]; precio y mezcla en línea con la inflación del vestido y algo de mezcla (estimación propia) [56]. El consenso da +7,5 % [116].</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Menos superficie nueva neta, porque crece sustituyendo tiendas pequeñas [2]; el consenso da +7,1 % [116].</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hacia el ritmo de un mercado que crece un 3-4 % nominal [50] más algo de cuota; precio con la inflación.</w:t>
            </w:r>
          </w:p>
        </w:tc>
      </w:tr>
    </w:tbl>
    <w:p>
      <w:pPr>
        <w:spacing w:after="160" w:before="0"/>
      </w:pPr>
    </w:p>
    <w:p>
      <w:pPr>
        <w:spacing w:after="100"/>
      </w:pPr>
      <w:r>
        <w:t xml:space="preserve">Sí: el caso base pide menos que la historia. El 5,3 % anual de FY2026e-FY2035e queda por debajo del 5,9 % de FY2019-FY2025 y sale de superficie (+5 % guiado, bajando) más un 2,5-3,5 % de precio y mezcla, con poder de precios demostrado (margen bruto +240 pb en seis ejercicios) [1, 2, 107]. La reinversión es baja (6 % del NOPAT) porque el circulante negativo financia el crecimiento, no porque falte inversión: el capex neto de amortización, el 9 % del NOPAT, financia al ROIC del 42,4 % un 3,8 % anual, el volumen del puente. La cuota pasaría del 2,4 % al 2,9 % de un mercado mundial fragmentado [50]. El riesgo es de colección, no de capacidad.</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(FY2027e-FY2035e)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8,2 % (base: 5,0 %)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33,1 % (base: 28,0 %)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7,3 % (WACC: 8,5 %)</w:t>
            </w:r>
          </w:p>
        </w:tc>
      </w:tr>
    </w:tbl>
    <w:p>
      <w:pPr>
        <w:spacing w:after="160" w:before="0"/>
      </w:pPr>
    </w:p>
    <w:p>
      <w:pPr>
        <w:spacing w:after="100"/>
      </w:pPr>
      <w:r>
        <w:t xml:space="preserve">El DCF da </w:t>
      </w:r>
      <w:r>
        <w:rPr>
          <w:b/>
        </w:rPr>
        <w:t xml:space="preserve">42,80 EUR por acción, un 20,5 % por debajo del precio</w:t>
      </w:r>
      <w:r>
        <w:t xml:space="preserve"> (rango de 37,94 a 49,57 EUR con WACC y crecimiento terminal ±0,5 puntos), con el valor terminal en el 60 % del valor empresa. Con la prima implícita del mercado (4,20 % [153]) el WACC pasa al 8,48 % y el DCF a 43,01 EUR: la conclusión no depende de la prima. </w:t>
      </w:r>
      <w:r>
        <w:rPr>
          <w:b/>
        </w:rPr>
        <w:t xml:space="preserve">El DCF inverso es la clave</w:t>
      </w:r>
      <w:r>
        <w:t xml:space="preserve">: para justificar 53,82 EUR con nuestros márgenes, las ventas tendrían que crecer un 8,2 % anual entre FY2027e y FY2035e, frente al 5,0 % de nuestro caso base, la TCAC del 5,9 % de FY2019-FY2025 y el 7,1-7,5 % que el consenso espera solo para FY2027e-FY2028e. Con nuestro crecimiento, el margen EBITDA tendría que llegar al 33,1 %, casi cinco puntos por encima del máximo histórico (28,3 %). Dicho de otra forma, el precio descuenta una rentabilidad anual del 7,3 %, 3,8 puntos sobre el Bund y por debajo del 8,5 % que hoy pide el mercado a una acción de beta 1. Es exigente.</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 que le pasó a H&amp;M en 2018-2020: la colección pierde acierto, las rebajas crecen y el margen EBITDA vuelve al 25,5 % (el de FY2021-FY2022), mientras el crecimiento medio cae al 2 % por la competencia de precio (Shein, Primark) y un consumo europeo débil. El mercado exige medio punto más de rentabilidad.</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Inditex cumple el consenso a tres años (+7,0-7,5 % de ventas, margen EBITDA del 28,2-28,4 %) y después converge hacia el crecimiento del mercado, con un 5,0 % medio anual en FY2027e-FY2035e y un margen del 28 % al final.</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58,86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repite el ciclo de FY2022-FY2024: superficie +5 %, online y EE. UU. sostienen un 7,5 % medio de crecimiento, el margen EBITDA sube un punto más (29 %) con menos rebajas y la logística nueva, y el mercado acepta medio punto menos de rentabilidad por la calidad del negocio.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EUR) · precio actual 53,8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43,10 EUR (-19,9 %).</w:t>
      </w:r>
    </w:p>
    <w:p>
      <w:pPr>
        <w:spacing w:after="100"/>
      </w:pPr>
      <w:r>
        <w:t xml:space="preserve">La asimetría es desfavorable: el alcista da 58,86 EUR (+9,4 %) y el bajista 27,95 EUR (−48,1 %), una relación de 0,20 veces. El valor ponderado (25/50/25) es de 43,10 EUR, un 19,9 % por debajo del precio. Para que el alcista compense, habría que creer en un crecimiento medio del 7,5 % durante nueve años con márgenes en máximos y una rentabilidad exigida del 8 %; aun así, la subida es solo del 9 %. El bajista es severo pero tiene precedente: H&amp;M perdió la mitad de su margen operativo entre 2015 y 2020 y la cotización de Inditex cayó un 38,9 % en 2021-2022 sin que el negocio fallara [71, 114]. No compensa.</w:t>
      </w:r>
    </w:p>
    <w:p>
      <w:pPr>
        <w:pStyle w:val="Heading1"/>
      </w:pPr>
      <w:r>
        <w:t xml:space="preserve">22. Suma de partes</w:t>
      </w:r>
    </w:p>
    <w:p>
      <w:pPr>
        <w:pStyle w:val="Confianza"/>
        <w:spacing w:after="100"/>
      </w:pPr>
      <w:r>
        <w:t xml:space="preserve">Confianza: Alta</w:t>
      </w:r>
    </w:p>
    <w:p>
      <w:pPr>
        <w:spacing w:after="100"/>
      </w:pPr>
      <w:r>
        <w:t xml:space="preserve">No aplica: los formatos de Inditex comparten logística, aprovisionamiento, tecnología y perfil de negocio (moda de rotación rápida con márgenes BAI del 17-24 %), y no hay comparables cotizados puros que permitan múltiplos distintos por formato [2].</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EUR) · precio actual 53,8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53,82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54,09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objetivo ponderado:</w:t>
      </w:r>
      <w:r>
        <w:t xml:space="preserve"> 44,48 EUR (-17,4 % sobre 53,82).</w:t>
      </w:r>
    </w:p>
    <w:p>
      <w:pPr>
        <w:spacing w:after="100"/>
      </w:pPr>
      <w:r>
        <w:t xml:space="preserve">Pesos: DCF 50 %, escenarios 30 % y comparables 20 %. El DCF es el método más fiable para un negocio sin deuda, con márgenes estables y una historia larga de cuentas; los escenarios añaden la asimetría. Los comparables pesan menos porque todo el grupo cotiza a múltiplos altos y la muestra útil es corta (seis). Transacciones a cero: Inditex no es opable. La dispersión tiene una lectura clara: los métodos absolutos (DCF 42,80 y escenarios 43,10 EUR) dicen que el precio es caro; los relativos (comparables 50,77 EUR, regresión 59,53 EUR, analistas 60,39 EUR), que está en precio frente a sus pares. El valor objetivo es de 44,48 EUR; con la prima implícita del mercado (4,20 % [153]), 44,65 EUR. Puente a 31-jul-2026: caja e inversiones 10.399 M, deuda 1 M, arrendamientos 6.197 M y Tempe (50 %) 431 M [1, 5].</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2-dic-2026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los nueve meses (feb-oct 2026) y arranque de la campaña de invierno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Prueba de si el transporte de Oriente Medio erosiona el margen bruto del 2S, como avisó la dirección; el arranque de agosto fue +9 % a tipo constante [20, 120].</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29-nov-2026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Elecciones generales anticipadas en España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Han llevado el bono español a máximos desde 2013-2014 (4,10 %); afecta a la tasa de descuento del mercado español más que a Inditex (15,6 % de ventas en España) [4, 131].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Antes de fin de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 subida de tipos del BCE que descuenta el mercado, con la inflación de la eurozona en el 3,8 %</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Sube la rentabilidad exigida a los valores de calidad con múltiplos altos; es el mecanismo por el que el precio converge a nuestro valor [131, 132].</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FY2026 y guía de FY2027 (espacio, inversión, divisa)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guía de espacio más allá de 2026; si baja del +5 % o la inversión sube por encima de los 2.500 M, el mercado revisará el crecimiento a largo plazo [20].</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Resolución judicial de las devoluciones de los aranceles IEEPA anulados por el Supremo de EE. UU.</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 extraordinario «limitado» según la dirección; la Sección 301 (12,5 % a Marruecos y Turquía) sigue vigente [20, 62, 63].</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Jul-2027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general: dividendo de FY2026 y propuesta de retribución al accionista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consenso espera 1,93 EUR (89 % del BPA); un extraordinario mayor o una recompra darían salida a 10.400 M de caja [5, 116].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Cambio de auditor (Deloitte sustituye a EY desde FY2027)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efecto esperado; las rotaciones son una ocasión para revisar criterios (arrendamientos, existencias) [112].</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Compresión del múltiplo por tipos de interés: el Bund en el 3,49 % y el BCE subiendo, con el valor apoyado en un 7,3 % de rentabilidad implícita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−14 % si el WACC sube un punto (sensibilidad del DCF: de 42,80 a 36,86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neta y dividendo del 3,3 %; negocio que repercute la inflación.</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Bund por encima del 3,75 % y PER NTM del sector por debajo de 20x.</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Frenazo del crecimiento a tipo constante por debajo del 6 % (como el 1S25: +5,1 %) por pérdida de acierto en la colección o competencia de precio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−7 % por cada punto menos de crecimiento anual (sensibilidad: 39,82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Modelo de reacción dentro de la temporada; ocho formatos; Lefties para el segmento de precio.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Arranques de temporada por debajo del +6 % a tipo constante en dos trimestres seguidos.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por debajo del rango guiado por transporte (Oriente Medio), aranceles de la Sección 301 y dólar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por cada punto de margen EBITDA (sensibilidad: 40,63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±50 pb cumplida cada año desde FY2022; aprovisionamiento diversificado en 49 mercados [34, 107].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del 9M26 por debajo de 57,8 % (−50 pb) o comentario de la dirección de que el transporte no se recupera.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Consumo europeo débil: el 67 % de las ventas está en Europa, con la confianza del consumidor en −15,8 y el volumen de gasto en vestido cayendo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Macro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 a −25 % en un año como 2009 (sin covid), por múltiplo más que por beneficio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2009 Inditex creció un 7 % con el mercado cayendo un 4 % [53, 68].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Confianza del consumidor UE por debajo de −20 y Acotex en negativo varios meses.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Divisa: el crecimiento en euros ha sido 3-4 puntos inferior al de tipo constante en FY2023-FY2025</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 a −5 % si la divisa resta 3 puntos al año en lugar de 1</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 en las mismas divisas en parte; guía de solo −1 % para 2026 [4].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Euro por encima de 1,20 USD y depreciación de las divisas de Latinoamérica y Turquía.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Dependencia del fundador y de la familia: el 64 % del capital en manos de los Ortega, cuatro dominicales en el consejo y la presidenta hija del accionista de control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Difícil de cuantificar; sin precio de control para el minoritario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 con 50 % de independientes, comisión de auditoría independiente y vinculadas pequeñas [88, 90].</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vinculadas crecientes o cambios en la cúpula sin proceso del comité de nombramientos.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 europea de sostenibilidad (RAP textil, prohibición de destruir excedentes, ecodiseño, diligencia debida) y controversias en la cadena de suministro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 y ESG</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 a −2 % por costes de cumplimiento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Excedente del 0,57 % de los artículos y sistemas de reciclaje ya en marcha (Re-Viste) [34].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Tasas de RAP por prenda en la transposición española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Ejecución de la inversión: 2.500 M en FY2026e, el 5,8 % de las ventas, frente al 4,1 % de FY2019; si no da más ventas por metro, el ROIC baja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Estimación propia: −3 % si la inversión se queda en el 7 % de las ventas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ROCE del 40 % y crecimiento de la superficie con menos tiendas [3].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Capex por encima de la guía y contribución neta del espacio negativa.</w:t>
            </w:r>
          </w:p>
        </w:tc>
      </w:tr>
    </w:tbl>
    <w:p>
      <w:pPr>
        <w:spacing w:after="160" w:before="0"/>
      </w:pPr>
    </w:p>
    <w:p>
      <w:pPr>
        <w:pStyle w:val="Heading2"/>
      </w:pPr>
      <w:r>
        <w:t xml:space="preserve">Pre-mortem</w:t>
      </w:r>
    </w:p>
    <w:p>
      <w:pPr>
        <w:spacing w:after="100"/>
      </w:pPr>
      <w:r>
        <w:t xml:space="preserve">Octubre de 2029: Inditex cotiza a 32 EUR, un 40 % menos. La historia más probable no es una crisis, sino una suma de pequeñas decepciones en un mercado que dejó de pagar por la calidad. En 2027 el BCE siguió subiendo para frenar una inflación que no bajaba del 3 %, el Bund pasó del 4 % y el sector de distribución de calidad (TJX, Ross, Inditex) perdió tres o cuatro puntos de PER. Al mismo tiempo, el crecimiento a tipo constante de Inditex cayó al 4-5 %: la superficie dejó de crecer al 5 % porque ya no quedaban tiendas pequeñas que absorber, el online se estancó en el 27 % de las ventas y Lefties canibalizó a Zara en precio. El margen bruto bajó 100 pb por transporte y aranceles que la empresa no quiso trasladar para no perder volumen. El beneficio siguió creciendo un 3-4 % al año, pero con un PER de 16x en lugar de 25x la acción perdió un 40 %. Los indicadores que lo habrían anticipado: arranques de temporada por debajo del +6 % a tipo constante, una guía de espacio inferior al 5 % en marzo de 2027, el margen bruto saliendo del rango ±50 pb y el Bund por encima del 3,75 %.</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CDP Cambio climático [85]</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CDP Seguridad hídrica</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CDP Bosques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Dow Jones Sustainability Index (S&amp;P Global)</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Miembro desde septiembre de 2002</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2026-03</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FTSE4Good</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Miembro desde octubre de 2002</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2026-03</w:t>
            </w:r>
          </w:p>
        </w:tc>
      </w:tr>
    </w:tbl>
    <w:p>
      <w:pPr>
        <w:spacing w:after="160" w:before="0"/>
      </w:pPr>
    </w:p>
    <w:p>
      <w:pPr>
        <w:pStyle w:val="Heading2"/>
      </w:pPr>
      <w:r>
        <w:t xml:space="preserve">Asuntos materiales</w:t>
      </w:r>
    </w:p>
    <w:p>
      <w:pPr>
        <w:spacing w:after="100"/>
      </w:pPr>
      <w:r>
        <w:t xml:space="preserve">Tres asuntos mueven las cifras. </w:t>
      </w:r>
      <w:r>
        <w:rPr>
          <w:b/>
        </w:rPr>
        <w:t xml:space="preserve">Cadena de suministro y derechos laborales</w:t>
      </w:r>
      <w:r>
        <w:t xml:space="preserve">: 6.684 fábricas en 49 mercados, con más de 3 millones de trabajadores y el 62 % de las fábricas en Asia; una controversia grave (como Rana Plaza para el sector) afecta a la marca y obliga a gastar en auditorías [34]. </w:t>
      </w:r>
      <w:r>
        <w:rPr>
          <w:b/>
        </w:rPr>
        <w:t xml:space="preserve">Regulación de circularidad</w:t>
      </w:r>
      <w:r>
        <w:t xml:space="preserve">: prohibición de destruir excedentes desde julio de 2026 y responsabilidad ampliada del productor antes de 2028: Inditex parte bien (excedente del 0,57 % de los artículos en 2024 y sistema Re-Viste en España) [34, 65, 66]. </w:t>
      </w:r>
      <w:r>
        <w:rPr>
          <w:b/>
        </w:rPr>
        <w:t xml:space="preserve">Emisiones de alcance 3</w:t>
      </w:r>
      <w:r>
        <w:t xml:space="preserve">: casi todas sus emisiones están en la fabricación de materias primas y en el transporte, y el aéreo es parte del modelo de reposición rápida [34].</w:t>
      </w:r>
    </w:p>
    <w:p>
      <w:pPr>
        <w:pStyle w:val="Heading2"/>
      </w:pPr>
      <w:r>
        <w:t xml:space="preserve">Controversias</w:t>
      </w:r>
    </w:p>
    <w:p>
      <w:pPr>
        <w:spacing w:after="100"/>
      </w:pPr>
      <w:r>
        <w:t xml:space="preserve">En abril de 2024 la ONG Earthsight vinculó a Inditex y H&amp;M con algodón del Cerrado brasileño asociado a deforestación ilegal y acaparamiento de tierras, certificado por Better Cotton; Inditex pidió explicaciones a la certificadora [86]. La investigación preliminar de la fiscalía francesa de 2021 sobre el algodón de Xinjiang (también a Uniqlo, SMCP y Skechers) queda fuera de la ventana de tres años y no consta su cierre [87]. No hemos encontrado multas ni sanciones a Inditex en 2023-2026, y la memoria no recoge litigios significativos [1]. Calificaciones: CDP A en cambio climático en 2025 y miembro del DJSI y del FTSE4Good desde 2002 [33, 85]; no hemos podido verificar en el original las de MSCI, Sustainalytics ni ISS.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largo plazo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puede crecer la superficie bruta después de 2026 sin abrir tiendas en mercados nuevos, y qué parte del +5 % actual es absorción de tiendas pequeñas que se agotará?</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DCF inverso exige un 8,2 % anual hasta FY2035e; la superficie es la palanca que la empresa guía [2, 20].</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aumento del 8,3 % de los gastos operativos del 1S26 es transporte temporal por Oriente Medio y cuál es estructural (salarios, logística nueva)?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punto de margen EBITDA vale un 4 % del valor; la dirección avisó de impacto también en el margen bruto del 2S [20].</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comparables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no publica ventas en tiendas comparables ni ventas por país (EE. UU.), si define la métrica en la memoria?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ellas no se puede separar crecimiento por superficie de crecimiento por productividad [1].</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Asignación de 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mantener 10.400 M de caja neta (una cuarta parte de las ventas) en lugar de recomprar acciones o subir el extraordinario?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caja rinde menos que el negocio (ROIC del 42 %) y deprime el ROE; una recompra sería un catalizador [5].</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y aprovisionamiento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porcentaje de la compra procede hoy de proximidad y qué coste añade la Sección 301 (12,5 % a Marruecos y Turquía) a lo que se vende en EE. UU.?</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Inditex dejó de desglosar proveedores por clúster en 2024; EE. UU. es su segundo mercado [44, 62].</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Lefties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margen de Lefties y cuánto canibaliza a Zara en los mercados donde abre (Reino Unido, Francia)?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no lo desglosó en la conferencia de marzo; es la respuesta a Shein y Primark y diluye el margen si crece mucho [19].</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Inventario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+9,3 % de existencias a julio de 2026 es reposición anticipada por el transporte o exceso de compra?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exceso se pagaría en rebajas del 4T y en el margen bruto [4].</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¿Cómo se decide la sucesión en la presidencia y en la dirección de producto (Zara Mujer) con la familia controlando el 64 %?</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salida de la directora de Zara Mujer tras 25 años es la primera en un puesto de producto clave [104].</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18 de 19 controles correctos. Fuentes: 153 (82 primarias); citas distintas en el texto: 152.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2,9 % en FY2035e frente al 2,4 %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-9,7 % frente a -9,7 % real: genera una variación de circulante de -303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estables al quitar una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mediana del EV/EBITDA NTM va de 11,0x a 13,3x según qué comparable se quite (46,45 a 55,85 por acción): la muestra es frágil; explícalo y no le des mucho peso.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frente a la sugerida por los criterios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criterios dan «Media» (no llega a Alta: rentabilidad del -15,1 % (&gt; −20 %); con la prima del mercado, -14,8 % (&gt; −15 %); el precio pide 3,2 puntos más de crecimiento que el caso base (&lt; 5)) y el análisis pone «Baja»: explica en la síntesis por qué te apartas.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153 fuentes (82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82.</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83.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Sentimiento en foros y comentarios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items[4T24].vs_consenso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resultados de Inditex (no comparan con consenso); 2) Finwire/Börsvärlden y prensa española para el 12-mar-2025: no se encontró el artículo con el consenso de FY2024; 3) búsqueda en inglés (Reuters/XTB) sin texto abierto con cifras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crecimiento_organico_pct de 3T24, 4T24, 2T25, 4T25 y 2T26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resultados: Inditex solo da el crecimiento a tipo constante acumulado (1T, 1S, 9M, año), salvo 3T25; 2) transcripciones (1S24, 9M24, FY2024, FY2025, 1S26): sin cifra trimestral; 3) derivado de los acumulados ponderando por las ventas del año anterior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kpis: ventas en tiendas comparables (like-for-like)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resultados FY2024-1S26: no se publica; 2) memorias FY2019-FY2025: definida como medida alternativa, sin cifra; 3) transcripciones: la dirección habla de contribución del espacio neto (≈2 % en 2024, &gt;1,5 % en 2025), no de LFL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extra: porcentaje de aprovisionamiento en proximidad</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de sostenibilidad 2025: solo dice «una parte muy significativa» sin porcentaje; 2) memorias y transcripciones 2025-2026: sin cifra; 3) no se buscó en prensa una cifra antigua para no mezclar años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extra: ventas en EE. UU. (exposición a aranceles)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11 de la memoria: solo áreas (América 6.971 M); 2) notas de resultados: porcentaje por área; 3) transcripciones: «impacto limitado», sin cifra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coste_deuda_pct y vida_media_anios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21 (posición financiera neta): deuda financiera de 2 M a corto plazo; 2) nota 26 (riesgos): sin bonos ni préstamos a largo plazo; 3) cálculo: 155 M de gastos financieros sobre 2-7 M de deuda no tiene sentido económico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rating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Cuentas anuales FY2025 e IAGC 2025: no mencionan calificación; 2) búsqueda web S&amp;P/Moody's: solo calificaciones de sostenibilidad; 3) informes de resultados: sin mención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declara «Sin rating público»)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extra: altas de derechos de uso del 1S26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Cuentas intermedias 1S26: no desglosan altas de derechos de uso; 2) anexos 1S26: solo saldo (5.761 M); 3) derivarlo exigiría la amortización semestral de derechos de uso, que no se publica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ltm.bpa diluido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Anexos 1S26: solo BPA básico (0,956); 2) cuentas intermedias 1S26: sin BPA diluido; 3) se usa el básico (dilución &lt; 0,1 %)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serie (2025e y 2026e)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Eurostat nama_10_cp18 y nama_10_co3_p3: el agregado UE-27 de 2025 aún no está publicado; 2) Statista Market Insights (serie mundial 2018-2030 tras registro) y Euromonitor (solo 2025 y 2026 vía prensa); 3) derivado: crecimiento 2025 de DE, FR, IT, NL y PL (66,9 % del gasto) aplicado a la UE-27, y 2026 con el +1,5 % medio de McKinsey/BoF para Europa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Euromonitor (cuotas de empresa, de pago); 2) Statista y McKinsey State of Fashion (no publican cuotas); 3) derivado: ingresos de TJX, Nike, Inditex, Shein y adidas de sus cuentas o prensa sobre 1,86 billones de USD de Euromonitor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de Inditex en EE. UU.</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Cuentas anuales e informe de gestión 2025 (solo América 17,8 %); 2) anexo fiscal del estado de información no financiera (solo beneficio antes de impuestos por país: 396 M EUR); 3) prensa (Forbes, FashionUnited, Reuters: «segundo mercado» sin cifra)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porcentaje de producción en proximidad (por valor o unidades)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Memoria 2025 (solo «una parte significativa» y fábricas por zona); 2) memorias anteriores: desde 2024 Inditex dejó de desglosar proveedores por clúster (Modaes); 3) prensa: último dato disponible, ≈48 % de los proveedores con compra en proximidad a cierre de 2023 (por número, no por valor)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MSCI, Sustainalytics, ISS y puntuación S&amp;P Global CSA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Memoria y cuentas 2025 de Inditex (solo pertenencia a DJSI y FTSE4Good); 2) web de Sustainalytics (sin dato visible) y MarketScreener (403); 3) fuentes secundarias: Australian Ethical da Sustainalytics 11,6 (riesgo bajo) mientras un resumen de buscador daba 23,0 y MSCI AAA, sin poder verificarlo en el original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 EBIT de Shein de sus propias cuentas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HKEX: el borrador del folleto (application proof) ya no está disponible; 2) documentos de la fecha del folleto (24-8-2026) en hkexnews sin localizar el de Shein; 3) prensa: Caixin da beneficio operativo de 1.700 M USD y margen del 4,1 % en 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equipo.participacion_pct (director financiero, director general corporativo, director de Zara y director de Zara Mujer)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IAGC 2025, que solo da la participación de los consejeros; 2) registro de la CNMV de notificaciones de directivos, que solo da las entregas del ILP y no el saldo; 3) informes de remuneraciones y prensa, sin saldos de altos directivos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equipo.desde (Óscar Pérez Marcote como director de Zara)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IAGC 2025, lista de alta dirección sin fechas; 2) comunicaciones a la CNMV desde 2020, sin nombramiento; 3) búsqueda en prensa sin fuente fiable con fecha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 de BPA y EBITDA a 3 y 12 meses exactos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«consensus-revisions»: cifras solo para suscriptores; 2) Stock Analysis (S&amp;P Global): solo tendencia de recomendaciones, sin serie de estimaciones; 3) copias de Wayback Machine de la página de estimaciones de MarketScreener: hay del 18-abr-2026 y del 13-mar-2025, no de jul-2026 ni de oct-2025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ev_ebitda_ntm y per_ntm históricos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/valuation/: solo múltiplos del ejercicio con cifras reales (no NTM); 2) Stock Analysis: «forward PE» por año solo con la definición de su proveedor y sin EV/EBITDA NTM; 3) reconstruir el consenso histórico: no hay serie gratuita de estimaciones pasadas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EV/EBITDA de al menos tres operaciones en base NIIF 16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oficiales y 8-K de las ocho operaciones: solo Foot Locker (6,1x) y Capri (9x) publican múltiplo, en US GAAP; 2) presentaciones de los compradores (Tapestry, DICK'S, 3G) y RNS de Frasers sobre Hugo Boss: sin EBITDA NIIF 16; 3) derivarlo con el EBITDA de los 10-K más el alquiler operativo: posible solo para dos operaciones y con perímetros distintos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Memoria Anual Grupo Inditex 2025: informe de auditoría, cuentas anuales consolidadas e informe de gestión (ejercicio 2025, feb-25 a ene-26)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https://www.inditex.com/itxcomweb/api/media/159a9cfc-8d92-4d8a-b109-d04fd74c85ac/Cuentasanualesinformedegestioneinformedeauditoriaconsolidado.pdf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FY2025 Results (nota de resultados)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https://www.inditex.com/itxcomweb/ww/en/press/news-detail/b870d5ec-6b7e-491d-b38e-340cd69036df/fy2025-results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FY2025 Results – Annexes (cuenta, balance, flujos y resultados trimestrales FY2025)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https://www.inditex.com/itxcomweb/api/media/1c6d4284-665d-4a4b-bd49-c317cc75d086/Results2025_Annexes.pdf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Half Year 2026 Results (nota de resultados 1S FY2026)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https://www.inditex.com/itxcomweb/ww/en/press/news-detail/a2c9b82b-1e27-4582-a7c9-746bc88b744e/interim-half-year-2026-results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Half Year 2026 Results – Annexes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https://www.inditex.com/itxcomweb/api/media/140034e6-7161-496e-9fb9-eb0482499ea3/2026FirstHalfResultsAnnexes.pdf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condensed consolidated financial statements first half 2026 (con informe de revisión limitada de EY)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https://www.inditex.com/itxcomweb/api/media/b8855047-5422-4d48-a0cf-6c2ecd60f09a/Firsthalfconsolidatedaccount2026.pdf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First Quarter 2026 Results (nota y anexos)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https://www.inditex.com/itxcomweb/ww/en/press/news-detail/b5748357-36e3-41e4-9461-7ed7ce773512/first-quarter-2026-results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Nine Months 2025 Results (nota y anexos)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https://www.inditex.com/itxcomweb/ww/en/press/news-detail/464b3454-3676-469e-8106-2078e38e3435/interim-nine-months-2025-results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Half Year 2025 Results (nota y anexos)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https://www.inditex.com/itxcomweb/ww/en/press/news-detail/5528cc23-eb74-464b-baa2-424ea29b849a/interim-half-year-2025-results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Three Months 2025 Results (nota y anexos)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https://www.inditex.com/itxcomweb/ww/en/press/news-detail/e7dc8504-2490-4ac0-8ce5-b9fb099de051/interim-three-months-2025-results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 Group Annual Report 2024: consolidated annual accounts and directors’ report (ejercicio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https://www.inditex.com/itxcomweb/api/media/84135f02-0208-4439-b9c0-b13608fbfeb5/Annualaccountsanddirectorsreport2024consolidated.pdf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FY2024 Results (nota de resultados y anexos con resultados trimestrales FY2024)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https://www.inditex.com/itxcomweb/ww/en/press/news-detail/6f8d8db5-4d7a-43db-91b9-0c38065aec1e/fy2024-results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 Group Annual Report 2023 (incluye cuentas consolidadas, informe de gestión y resultados trimestrales FY2023)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https://www.inditex.com/itxcomweb/api/media/9673b05d-e761-4558-8e1a-8c4f38344628/Inditex_Group_Annual_Report_2023.pdf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Memoria Anual Grupo Inditex 2022 (cuentas consolidadas e informe de gestión)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https://static.inditex.com/annual_report_2022/pdf/Memoria-anual-grupo-inditex-2022.pdf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 Annual Report 2021 (cuentas consolidadas e informe de gestión)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https://www.inditex.com/itxcomweb/api/media/9f9bb2e5-99da-4127-8337-4f829b874628/inditex_annual_report_2021.pdf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2020 annual accounts, management report and auditor’s report of Inditex Group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https://www.inditex.com/itxcomweb/api/media/8ba991ee-382e-4d95-8595-a5763c9d7e5d/2020_annual_accounts__management_report_and_auditors_report_of_inditex_group.pdf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2019 annual accounts, management report and auditor’s report of Inditex Group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https://www.inditex.com/itxcomweb/api/media/884971c4-5be8-4442-b73f-c50e703be45f/2019_annual_accounts__management_report_and_auditors_report_of_inditex_group.pdf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de Gobierno Corporativo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https://www.inditex.com/itxcomweb/api/media/3daa9cc6-52dc-4759-a24c-50fb1a32c888/IAGC2025_ESP.pdf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Results 2025 – Conference call script (11 marzo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https://www.inditex.com/itxcomweb/api/media/1b357fb3-53ea-4844-b041-f17ec0e8b748/TranscriptMarch2026.pdf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Half Year 2026 – Conference call script (9 septiembre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https://www.inditex.com/itxcomweb/api/media/9a5d8f92-9d99-4499-9e1b-a72919ac3657/Transcript1HResults.pdf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First Quarter 2026 – Conference call script (3 junio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https://www.inditex.com/itxcomweb/api/media/192f5e73-a865-43c6-bec1-213b968e2313/Transcript_1Q_2026.pdf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Nine Months 2024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dic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https://www.inditex.com/itxcomweb/api/media/44327d2d-dfd7-4b0a-9bb7-c0ebfe1d4bd1/INDITEX9M2024Results.pdf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Half Year 2024 – Conference call 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https://www.inditex.com/itxcomweb/api/media/efbcadeb-278e-4b7a-b871-cd34359186d0/1H2024_Transcript.pdf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Nine Months 2024 – Conference call 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dic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https://www.inditex.com/itxcomweb/api/media/e0ccf3cf-d62a-41f7-80e9-0ac906745afd/3Q2024_Transcript.pdf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Half Year 2025 – Conference call 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https://www.inditex.com/itxcomweb/api/media/6d8cd954-91bf-43c5-ac4d-7cdf292f05c6/Transcript1H2025.pdf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 rörelseresultatet ungefär som väntat (1T FY2025 frente al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Börsvärlden / Finwire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https://borsvarlden.com/finwire/FWM00B6B96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 ökade rörelseresultatet lite mer än väntat (9M FY2025 frente al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Börsvärlden / Finwire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https://borsvarlden.com/finwire/FWM00C5D91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 rörelsresultat var lägre än väntat (9M FY2024 frente al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Börsvärlden / Finwire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dic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https://borsvarlden.com/artiklar/inditex-rorelsresultat-var-lagre-an-vantat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 ökar omsättning och rörelseresultat (FY2025 frente al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Börsvärlden / Finwire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https://borsvarlden.com/artiklar/inditex-okar-omsattning-och-rorelseresultat-uppdatering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 ökade rörelseresultatet som väntat (1T FY2026 frente al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Börsvärlden / Finwire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https://borsvarlden.com/finwire/FWM00DABF2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 logra un beneficio récord de 2.980 millones y pagará un dividendo de 0,875 euros el 2 de noviembre (1S FY2026 frente al consenso de FactSet)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Finect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https://www.finect.com/usuario/eduardogarcia/articulos/inditex-logra-un-beneficio-record-de-2980-millones-y-pagara-un-dividendo-de-0875-euros-el-2-de-noviembre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 sets new records again in first half of fiscal year, profit of €2.791 billion, but falls short of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Corner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https://thecorner.eu/?p=121893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 Group Annual Report 2025: estado de información no financiera e información de sostenibilidad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https://www.inditex.com/itxcomweb/api/media/80c8400b-4c0a-474e-82bd-c482bcba19f9/InformedeSostenibilidad.pdf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Statement of Non-Financial Information and Sustainability Information 2025 (Annual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https://www.inditex.com/itxcomweb/api/media/f8d28973-3e94-45a5-9b0f-9e4d4b1c14b3/SustainabilityReport.pdf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Annual Accounts and Directors' Report 2025 (Inditex Group)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https://www.inditex.com/itxcomweb/api/media/59f58f71-301d-4a50-85a6-0441fb9f37c5/ENGL-CCAAeIGGrupo2025.pdf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History / Milestones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 (web corporativa)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https://www.inditex.com/itxcomweb/es/en/group/history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 alcanza un acuerdo para marcharse de Rusia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Independiente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oct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https://www.elindependiente.com/economia/2022/10/25/inditex-alcanza-un-acuerdo-para-marcharse-de-rusia/amp/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 vende su negocio en Rusia y abandona el país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FashionUnited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oct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https://fashionunited.es/noticias/empresas/inditex-vende-su-negocio-en-rusia-y-abandona-el-pais/2022102539694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 cerrará las tiendas de Uterqüe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Independiente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ene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https://www.elindependiente.com/economia/2022/01/28/inditex-cerrara-las-tiendas-uterque/amp/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Marta Ortega será la nueva presidenta de Inditex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Independiente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nov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https://www.elindependiente.com/economia/2021/11/30/marta-ortega-sera-la-nueva-presidenta-de-inditex/amp/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Amancio Ortega deja la presidencia de Inditex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FashionUnited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ene 2011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https://fashionunited.es/v1/leads/amancio-ortega-deja-la-presidencia-de-inditex/2011011016943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Zara ya vende por Internet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MuyComputer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sep 2010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https://www.muycomputer.com/2010/09/02/actualidadnoticiaszara-ya-vende-por-internet_we9erk2xxddsryg8xw0taoun5jz4bq-poqqpoqou-m_typpojrhtjp5uwyyxpnec/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Más India y Marruecos, menos China: Inditex reduce su dependencia del gigante asiático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Modaes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https://www.modaes.com/empresa/mas-india-y-marruecos-menos-china-inditex-reduce-su-dependencia-del-gigante-asiatico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mapa del sourcing de Inditex: el grupo concentra en Asia casi el 60% de sus fábricas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Modaes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https://www.modaes.com/empresas/el-mapa-del-sourcing-de-inditex-el-grupo-concentra-en-asia-casi-el-60-de-sus-fabricas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Declaraciones de Óscar García Maceiras sobre aranceles en la presentación de resultados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Forbes España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https://forbes.es/?p=648906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 why Trump’s current asymmetric tariffs are the worst thing that could happen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FashionUnited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https://fashionunited.com/news/business/inditex-why-trumps-current-asymmetric-tariffs-are-the-worst-thing-that-could-happen/2025041865544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García Maceiras (Inditex), sobre la presión arancelaria: «Lo estamos monitorizando, pero estamos bien posicionados»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Independiente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https://www.elindependiente.com/economia/2025/03/12/garcia-maceiras-inditex-sobre-la-presion-arancelaria-lo-estamos-monitorizando-pero-estamos-bien-posicionados/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Apparel - Worldwide (Market Insights, previsión 2026-2031)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Statista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https://www.statista.com/outlook/cmo/apparel/worldwide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Footwear - Worldwide (Market Insights, previsión 2026-2031)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Statista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https://www.statista.com/outlook/cmo/footwear/worldwide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Fashion Market Set to Hit Two Trillion by 2026 with a 3.7% Growth Surge (datos de Euromonitor)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Modaes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https://www.modaes.com/global/markets/global-fashion-market-on-track-for-2-trillion-by-2026-and-a-37-increase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Source Fashion: Euromonitor talks redrawing of global trade in apparel and footwear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FashionUnited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https://fashionunited.uk/news/fairs/source-fashion-euromonitor-talks-redrawing-of-global-trade-in-apparel-and-footwear/2026011585737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State of Fashion 2026: Turbulence is the new normal (resumen del informe McKinsey &amp; BoF)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FashionUnited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https://fashionunited.uk/news/business/the-state-of-fashion-2026-turbulence-is-the-new-normal/2025111784921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Household final consumption expenditure by purpose (COICOP 2018), CP03 vestido y calzado, M EUR corrientes y volumen encadenado (nama_10_cp18)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Eurostat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https://ec.europa.eu/eurostat/databrowser/view/nama_10_cp18/default/table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Turnover and volume of sales in wholesale and retail trade - annual data (sts_trtu_a)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Eurostat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https://ec.europa.eu/eurostat/databrowser/view/sts_trtu_a/default/table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Consumer confidence indicator (ei_bsco_m, BS-CSMCI)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Eurostat / Comisión Europea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https://ec.europa.eu/eurostat/databrowser/view/ei_bsco_m/default/table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HICP - annual average rate of change (prc_hicp_aind), CP03 y CP00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Eurostat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https://ec.europa.eu/eurostat/databrowser/view/prc_hicp_aind/default/table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Personal consumption expenditures: Clothing, footwear, and related services (DCAFRC1A027NBEA)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Bureau of Economic Analysis vía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https://fred.stlouisfed.org/series/DCAFRC1A027NBEA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ventas de moda en España cierran 2025 con una caída del -1,1 por ciento (Acotex)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FashionUnited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https://fashionunited.es/noticias/empresas/las-ventas-de-moda-en-espana-cierran-2025-con-una-caida-del-1-1-por-ciento/2026010848030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comercio de moda en España cerró 2025 con ventas de 11.107 millones de euros (Acotex, El Comercio Textil en Cifras)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FashionUnited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https://fashionunited.es/noticias/empresas/el-comercio-de-moda-en-espana-cerro-2025-con-ventas-de-11-107-millones-de-euros/2026042849160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Indicador del Comercio de Moda: el sector resiste el verano y encadena ya seis meses positivos (Acotex)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Modaes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https://www.modaes.com/empresas/indicador-del-comercio-de-moda-el-sector-resiste-el-verano-y-encadena-ya-seis-meses-positivos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Índices de Comercio al por Menor (ICM). Agosto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https://www.ine.es/dyngs/Prensa/ICM0826.htm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Forced Labor Section 301 Tariffs Imposed to Replace Expiring Section 122 Tariffs: What Importers Need to Know</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Baker Donelson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https://www.bakerdonelson.com/forced-labor-section-301-tariffs-imposed-to-replace-expiring-section-122-tariffs-what-importers-need-to-know</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Supreme Court holds IEEPA does not authorize tariffs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DLA Piper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https://www.dlapiper.com/en/insights/publications/2026/02/us-supreme-court-holds-ieepa-does-not-authorize-tariffs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Final adoption of Omnibus I Directive simplifying CSRD and CSDDD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https://cms.law/en/lux/legal-updates/final-adoption-of-omnibus-i-directive-simplifying-csrd-and-csddd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 Bans Destruction of Unsold Clothing, Footwear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ESG Today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https://www.esgtoday.com/eu-bans-destruction-of-unsold-clothing-footwear/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European Union's Revised Directive on Waste Management and Circular Economy Enters into Force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Debevoise &amp; Plimpton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https://www.debevoise.com/insights/publications/2025/10/the-european-unions-revised-directive-on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 to impose 3 euro duty on e-commerce parcels from July 2026 (Reuters)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Cyprus Mail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https://cyprus-mail.com/2025/12/12/eu-to-impose-e3-duty-on-e-commerce-parcels-from-july-2026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 gana un 5% más en 2009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Libertad Digital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mar 2010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https://www.libertaddigital.com/economia/inditex-gana-un-5-mas-en-2009-1276387551/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 hunde sus beneficios un -71 por ciento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FashionUnited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mar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https://fashionunited.es/noticias/empresas/inditex-hunde-sus-beneficios-un-71-por-ciento/2021031034937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 imparable: cierra ejercicio en nuevos máximos históricos de ventas y beneficios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FashionUnited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https://fashionunited.es/noticias/empresas/inditex-imparable-cierra-ejercicio-en-nuevos-maximos-historicos-de-ventas-y-beneficios/2023031540573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Full-year report 2025 (1 Dec 2024 - 30 Nov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 &amp; M Hennes &amp; Mauritz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https://mb.cision.com/Main/769/4299574/3905097.pdf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income statement, 5 years (FY2021-FY2025)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Fast Retailing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https://www.fastretailing.com/eng/ir/financial/pl_5yrs.html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Results 2025 (52 weeks to 13 September 2025), RNS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Associated British Foods plc (FCA National Storage Mechanism)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https://data.fca.org.uk/artefacts/NSM/RNS/435964c8-efbc-4859-946d-f9c792d084c7.html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TJX Companies, Inc. Reports Q4 and Full Year FY26 Results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TJX Companies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https://www.sec.gov/Archives/edgar/data/109198/000010919826000004/tjxq4fy26earningspressrele.htm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Gap Inc. Reports Fourth Quarter and Fiscal 2025 Results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Gap Inc.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https://www.sec.gov/Archives/edgar/data/39911/000162828026015208/q42025eprexhibit991.htm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Results for the year ending January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NEXT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https://www.nextplc.co.uk/~/media/Files/N/next-plc-v4/documents/2026/year-end-results-january2026.pdf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Zalando FY/25 Fact Sheet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Zalando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https://corporate.zalando.com/sites/default/files/media-download/zalando-se_fy-2025_fact-sheet.pdf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Shein reveals key financials ahead of Hong Kong IPO (Reuters)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Khaleej Times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https://www.khaleejtimes.com/business/markets/shein-reveals-key-financials-ahead-of-hong-kong-ipo-2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Shein seeks up to 1.8 billion dollars in Hong Kong IPO at 27 billion dollars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Caixin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https://www.caixinglobal.com/2026-08-24/shein-seeks-up-to-18-billion-in-hong-kong-ipo-at-27-billion-valuation-102477559.html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US$99m loss, a 3 euro toll and a valuation halved: inside Shein's filing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 Retail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https://insideretail.com.au/business/a-us99m-loss-a-e3-toll-and-a-valuation-halved-inside-sheins-filing-202607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adidas reports record revenues in 2025 and launches share buyback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adidas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https://www.adidas-group.com/en/media/press-releases/adidas-reports-record-revenues-in-2025-and-launches-share-buyback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NIKE, Inc. Reports Fiscal 2026 Fourth Quarter and Full Year Results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NIKE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https://www.sec.gov/Archives/edgar/data/0000320187/000032018726000076/q4fy26exhibit991er.htm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 (EXR): SEK, JPY, GBP,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https://data.ecb.europa.eu/data/datasets/EXR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Shein reveals slowing profits and a quarterly loss ahead of Hong Kong IPO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Next Web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https://thenextweb.com/news/shein-hong-kong-ipo-financials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 (company profile: CDP and ESG ratings)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Australian Ethical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https://ethical.org.au/companies/5158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Press release: European retail giants linked to dirty Brazilian cotton (Fashion Crimes)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Earthsight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https://www.earthsight.org.uk/news/fashioncrimes-pressrelease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Fiscalía francesa abre una investigación contra Inditex por encubrimiento de crímenes de lesa humanidad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FashionUnited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jul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https://fashionunited.es/noticias/moda/la-fiscalia-francesa-abre-una-investigacion-contra-inditex-por-encubrimiento-de-crimenes-de-lesa-humanidad/2021070235773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Corporate Governance Report 2025 (IAGC, ejercicio cerrado el 31-ene-2026)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https://www.inditex.com/itxcomweb/api/media/bc056846-807b-4924-b11c-c85797226a7f/IAGC2025_ENG.pdf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on Remuneration of Directors 2025 (IARC)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https://www.inditex.com/itxcomweb/api/media/2ffd7251-c7ce-49d7-99eb-38ba12a746d9/IAR_ENG.pdf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Cuentas anuales consolidadas del Grupo Inditex 2025, nota 30 (consejo y operaciones vinculadas)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https://annualreport.inditex.com/anrpxxvui/en/home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Votes on AGM resolutions, Annual General Meeting 7 July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https://www.inditex.com/itxcomweb/api/media/7b4968de-43dd-4a9a-8894-0eaaa98cd5fe/Resultadovotacionesweb2026_eng.pdf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Resolutions, Annual General Meeting 7 July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https://www.inditex.com/itxcomweb/api/media/4eb6f467-17e8-404a-82f9-6b275fdfb25f/2026AGMresolutions.pdf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Declaration of final quorum, AGM 7 July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https://www.inditex.com/itxcomweb/api/media/9dff92e7-cc9b-4467-9fa5-b495d9143f16/AGMcomposition_2026.pdf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Voting results, AGM 15 July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https://www.inditex.com/itxcomweb/api/media/6b08d8f9-ee8b-4c8c-a3fe-cb845468b204/Votingresults2025.pdf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AGM voting results, 9 July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https://www.inditex.com/itxcomweb/api/media/95ff15d9-82d9-474b-a708-d8f34f31b3c2/AGM%20Voting%20results%202024.pdf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Board of Directors (composición del consejo y comisiones)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https://www.inditex.com/itxcomweb/ww/en/investors/corporate-governance/board-of-directors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Report of the Remuneration Committee and Directors' Remuneration Policy for FY2027, FY2028 and FY2029 (junta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https://www.inditex.com/itxcomweb/api/media/59f8e01a-4d58-46ad-8ce8-d4b6ffd40296/09_BoDreportdraftRemunerationPolicy.pdf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OIR 41760: acuerdos del Consejo de Administración (reelección del consejero delegado, comisiones y consejero independiente coordinador)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CNMV / 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https://www.cnmv.es/portal/otra-informacion-relevante/resultado-oir.aspx?nif=A-15075062&amp;oir=41760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OIR 34840: cambios en la Alta Dirección (director general corporativo, director financiero y director de sostenibilidad)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CNMV / 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https://www.cnmv.es/portal/otra-informacion-relevante/resultado-oir.aspx?nif=A-15075062&amp;oir=34840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Notificaciones de los directivos y personas vinculadas (Reglamento UE 2016/523), Industria de Diseño Textil, 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https://www.cnmv.es/portal/Consultas/directivos-resultado.aspx?nif=A-15075062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Ejercicio 2024 (nota de resultados, 1-feb-2024 a 31-ene-2025)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 (vía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https://www.cnmv.es/webservices/verdocumento/ver?t=%7b97b08ff7-fe8c-4419-8726-52d3d715e7ea%7d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Consolidados Ejercicio 2022 (nota de resultados)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 (vía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https://www.cnmv.es/webservices/verdocumento/ver?t=%7b3fb7d65a-e92c-403d-96c1-17a8fce4563b%7d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Ejercicio 2023 (nota de resultados)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 (vía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https://www.cnmv.es/webservices/verdocumento/ver?t=%7b64d0510f-87c7-4a3d-8ef4-fa76b87e8560%7d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OIR 41845: cambio en el Comité de Dirección (salida de Beatriz Padín)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CNMV / 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https://www.cnmv.es/webservices/verdocumento/ver?t=%7b6080f35f-3fb9-4967-892d-58b21d498944%7d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ejercicio 2020 (nota de resultados)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 (vía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mar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https://www.cnmv.es/webservices/verdocumento/ver?t=%7bffe3d7ad-22be-4ff8-b6c4-8839659cb543%7d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ejercicio 2021 (nota de resultados)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 (vía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https://www.cnmv.es/webservices/verdocumento/ver?t=%7b855b0762-48f0-4047-b47f-07e5732fc93d%7d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Ejercicio 2025 (nota de resultados)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 (vía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https://www.cnmv.es/webservices/verdocumento/ver?t=%7bac094c24-ae3f-4c06-935d-dac65563e251%7d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primer semestre del ejercicio 2026 (nota de resultados)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 (vía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https://www.cnmv.es/webservices/verdocumento/ver?t=%7b44f18e1b-d1b6-40aa-8f1e-1031c86c8b78%7d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OIR: cambios en el Comité de Dirección (Bershka y Stradivarius)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CNMV / 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sep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https://www.cnmv.es/webservices/verdocumento/ver?t=%7b86db9e8c-b9fb-4875-b727-5df3ef48c57e%7d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Participaciones significativas: notificaciones de derechos de voto, Industria de Diseño Textil, 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https://www.cnmv.es/portal/Consultas/derechosvoto/ps_ac_ini.aspx?nif=A-15075062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OIR 41655: operaciones y finalización del programa de recompra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CNMV / 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https://www.cnmv.es/webservices/verdocumento/ver?t=%7bb864ea3a-c78d-4cf9-9be8-c7e5145ebaa4%7d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OIR 37980: propuesta de nombramiento de Deloitte como auditor para 2027-2029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CNMV / 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https://www.cnmv.es/webservices/verdocumento/ver?t=%7bb6289d8e-b8c8-48d2-b7c9-f2ebaa29bbe6%7d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Información privilegiada y otra información relevante: listado de comunicaciones de Industria de Diseño Textil, 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https://www.cnmv.es/portal/informacion-privilegiada/resultado-ip.aspx?nif=A-15075062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 diario de cotizaciones (chart API): ITX.MC, ^IBEX, ^STOXX50E, EXH8.DE (iShares STOXX Europe 600 Retail), LYXIB.MC (Amundi IBEX 35)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https://query1.finance.yahoo.com/v8/finance/chart/ITX.MC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 Target Price Consensus and Analysts Recommendations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https://www.marketscreener.com/quote/stock/INDITEX-16943135/consensus/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 Financials, forecasts and estimates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https://www.marketscreener.com/quote/stock/INDITEX-16943135/finances/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Industria de Diseño Textil (BME:ITX) Stock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(S&amp;P Global Market Intelligence / TipRanks)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https://stockanalysis.com/quote/bme/ITX/forecast/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Industria de Diseño Textil (BME:ITX) Statistics &amp; Valuation Metrics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https://stockanalysis.com/quote/bme/ITX/statistics/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 resumen de cotización (capitalización, valor empresa, free float)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https://www.marketscreener.com/quote/stock/INDITEX-16943135/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 calendario de eventos (resultados 9M el 2-dic-2026)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https://www.marketscreener.com/quote/stock/INDITEX-16943135/calendar/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 completa su programa de recompra de acciones, con un ahorro de 19 millones de euros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FashionUnited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https://fashionunited.es/noticias/empresas/inditex-completa-su-programa-de-recompra-de-acciones-con-un-ahorro-de-19-millones-de-euros/2026070249908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 reparte 14,8 millones de euros en acciones entre sus directivos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FashionUnited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https://fashionunited.es/noticias/empresas/inditex-reparte-14-8-millones-de-euros-en-acciones-entre-sus-directivos-incluyendo-a-carlos-torretta/2026040248896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Notificaciones de posiciones cortas - Industria de Diseño Textil, 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https://www.cnmv.es/portal/consultas/ee/posicionescortas?nif=A-15075062&amp;lang=es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 Financials (copia de Wayback Machine del 18-abr-2026)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(vía web.archive.org)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https://web.archive.org/web/20260418041810/https://www.marketscreener.com/quote/stock/INDITEX-16943135/finances/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 Financials (copia de Wayback Machine del 13-mar-2025)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(vía web.archive.org)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https://web.archive.org/web/20250313130854/https://www.marketscreener.com/quote/stock/INDITEX-16943135/finances/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 Valuation (múltiplos por ejercicio con el precio de cierre de cada ejercicio)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https://www.marketscreener.com/quote/stock/INDITEX-16943135/valuation/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Statistics &amp; Valuation Metrics de H&amp;M (STO:HM.B), Fast Retailing (TYO:9983), TJX, Ross Stores, Next (LON:NXT), ABF (LON:ABF), Zalando (ETR:ZAL), Gap y Lululemon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https://stockanalysis.com/stocks/tjx/statistics/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Financials, forecasts and estimates (finances) de H&amp;M, Fast Retailing, TJX, Ross Stores, Next, ABF, Zalando, Gap y Lululemon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https://www.marketscreener.com/quote/stock/HENNES-MAURITZ-AB-6491104/finances/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companyfacts (10-K y 10-Q): OperatingLeaseCost y pasivos por arrendamiento operativo de TJX, Ross Stores, Gap y Lululemon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https://data.sec.gov/api/xbrl/companyfacts/CIK0000109198.json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6-oct-2026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Spain 10Y Bond Yield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Economics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https://tradingeconomics.com/spain/government-bond-yield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Germany 10Y Bond Yield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Economics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https://tradingeconomics.com/germany/government-bond-yield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Spain 10 Year Bond (ES10Y-ES)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CNBC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https://www.cnbc.com/quotes/ES10Y-ES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Germany 10 Year Bond (DE10Y-DE)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CNBC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https://www.cnbc.com/quotes/DE10Y-DE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Country Default Spreads and Risk Premiums (actualización de enero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https://pages.stern.nyu.edu/~adamodar/New_Home_Page/datafile/ctryprem.html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HUGO BOSS informs about unsolicited voluntary takeover offer by Frasers Group plc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Hugo Boss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https://group.hugoboss.com/en/newsroom/news/news-detail/hugo-boss-informs-about-unsolicited-voluntary-takeover-offer-by-frasers-group-plc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Cash offer for HUGO BOSS AG (RNS 8292H)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Frasers Group plc (vía ticker.app)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https://www.ticker.app/lse/FRAS/rns/2026-06-10/cash-offer-for-hugo-boss-ag/8292H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Frasers Group now holds over 37% of Hugo Boss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IADS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https://www.iads.org/member/news/frasers-group-now-holds-over-37-of-hugo-boss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Guess? co-founders and CEO partner with Authentic Brands Group to take Guess? private (8-K, EX-99.1)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Guess?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https://www.sec.gov/Archives/edgar/data/912463/000119312525183789/d936438dex991.htm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DICK'S Sporting Goods to acquire Foot Locker (8-K, EX-99.2)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DICK'S Sporting Goods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https://www.sec.gov/Archives/edgar/data/1089063/000119312525120243/d830209dex992.htm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Skechers to be acquired by 3G Capital (8-K, EX-99.1)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Skechers USA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https://www.sec.gov/Archives/edgar/data/1065837/000119312525112159/d943603dex991.htm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Nordstrom to be acquired by Nordstrom family and Liverpool (8-K, EX-99.1)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Nordstrom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dic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https://www.sec.gov/Archives/edgar/data/72333/000121390024111520/ea022568701ex99-1_nord.htm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to acquire Supreme from VF Corporation (8-K, EX-99.1)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V.F.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https://www.sec.gov/Archives/edgar/data/103379/000119312524179856/d871255dex991.htm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Hibbett announces definitive agreement to be acquired by JD Sports Fashion plc (8-K, EX-99.1)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Hibbett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https://www.sec.gov/Archives/edgar/data/1017480/000114036124021177/ef20027424_ex99-1.htm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Tapestry to acquire Capri Holdings (nota de Capri, 8-K, EX-99.1)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Capri Holdings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ago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https://www.sec.gov/Archives/edgar/data/1530721/000119312523208278/d532594dex991.htm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de Tapestry sobre la compra de Capri (8-K, EX-99.2)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Tapestry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ago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https://www.sec.gov/Archives/edgar/data/1116132/000114036123038946/brhc20057354_ex99-2.htm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companyfacts: ventas del último 10-K anterior al anuncio (Guess, ejercicio a 1-feb-2025)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https://data.sec.gov/api/xbrl/companyfacts/CIK0000912463.json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companyfacts: ventas del último 10-K anterior al anuncio (Foot Locker, ejercicio a 1-feb-2025)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https://data.sec.gov/api/xbrl/companyfacts/CIK0000850209.json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companyfacts: ventas del último 10-K anterior al anuncio (Skechers,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https://data.sec.gov/api/xbrl/companyfacts/CIK0001065837.json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companyfacts: ventas del último 10-K anterior al anuncio (Nordstrom, ejercicio a 3-feb-2024)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https://data.sec.gov/api/xbrl/companyfacts/CIK0000072333.json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companyfacts: ventas del último 10-K anterior al anuncio (Hibbett, ejercicio a 3-feb-2024)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https://data.sec.gov/api/xbrl/companyfacts/CIK0001017480.json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companyfacts: ventas del último 10-K anterior al anuncio (Capri, ejercicio a 1-abr-2023)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may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https://data.sec.gov/api/xbrl/companyfacts/CIK0001530721.json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Equity Risk Premium by month (ERPbymonth.xlsx), octubre de 2026: 4,20 % (T12m with sustainable payout)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84,7 %</w:t>
      </w:r>
      <w:r>
        <w:t xml:space="preserve"> · Secciones con menos del 60 % de campos cubiertos: </w:t>
      </w:r>
      <w:r>
        <w:rPr>
          <w:b/>
          <w:bCs/>
        </w:rPr>
        <w:t xml:space="preserve">capital, sentimiento</w:t>
      </w:r>
      <w:r>
        <w:t xml:space="preserve"> · Generado el 13 oct 2026.</w:t>
      </w:r>
    </w:p>
    <w:p>
      <w:pPr>
        <w:pStyle w:val="Nota"/>
        <w:spacing w:after="100"/>
      </w:pPr>
      <w:r>
        <w:t xml:space="preserve">Línea cotizada única: Industria de Diseño Textil, S.A. (ITX), Mercado Continuo español, en EUR; cuentas en EUR (NIIF-UE). </w:t>
      </w:r>
      <w:r>
        <w:rPr>
          <w:b/>
        </w:rPr>
        <w:t xml:space="preserve">Ejercicio a 31 de enero</w:t>
      </w:r>
      <w:r>
        <w:t xml:space="preserve">, con la denominación de Inditex: «FY2025» es el ejercicio de febrero de 2025 a enero de 2026, «FY2026e» el de febrero de 2026 a enero de 2027; los últimos doce meses (LTM) terminan el 31-jul-2026 (FY2025 + 1S26 − 1S25) y los próximos doce meses combinan FY2026e (≈ 4 meses) y FY2027e (≈ 8 meses). La serie de cuentas empieza en FY2019, primer ejercicio con NIIF 16: FY2018 y anteriores llevan el alquiler fijo dentro del EBITDA y no son comparables. FY2020 (covid) se mantiene en las cuentas pero se excluye de los múltiplos históricos. Criterio NIIF 16 en todo el informe: los pasivos por arrendamiento (6.197 M a 31-jul-2026) son deuda en el puente, el EBITDA excluye el alquiler fijo (no el variable, 690 M en FY2025) y el capex del DCF suma las altas de derechos de uso; los comparables americanos (US GAAP) se han homogeneizado sumando el alquiler operativo fijo a su EBITDA y los arrendamientos a su valor empresa. Acciones: 3.115,0 M (capital de 3.116,65 M menos 1,64 M de autocartera a 7-jul-2026). Precio: cierre del 6-oct-2026. Los comparables y transacciones en otras divisas se convierten con los tipos del BCE del 6-oct-2026. Sin servicios de pago: no hay consenso histórico (las revisiones salen de copias archivadas), múltiplos NTM históricos ni ventas comparables (Inditex no las publica). El reparto de los pagos de arrendamiento entre principal e intereses es una estimación propia (gasto financiero por arrendamiento del año).</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6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Industria de Diseño Textil, S.A. (Inditex) (ITX)</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53,82</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(46,07 – 59,42)</c:v>
                </c:pt>
                <c:pt idx="1">
                  <c:v>Precio objetivo de los analistas (41,50 – 67,00)</c:v>
                </c:pt>
                <c:pt idx="2">
                  <c:v>Comparables: EV/EBITDA NTM (36,33 – 57,69)</c:v>
                </c:pt>
                <c:pt idx="3">
                  <c:v>Comparables: PER NTM (40,96 – 57,06)</c:v>
                </c:pt>
                <c:pt idx="4">
                  <c:v>DCF (WACC y g ± 0,5) (37,94 – 49,57)</c:v>
                </c:pt>
                <c:pt idx="5">
                  <c:v>Escenarios (bajista – alcista) (27,95 – 58,86)</c:v>
                </c:pt>
                <c:pt idx="6">
                  <c:v>DCF con la prima implícita del mercado (4,2 %)</c:v>
                </c:pt>
                <c:pt idx="7">
                  <c:v>Precio actual (53,82)</c:v>
                </c:pt>
              </c:strCache>
            </c:strRef>
          </c:cat>
          <c:val>
            <c:numRef>
              <c:f>Hoja1!$B$2:$B$9</c:f>
              <c:numCache>
                <c:formatCode>#,##0.0</c:formatCode>
                <c:ptCount val="8"/>
                <c:pt idx="0">
                  <c:v>46.07</c:v>
                </c:pt>
                <c:pt idx="1">
                  <c:v>41.5</c:v>
                </c:pt>
                <c:pt idx="2">
                  <c:v>36.33</c:v>
                </c:pt>
                <c:pt idx="3">
                  <c:v>40.96</c:v>
                </c:pt>
                <c:pt idx="4">
                  <c:v>37.94</c:v>
                </c:pt>
                <c:pt idx="5">
                  <c:v>27.95</c:v>
                </c:pt>
                <c:pt idx="6">
                  <c:v>39.78</c:v>
                </c:pt>
                <c:pt idx="7">
                  <c:v>53.55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(46,07 – 59,42)</c:v>
                </c:pt>
                <c:pt idx="1">
                  <c:v>Precio objetivo de los analistas (41,50 – 67,00)</c:v>
                </c:pt>
                <c:pt idx="2">
                  <c:v>Comparables: EV/EBITDA NTM (36,33 – 57,69)</c:v>
                </c:pt>
                <c:pt idx="3">
                  <c:v>Comparables: PER NTM (40,96 – 57,06)</c:v>
                </c:pt>
                <c:pt idx="4">
                  <c:v>DCF (WACC y g ± 0,5) (37,94 – 49,57)</c:v>
                </c:pt>
                <c:pt idx="5">
                  <c:v>Escenarios (bajista – alcista) (27,95 – 58,86)</c:v>
                </c:pt>
                <c:pt idx="6">
                  <c:v>DCF con la prima implícita del mercado (4,2 %)</c:v>
                </c:pt>
                <c:pt idx="7">
                  <c:v>Precio actual (53,82)</c:v>
                </c:pt>
              </c:strCache>
            </c:strRef>
          </c:cat>
          <c:val>
            <c:numRef>
              <c:f>Hoja1!$C$2:$C$9</c:f>
              <c:numCache>
                <c:formatCode>#,##0.0</c:formatCode>
                <c:ptCount val="8"/>
                <c:pt idx="0">
                  <c:v>13.350000000000001</c:v>
                </c:pt>
                <c:pt idx="1">
                  <c:v>25.5</c:v>
                </c:pt>
                <c:pt idx="2">
                  <c:v>21.36</c:v>
                </c:pt>
                <c:pt idx="3">
                  <c:v>16.1</c:v>
                </c:pt>
                <c:pt idx="4">
                  <c:v>11.630000000000003</c:v>
                </c:pt>
                <c:pt idx="5">
                  <c:v>30.91</c:v>
                </c:pt>
                <c:pt idx="6">
                  <c:v>7.049999999999997</c:v>
                </c:pt>
                <c:pt idx="7">
                  <c:v>0.5400000000000063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Zara (Zara, Zara Home y Lefties)</c:v>
                </c:pt>
              </c:strCache>
            </c:strRef>
          </c:tx>
          <c:spPr>
            <a:solidFill>
              <a:srgbClr val="2A78D6"/>
            </a:solidFill>
            <a:ln w="12700">
              <a:solidFill>
                <a:srgbClr val="FFFFFF"/>
              </a:solidFill>
            </a:ln>
          </c:spPr>
          <c:invertIfNegative val="0"/>
          <c:cat>
            <c:strRef>
              <c:f>Hoja1!$A$2:$A$7</c:f>
              <c:strCache>
                <c:ptCount val="6"/>
                <c:pt idx="0">
                  <c:v>FY2020</c:v>
                </c:pt>
                <c:pt idx="1">
                  <c:v>FY2021</c:v>
                </c:pt>
                <c:pt idx="2">
                  <c:v>FY2022</c:v>
                </c:pt>
                <c:pt idx="3">
                  <c:v>FY2023</c:v>
                </c:pt>
                <c:pt idx="4">
                  <c:v>FY2024</c:v>
                </c:pt>
                <c:pt idx="5">
                  <c:v>FY2025</c:v>
                </c:pt>
              </c:strCache>
            </c:strRef>
          </c:cat>
          <c:val>
            <c:numRef>
              <c:f>Hoja1!$B$2:$B$7</c:f>
              <c:numCache>
                <c:formatCode>#,##0</c:formatCode>
                <c:ptCount val="6"/>
                <c:pt idx="0">
                  <c:v>14129</c:v>
                </c:pt>
                <c:pt idx="1">
                  <c:v>19586</c:v>
                </c:pt>
                <c:pt idx="2">
                  <c:v>23761</c:v>
                </c:pt>
                <c:pt idx="3">
                  <c:v>26050</c:v>
                </c:pt>
                <c:pt idx="4">
                  <c:v>27778</c:v>
                </c:pt>
                <c:pt idx="5">
                  <c:v>28051</c:v>
                </c:pt>
              </c:numCache>
            </c:numRef>
          </c:val>
        </c:ser>
        <c:ser>
          <c:idx val="1"/>
          <c:order val="1"/>
          <c:tx>
            <c:strRef>
              <c:f>Hoja1!$C$1</c:f>
              <c:strCache>
                <c:ptCount val="1"/>
                <c:pt idx="0">
                  <c:v>Pull&amp;Bear</c:v>
                </c:pt>
              </c:strCache>
            </c:strRef>
          </c:tx>
          <c:spPr>
            <a:solidFill>
              <a:srgbClr val="EB6834"/>
            </a:solidFill>
            <a:ln w="12700">
              <a:solidFill>
                <a:srgbClr val="FFFFFF"/>
              </a:solidFill>
            </a:ln>
          </c:spPr>
          <c:invertIfNegative val="0"/>
          <c:cat>
            <c:strRef>
              <c:f>Hoja1!$A$2:$A$7</c:f>
              <c:strCache>
                <c:ptCount val="6"/>
                <c:pt idx="0">
                  <c:v>FY2020</c:v>
                </c:pt>
                <c:pt idx="1">
                  <c:v>FY2021</c:v>
                </c:pt>
                <c:pt idx="2">
                  <c:v>FY2022</c:v>
                </c:pt>
                <c:pt idx="3">
                  <c:v>FY2023</c:v>
                </c:pt>
                <c:pt idx="4">
                  <c:v>FY2024</c:v>
                </c:pt>
                <c:pt idx="5">
                  <c:v>FY2025</c:v>
                </c:pt>
              </c:strCache>
            </c:strRef>
          </c:cat>
          <c:val>
            <c:numRef>
              <c:f>Hoja1!$C$2:$C$7</c:f>
              <c:numCache>
                <c:formatCode>#,##0</c:formatCode>
                <c:ptCount val="6"/>
                <c:pt idx="0">
                  <c:v>1425</c:v>
                </c:pt>
                <c:pt idx="1">
                  <c:v>1876</c:v>
                </c:pt>
                <c:pt idx="2">
                  <c:v>2152</c:v>
                </c:pt>
                <c:pt idx="3">
                  <c:v>2359</c:v>
                </c:pt>
                <c:pt idx="4">
                  <c:v>2469</c:v>
                </c:pt>
                <c:pt idx="5">
                  <c:v>2546</c:v>
                </c:pt>
              </c:numCache>
            </c:numRef>
          </c:val>
        </c:ser>
        <c:ser>
          <c:idx val="2"/>
          <c:order val="2"/>
          <c:tx>
            <c:strRef>
              <c:f>Hoja1!$D$1</c:f>
              <c:strCache>
                <c:ptCount val="1"/>
                <c:pt idx="0">
                  <c:v>Massimo Dutti</c:v>
                </c:pt>
              </c:strCache>
            </c:strRef>
          </c:tx>
          <c:spPr>
            <a:solidFill>
              <a:srgbClr val="1BAF7A"/>
            </a:solidFill>
            <a:ln w="12700">
              <a:solidFill>
                <a:srgbClr val="FFFFFF"/>
              </a:solidFill>
            </a:ln>
          </c:spPr>
          <c:invertIfNegative val="0"/>
          <c:cat>
            <c:strRef>
              <c:f>Hoja1!$A$2:$A$7</c:f>
              <c:strCache>
                <c:ptCount val="6"/>
                <c:pt idx="0">
                  <c:v>FY2020</c:v>
                </c:pt>
                <c:pt idx="1">
                  <c:v>FY2021</c:v>
                </c:pt>
                <c:pt idx="2">
                  <c:v>FY2022</c:v>
                </c:pt>
                <c:pt idx="3">
                  <c:v>FY2023</c:v>
                </c:pt>
                <c:pt idx="4">
                  <c:v>FY2024</c:v>
                </c:pt>
                <c:pt idx="5">
                  <c:v>FY2025</c:v>
                </c:pt>
              </c:strCache>
            </c:strRef>
          </c:cat>
          <c:val>
            <c:numRef>
              <c:f>Hoja1!$D$2:$D$7</c:f>
              <c:numCache>
                <c:formatCode>#,##0</c:formatCode>
                <c:ptCount val="6"/>
                <c:pt idx="0">
                  <c:v>1271</c:v>
                </c:pt>
                <c:pt idx="1">
                  <c:v>1653</c:v>
                </c:pt>
                <c:pt idx="2">
                  <c:v>1593</c:v>
                </c:pt>
                <c:pt idx="3">
                  <c:v>1839</c:v>
                </c:pt>
                <c:pt idx="4">
                  <c:v>1960</c:v>
                </c:pt>
                <c:pt idx="5">
                  <c:v>2019</c:v>
                </c:pt>
              </c:numCache>
            </c:numRef>
          </c:val>
        </c:ser>
        <c:ser>
          <c:idx val="3"/>
          <c:order val="3"/>
          <c:tx>
            <c:strRef>
              <c:f>Hoja1!$E$1</c:f>
              <c:strCache>
                <c:ptCount val="1"/>
                <c:pt idx="0">
                  <c:v>Bershka</c:v>
                </c:pt>
              </c:strCache>
            </c:strRef>
          </c:tx>
          <c:spPr>
            <a:solidFill>
              <a:srgbClr val="EDA100"/>
            </a:solidFill>
            <a:ln w="12700">
              <a:solidFill>
                <a:srgbClr val="FFFFFF"/>
              </a:solidFill>
            </a:ln>
          </c:spPr>
          <c:invertIfNegative val="0"/>
          <c:cat>
            <c:strRef>
              <c:f>Hoja1!$A$2:$A$7</c:f>
              <c:strCache>
                <c:ptCount val="6"/>
                <c:pt idx="0">
                  <c:v>FY2020</c:v>
                </c:pt>
                <c:pt idx="1">
                  <c:v>FY2021</c:v>
                </c:pt>
                <c:pt idx="2">
                  <c:v>FY2022</c:v>
                </c:pt>
                <c:pt idx="3">
                  <c:v>FY2023</c:v>
                </c:pt>
                <c:pt idx="4">
                  <c:v>FY2024</c:v>
                </c:pt>
                <c:pt idx="5">
                  <c:v>FY2025</c:v>
                </c:pt>
              </c:strCache>
            </c:strRef>
          </c:cat>
          <c:val>
            <c:numRef>
              <c:f>Hoja1!$E$2:$E$7</c:f>
              <c:numCache>
                <c:formatCode>#,##0</c:formatCode>
                <c:ptCount val="6"/>
                <c:pt idx="0">
                  <c:v>1772</c:v>
                </c:pt>
                <c:pt idx="1">
                  <c:v>2177</c:v>
                </c:pt>
                <c:pt idx="2">
                  <c:v>2384</c:v>
                </c:pt>
                <c:pt idx="3">
                  <c:v>2621</c:v>
                </c:pt>
                <c:pt idx="4">
                  <c:v>2930</c:v>
                </c:pt>
                <c:pt idx="5">
                  <c:v>3286</c:v>
                </c:pt>
              </c:numCache>
            </c:numRef>
          </c:val>
        </c:ser>
        <c:ser>
          <c:idx val="4"/>
          <c:order val="4"/>
          <c:tx>
            <c:strRef>
              <c:f>Hoja1!$F$1</c:f>
              <c:strCache>
                <c:ptCount val="1"/>
                <c:pt idx="0">
                  <c:v>Stradivarius</c:v>
                </c:pt>
              </c:strCache>
            </c:strRef>
          </c:tx>
          <c:spPr>
            <a:solidFill>
              <a:srgbClr val="E87BA4"/>
            </a:solidFill>
            <a:ln w="12700">
              <a:solidFill>
                <a:srgbClr val="FFFFFF"/>
              </a:solidFill>
            </a:ln>
          </c:spPr>
          <c:invertIfNegative val="0"/>
          <c:cat>
            <c:strRef>
              <c:f>Hoja1!$A$2:$A$7</c:f>
              <c:strCache>
                <c:ptCount val="6"/>
                <c:pt idx="0">
                  <c:v>FY2020</c:v>
                </c:pt>
                <c:pt idx="1">
                  <c:v>FY2021</c:v>
                </c:pt>
                <c:pt idx="2">
                  <c:v>FY2022</c:v>
                </c:pt>
                <c:pt idx="3">
                  <c:v>FY2023</c:v>
                </c:pt>
                <c:pt idx="4">
                  <c:v>FY2024</c:v>
                </c:pt>
                <c:pt idx="5">
                  <c:v>FY2025</c:v>
                </c:pt>
              </c:strCache>
            </c:strRef>
          </c:cat>
          <c:val>
            <c:numRef>
              <c:f>Hoja1!$F$2:$F$7</c:f>
              <c:numCache>
                <c:formatCode>#,##0</c:formatCode>
                <c:ptCount val="6"/>
                <c:pt idx="0">
                  <c:v>1283</c:v>
                </c:pt>
                <c:pt idx="1">
                  <c:v>1824</c:v>
                </c:pt>
                <c:pt idx="2">
                  <c:v>2056</c:v>
                </c:pt>
                <c:pt idx="3">
                  <c:v>2334</c:v>
                </c:pt>
                <c:pt idx="4">
                  <c:v>2664</c:v>
                </c:pt>
                <c:pt idx="5">
                  <c:v>3002</c:v>
                </c:pt>
              </c:numCache>
            </c:numRef>
          </c:val>
        </c:ser>
        <c:ser>
          <c:idx val="5"/>
          <c:order val="5"/>
          <c:tx>
            <c:strRef>
              <c:f>Hoja1!$G$1</c:f>
              <c:strCache>
                <c:ptCount val="1"/>
                <c:pt idx="0">
                  <c:v>Oysho</c:v>
                </c:pt>
              </c:strCache>
            </c:strRef>
          </c:tx>
          <c:spPr>
            <a:solidFill>
              <a:srgbClr val="008300"/>
            </a:solidFill>
            <a:ln w="12700">
              <a:solidFill>
                <a:srgbClr val="FFFFFF"/>
              </a:solidFill>
            </a:ln>
          </c:spPr>
          <c:invertIfNegative val="0"/>
          <c:cat>
            <c:strRef>
              <c:f>Hoja1!$A$2:$A$7</c:f>
              <c:strCache>
                <c:ptCount val="6"/>
                <c:pt idx="0">
                  <c:v>FY2020</c:v>
                </c:pt>
                <c:pt idx="1">
                  <c:v>FY2021</c:v>
                </c:pt>
                <c:pt idx="2">
                  <c:v>FY2022</c:v>
                </c:pt>
                <c:pt idx="3">
                  <c:v>FY2023</c:v>
                </c:pt>
                <c:pt idx="4">
                  <c:v>FY2024</c:v>
                </c:pt>
                <c:pt idx="5">
                  <c:v>FY2025</c:v>
                </c:pt>
              </c:strCache>
            </c:strRef>
          </c:cat>
          <c:val>
            <c:numRef>
              <c:f>Hoja1!$G$2:$G$7</c:f>
              <c:numCache>
                <c:formatCode>#,##0</c:formatCode>
                <c:ptCount val="6"/>
                <c:pt idx="0">
                  <c:v>522</c:v>
                </c:pt>
                <c:pt idx="1">
                  <c:v>600</c:v>
                </c:pt>
                <c:pt idx="2">
                  <c:v>623</c:v>
                </c:pt>
                <c:pt idx="3">
                  <c:v>744</c:v>
                </c:pt>
                <c:pt idx="4">
                  <c:v>831</c:v>
                </c:pt>
                <c:pt idx="5">
                  <c:v>960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Pt>
            <c:idx val="5"/>
            <c:bubble3D val="0"/>
            <c:spPr>
              <a:solidFill>
                <a:srgbClr val="0083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Hoja1!$A$2:$A$7</c:f>
              <c:strCache>
                <c:ptCount val="6"/>
                <c:pt idx="0">
                  <c:v>Zara (Zara, Zara Home y Lefties)</c:v>
                </c:pt>
                <c:pt idx="1">
                  <c:v>Pull&amp;Bear</c:v>
                </c:pt>
                <c:pt idx="2">
                  <c:v>Massimo Dutti</c:v>
                </c:pt>
                <c:pt idx="3">
                  <c:v>Bershka</c:v>
                </c:pt>
                <c:pt idx="4">
                  <c:v>Stradivarius</c:v>
                </c:pt>
                <c:pt idx="5">
                  <c:v>Oysho</c:v>
                </c:pt>
              </c:strCache>
            </c:strRef>
          </c:cat>
          <c:val>
            <c:numRef>
              <c:f>Hoja1!$B$2:$B$7</c:f>
              <c:numCache>
                <c:formatCode>General</c:formatCode>
                <c:ptCount val="6"/>
                <c:pt idx="0">
                  <c:v>70.4</c:v>
                </c:pt>
                <c:pt idx="1">
                  <c:v>6.4</c:v>
                </c:pt>
                <c:pt idx="2">
                  <c:v>5.1</c:v>
                </c:pt>
                <c:pt idx="3">
                  <c:v>8.2</c:v>
                </c:pt>
                <c:pt idx="4">
                  <c:v>7.5</c:v>
                </c:pt>
                <c:pt idx="5">
                  <c:v>2.4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Resto de Europa</c:v>
                </c:pt>
                <c:pt idx="1">
                  <c:v>América</c:v>
                </c:pt>
                <c:pt idx="2">
                  <c:v>España</c:v>
                </c:pt>
                <c:pt idx="3">
                  <c:v>Asia y resto del mundo</c:v>
                </c:pt>
              </c:strCache>
            </c:strRef>
          </c:cat>
          <c:val>
            <c:numRef>
              <c:f>Hoja1!$B$2:$B$5</c:f>
              <c:numCache>
                <c:formatCode>0"%"</c:formatCode>
                <c:ptCount val="4"/>
                <c:pt idx="0">
                  <c:v>54</c:v>
                </c:pt>
                <c:pt idx="1">
                  <c:v>17.5</c:v>
                </c:pt>
                <c:pt idx="2">
                  <c:v>16.9</c:v>
                </c:pt>
                <c:pt idx="3">
                  <c:v>11.6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EUR corrientes; gasto de los hogares de la UE-27 en vestido y calzado (Eurostat, COICOP CP03); 2025e y 2026e son estimaciones propias)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2018</c:v>
                </c:pt>
                <c:pt idx="1">
                  <c:v>2019</c:v>
                </c:pt>
                <c:pt idx="2">
                  <c:v>2020</c:v>
                </c:pt>
                <c:pt idx="3">
                  <c:v>2021</c:v>
                </c:pt>
                <c:pt idx="4">
                  <c:v>2022</c:v>
                </c:pt>
                <c:pt idx="5">
                  <c:v>2023</c:v>
                </c:pt>
                <c:pt idx="6">
                  <c:v>2024</c:v>
                </c:pt>
                <c:pt idx="7">
                  <c:v>2025e</c:v>
                </c:pt>
                <c:pt idx="8">
                  <c:v>2026e</c:v>
                </c:pt>
              </c:strCache>
            </c:strRef>
          </c:cat>
          <c:val>
            <c:numRef>
              <c:f>Hoja1!$B$2:$B$10</c:f>
              <c:numCache>
                <c:formatCode>#,##0</c:formatCode>
                <c:ptCount val="9"/>
                <c:pt idx="0">
                  <c:v>340525</c:v>
                </c:pt>
                <c:pt idx="1">
                  <c:v>341513</c:v>
                </c:pt>
                <c:pt idx="2">
                  <c:v>289407</c:v>
                </c:pt>
                <c:pt idx="3">
                  <c:v>314554</c:v>
                </c:pt>
                <c:pt idx="4">
                  <c:v>364234</c:v>
                </c:pt>
                <c:pt idx="5">
                  <c:v>376961</c:v>
                </c:pt>
                <c:pt idx="6">
                  <c:v>381558</c:v>
                </c:pt>
                <c:pt idx="7">
                  <c:v>393500</c:v>
                </c:pt>
                <c:pt idx="8">
                  <c:v>399400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3</c:v>
                </c:pt>
                <c:pt idx="2">
                  <c:v>2</c:v>
                </c:pt>
                <c:pt idx="3">
                  <c:v>3</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Inditex</c:v>
                </c:pt>
                <c:pt idx="1">
                  <c:v>TJX Companies</c:v>
                </c:pt>
                <c:pt idx="2">
                  <c:v>Shein</c:v>
                </c:pt>
                <c:pt idx="3">
                  <c:v>H&amp;M</c:v>
                </c:pt>
                <c:pt idx="4">
                  <c:v>Fast Retailing (Uniqlo)</c:v>
                </c:pt>
                <c:pt idx="5">
                  <c:v>Zalando</c:v>
                </c:pt>
                <c:pt idx="6">
                  <c:v>Gap Inc.</c:v>
                </c:pt>
                <c:pt idx="7">
                  <c:v>Primark (ABF)</c:v>
                </c:pt>
                <c:pt idx="8">
                  <c:v>NEXT</c:v>
                </c:pt>
              </c:strCache>
            </c:strRef>
          </c:cat>
          <c:val>
            <c:numRef>
              <c:f>Hoja1!$B$2:$B$10</c:f>
              <c:numCache>
                <c:formatCode>0.0"%"</c:formatCode>
                <c:ptCount val="9"/>
                <c:pt idx="0">
                  <c:v>20.1</c:v>
                </c:pt>
                <c:pt idx="1">
                  <c:v>11.9</c:v>
                </c:pt>
                <c:pt idx="2">
                  <c:v>4.1</c:v>
                </c:pt>
                <c:pt idx="3">
                  <c:v>8.1</c:v>
                </c:pt>
                <c:pt idx="4">
                  <c:v>16.6</c:v>
                </c:pt>
                <c:pt idx="5">
                  <c:v>4.8</c:v>
                </c:pt>
                <c:pt idx="6">
                  <c:v>7.3</c:v>
                </c:pt>
                <c:pt idx="7">
                  <c:v>11.9</c:v>
                </c:pt>
                <c:pt idx="8">
                  <c:v>18.5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1</c:v>
                </c:pt>
                <c:pt idx="2">
                  <c:v>3</c:v>
                </c:pt>
                <c:pt idx="3">
                  <c:v>3</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Hoja1!$A$2:$A$18</c:f>
              <c:strCache>
                <c:ptCount val="17"/>
                <c:pt idx="0">
                  <c:v>FY2019</c:v>
                </c:pt>
                <c:pt idx="1">
                  <c:v>FY2020</c:v>
                </c:pt>
                <c:pt idx="2">
                  <c:v>FY2021</c:v>
                </c:pt>
                <c:pt idx="3">
                  <c:v>FY2022</c:v>
                </c:pt>
                <c:pt idx="4">
                  <c:v>FY2023</c:v>
                </c:pt>
                <c:pt idx="5">
                  <c:v>FY2024</c:v>
                </c:pt>
                <c:pt idx="6">
                  <c:v>FY2025</c:v>
                </c:pt>
                <c:pt idx="7">
                  <c:v>FY2026e</c:v>
                </c:pt>
                <c:pt idx="8">
                  <c:v>FY2027e</c:v>
                </c:pt>
                <c:pt idx="9">
                  <c:v>FY2028e</c:v>
                </c:pt>
                <c:pt idx="10">
                  <c:v>FY2029e</c:v>
                </c:pt>
                <c:pt idx="11">
                  <c:v>FY2030e</c:v>
                </c:pt>
                <c:pt idx="12">
                  <c:v>FY2031e</c:v>
                </c:pt>
                <c:pt idx="13">
                  <c:v>FY2032e</c:v>
                </c:pt>
                <c:pt idx="14">
                  <c:v>FY2033e</c:v>
                </c:pt>
                <c:pt idx="15">
                  <c:v>FY2034e</c:v>
                </c:pt>
                <c:pt idx="16">
                  <c:v>FY2035e</c:v>
                </c:pt>
              </c:strCache>
            </c:strRef>
          </c:cat>
          <c:val>
            <c:numRef>
              <c:f>Hoja1!$B$2:$B$18</c:f>
              <c:numCache>
                <c:formatCode>#,##0</c:formatCode>
                <c:ptCount val="17"/>
                <c:pt idx="0">
                  <c:v>28286</c:v>
                </c:pt>
                <c:pt idx="1">
                  <c:v>20402</c:v>
                </c:pt>
                <c:pt idx="2">
                  <c:v>27716</c:v>
                </c:pt>
                <c:pt idx="3">
                  <c:v>32569</c:v>
                </c:pt>
                <c:pt idx="4">
                  <c:v>35947</c:v>
                </c:pt>
                <c:pt idx="5">
                  <c:v>38632</c:v>
                </c:pt>
                <c:pt idx="6">
                  <c:v>39864</c:v>
                </c:pt>
                <c:pt idx="7">
                  <c:v>42854</c:v>
                </c:pt>
                <c:pt idx="8">
                  <c:v>45854</c:v>
                </c:pt>
                <c:pt idx="9">
                  <c:v>48834</c:v>
                </c:pt>
                <c:pt idx="10">
                  <c:v>51764</c:v>
                </c:pt>
                <c:pt idx="11">
                  <c:v>54611</c:v>
                </c:pt>
                <c:pt idx="12">
                  <c:v>57342</c:v>
                </c:pt>
                <c:pt idx="13">
                  <c:v>59922</c:v>
                </c:pt>
                <c:pt idx="14">
                  <c:v>62319</c:v>
                </c:pt>
                <c:pt idx="15">
                  <c:v>64500</c:v>
                </c:pt>
                <c:pt idx="16">
                  <c:v>66435</c:v>
                </c:pt>
              </c:numCache>
            </c:numRef>
          </c:val>
        </c:ser>
        <c:ser>
          <c:idx val="1"/>
          <c:order val="1"/>
          <c:tx>
            <c:strRef>
              <c:f>Hoja1!$C$1</c:f>
              <c:strCache>
                <c:ptCount val="1"/>
                <c:pt idx="0">
                  <c:v>EBITDA</c:v>
                </c:pt>
              </c:strCache>
            </c:strRef>
          </c:tx>
          <c:spPr>
            <a:solidFill>
              <a:srgbClr val="EB6834"/>
            </a:solidFill>
            <a:ln w="9525">
              <a:noFill/>
            </a:ln>
          </c:spPr>
          <c:invertIfNegative val="0"/>
          <c:cat>
            <c:strRef>
              <c:f>Hoja1!$A$2:$A$18</c:f>
              <c:strCache>
                <c:ptCount val="17"/>
                <c:pt idx="0">
                  <c:v>FY2019</c:v>
                </c:pt>
                <c:pt idx="1">
                  <c:v>FY2020</c:v>
                </c:pt>
                <c:pt idx="2">
                  <c:v>FY2021</c:v>
                </c:pt>
                <c:pt idx="3">
                  <c:v>FY2022</c:v>
                </c:pt>
                <c:pt idx="4">
                  <c:v>FY2023</c:v>
                </c:pt>
                <c:pt idx="5">
                  <c:v>FY2024</c:v>
                </c:pt>
                <c:pt idx="6">
                  <c:v>FY2025</c:v>
                </c:pt>
                <c:pt idx="7">
                  <c:v>FY2026e</c:v>
                </c:pt>
                <c:pt idx="8">
                  <c:v>FY2027e</c:v>
                </c:pt>
                <c:pt idx="9">
                  <c:v>FY2028e</c:v>
                </c:pt>
                <c:pt idx="10">
                  <c:v>FY2029e</c:v>
                </c:pt>
                <c:pt idx="11">
                  <c:v>FY2030e</c:v>
                </c:pt>
                <c:pt idx="12">
                  <c:v>FY2031e</c:v>
                </c:pt>
                <c:pt idx="13">
                  <c:v>FY2032e</c:v>
                </c:pt>
                <c:pt idx="14">
                  <c:v>FY2033e</c:v>
                </c:pt>
                <c:pt idx="15">
                  <c:v>FY2034e</c:v>
                </c:pt>
                <c:pt idx="16">
                  <c:v>FY2035e</c:v>
                </c:pt>
              </c:strCache>
            </c:strRef>
          </c:cat>
          <c:val>
            <c:numRef>
              <c:f>Hoja1!$C$2:$C$18</c:f>
              <c:numCache>
                <c:formatCode>#,##0</c:formatCode>
                <c:ptCount val="17"/>
                <c:pt idx="0">
                  <c:v>7598</c:v>
                </c:pt>
                <c:pt idx="1">
                  <c:v>4552</c:v>
                </c:pt>
                <c:pt idx="2">
                  <c:v>7183</c:v>
                </c:pt>
                <c:pt idx="3">
                  <c:v>8419</c:v>
                </c:pt>
                <c:pt idx="4">
                  <c:v>9850</c:v>
                </c:pt>
                <c:pt idx="5">
                  <c:v>10728</c:v>
                </c:pt>
                <c:pt idx="6">
                  <c:v>11267</c:v>
                </c:pt>
                <c:pt idx="7">
                  <c:v>12085</c:v>
                </c:pt>
                <c:pt idx="8">
                  <c:v>12977</c:v>
                </c:pt>
                <c:pt idx="9">
                  <c:v>13869</c:v>
                </c:pt>
                <c:pt idx="10">
                  <c:v>14701</c:v>
                </c:pt>
                <c:pt idx="11">
                  <c:v>15510</c:v>
                </c:pt>
                <c:pt idx="12">
                  <c:v>16228</c:v>
                </c:pt>
                <c:pt idx="13">
                  <c:v>16898</c:v>
                </c:pt>
                <c:pt idx="14">
                  <c:v>17512</c:v>
                </c:pt>
                <c:pt idx="15">
                  <c:v>18060</c:v>
                </c:pt>
                <c:pt idx="16">
                  <c:v>18602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FY2019</c:v>
                </c:pt>
                <c:pt idx="1">
                  <c:v>FY2020</c:v>
                </c:pt>
                <c:pt idx="2">
                  <c:v>FY2021</c:v>
                </c:pt>
                <c:pt idx="3">
                  <c:v>FY2022</c:v>
                </c:pt>
                <c:pt idx="4">
                  <c:v>FY2023</c:v>
                </c:pt>
                <c:pt idx="5">
                  <c:v>FY2024</c:v>
                </c:pt>
                <c:pt idx="6">
                  <c:v>FY2025</c:v>
                </c:pt>
              </c:strCache>
            </c:strRef>
          </c:cat>
          <c:val>
            <c:numRef>
              <c:f>Hoja1!$B$2:$B$8</c:f>
              <c:numCache>
                <c:formatCode>0"%"</c:formatCode>
                <c:ptCount val="7"/>
                <c:pt idx="0">
                  <c:v>55.9</c:v>
                </c:pt>
                <c:pt idx="1">
                  <c:v>55.8</c:v>
                </c:pt>
                <c:pt idx="2">
                  <c:v>57.1</c:v>
                </c:pt>
                <c:pt idx="3">
                  <c:v>57</c:v>
                </c:pt>
                <c:pt idx="4">
                  <c:v>57.8</c:v>
                </c:pt>
                <c:pt idx="5">
                  <c:v>57.8</c:v>
                </c:pt>
                <c:pt idx="6">
                  <c:v>58.3</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FY2019</c:v>
                </c:pt>
                <c:pt idx="1">
                  <c:v>FY2020</c:v>
                </c:pt>
                <c:pt idx="2">
                  <c:v>FY2021</c:v>
                </c:pt>
                <c:pt idx="3">
                  <c:v>FY2022</c:v>
                </c:pt>
                <c:pt idx="4">
                  <c:v>FY2023</c:v>
                </c:pt>
                <c:pt idx="5">
                  <c:v>FY2024</c:v>
                </c:pt>
                <c:pt idx="6">
                  <c:v>FY2025</c:v>
                </c:pt>
              </c:strCache>
            </c:strRef>
          </c:cat>
          <c:val>
            <c:numRef>
              <c:f>Hoja1!$C$2:$C$8</c:f>
              <c:numCache>
                <c:formatCode>0"%"</c:formatCode>
                <c:ptCount val="7"/>
                <c:pt idx="0">
                  <c:v>26.9</c:v>
                </c:pt>
                <c:pt idx="1">
                  <c:v>22.3</c:v>
                </c:pt>
                <c:pt idx="2">
                  <c:v>25.9</c:v>
                </c:pt>
                <c:pt idx="3">
                  <c:v>25.8</c:v>
                </c:pt>
                <c:pt idx="4">
                  <c:v>27.4</c:v>
                </c:pt>
                <c:pt idx="5">
                  <c:v>27.8</c:v>
                </c:pt>
                <c:pt idx="6">
                  <c:v>28.3</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FY2019</c:v>
                </c:pt>
                <c:pt idx="1">
                  <c:v>FY2020</c:v>
                </c:pt>
                <c:pt idx="2">
                  <c:v>FY2021</c:v>
                </c:pt>
                <c:pt idx="3">
                  <c:v>FY2022</c:v>
                </c:pt>
                <c:pt idx="4">
                  <c:v>FY2023</c:v>
                </c:pt>
                <c:pt idx="5">
                  <c:v>FY2024</c:v>
                </c:pt>
                <c:pt idx="6">
                  <c:v>FY2025</c:v>
                </c:pt>
              </c:strCache>
            </c:strRef>
          </c:cat>
          <c:val>
            <c:numRef>
              <c:f>Hoja1!$D$2:$D$8</c:f>
              <c:numCache>
                <c:formatCode>0"%"</c:formatCode>
                <c:ptCount val="7"/>
                <c:pt idx="0">
                  <c:v>16.9</c:v>
                </c:pt>
                <c:pt idx="1">
                  <c:v>7.4</c:v>
                </c:pt>
                <c:pt idx="2">
                  <c:v>15.4</c:v>
                </c:pt>
                <c:pt idx="3">
                  <c:v>16.9</c:v>
                </c:pt>
                <c:pt idx="4">
                  <c:v>18.9</c:v>
                </c:pt>
                <c:pt idx="5">
                  <c:v>19.6</c:v>
                </c:pt>
                <c:pt idx="6">
                  <c:v>20.1</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Hoja1!$A$2:$A$8</c:f>
              <c:strCache>
                <c:ptCount val="7"/>
                <c:pt idx="0">
                  <c:v>FY2019</c:v>
                </c:pt>
                <c:pt idx="1">
                  <c:v>FY2020</c:v>
                </c:pt>
                <c:pt idx="2">
                  <c:v>FY2021</c:v>
                </c:pt>
                <c:pt idx="3">
                  <c:v>FY2022</c:v>
                </c:pt>
                <c:pt idx="4">
                  <c:v>FY2023</c:v>
                </c:pt>
                <c:pt idx="5">
                  <c:v>FY2024</c:v>
                </c:pt>
                <c:pt idx="6">
                  <c:v>FY2025</c:v>
                </c:pt>
              </c:strCache>
            </c:strRef>
          </c:cat>
          <c:val>
            <c:numRef>
              <c:f>Hoja1!$E$2:$E$8</c:f>
              <c:numCache>
                <c:formatCode>0"%"</c:formatCode>
                <c:ptCount val="7"/>
                <c:pt idx="0">
                  <c:v>12.9</c:v>
                </c:pt>
                <c:pt idx="1">
                  <c:v>5.4</c:v>
                </c:pt>
                <c:pt idx="2">
                  <c:v>11.7</c:v>
                </c:pt>
                <c:pt idx="3">
                  <c:v>12.7</c:v>
                </c:pt>
                <c:pt idx="4">
                  <c:v>15</c:v>
                </c:pt>
                <c:pt idx="5">
                  <c:v>15.2</c:v>
                </c:pt>
                <c:pt idx="6">
                  <c:v>15.6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6.8</c:v>
                </c:pt>
                <c:pt idx="1">
                  <c:v>8.4</c:v>
                </c:pt>
                <c:pt idx="2">
                  <c:v>1.5</c:v>
                </c:pt>
                <c:pt idx="3">
                  <c:v>1.7</c:v>
                </c:pt>
                <c:pt idx="4">
                  <c:v>4.9</c:v>
                </c:pt>
                <c:pt idx="5">
                  <c:v>4.3</c:v>
                </c:pt>
                <c:pt idx="6">
                  <c:v>5.8</c:v>
                </c:pt>
                <c:pt idx="7">
                  <c:v>9.1</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0">
                  <c:v>11.1</c:v>
                </c:pt>
                <c:pt idx="1">
                  <c:v>10.5</c:v>
                </c:pt>
                <c:pt idx="2">
                  <c:v>4.2</c:v>
                </c:pt>
                <c:pt idx="3">
                  <c:v>5.8</c:v>
                </c:pt>
                <c:pt idx="4">
                  <c:v>8.4</c:v>
                </c:pt>
                <c:pt idx="5">
                  <c:v>9</c:v>
                </c:pt>
                <c:pt idx="6">
                  <c:v>8.8</c:v>
                </c:pt>
                <c:pt idx="7">
                  <c:v>9.5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FY2019</c:v>
                </c:pt>
                <c:pt idx="1">
                  <c:v>FY2020</c:v>
                </c:pt>
                <c:pt idx="2">
                  <c:v>FY2021</c:v>
                </c:pt>
                <c:pt idx="3">
                  <c:v>FY2022</c:v>
                </c:pt>
                <c:pt idx="4">
                  <c:v>FY2023</c:v>
                </c:pt>
                <c:pt idx="5">
                  <c:v>FY2024</c:v>
                </c:pt>
                <c:pt idx="6">
                  <c:v>FY2025</c:v>
                </c:pt>
              </c:strCache>
            </c:strRef>
          </c:cat>
          <c:val>
            <c:numRef>
              <c:f>Hoja1!$B$2:$B$8</c:f>
              <c:numCache>
                <c:formatCode>0</c:formatCode>
                <c:ptCount val="7"/>
                <c:pt idx="0">
                  <c:v>10</c:v>
                </c:pt>
                <c:pt idx="1">
                  <c:v>13</c:v>
                </c:pt>
                <c:pt idx="2">
                  <c:v>11</c:v>
                </c:pt>
                <c:pt idx="3">
                  <c:v>10</c:v>
                </c:pt>
                <c:pt idx="4">
                  <c:v>11</c:v>
                </c:pt>
                <c:pt idx="5">
                  <c:v>10</c:v>
                </c:pt>
                <c:pt idx="6">
                  <c:v>11</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FY2019</c:v>
                </c:pt>
                <c:pt idx="1">
                  <c:v>FY2020</c:v>
                </c:pt>
                <c:pt idx="2">
                  <c:v>FY2021</c:v>
                </c:pt>
                <c:pt idx="3">
                  <c:v>FY2022</c:v>
                </c:pt>
                <c:pt idx="4">
                  <c:v>FY2023</c:v>
                </c:pt>
                <c:pt idx="5">
                  <c:v>FY2024</c:v>
                </c:pt>
                <c:pt idx="6">
                  <c:v>FY2025</c:v>
                </c:pt>
              </c:strCache>
            </c:strRef>
          </c:cat>
          <c:val>
            <c:numRef>
              <c:f>Hoja1!$C$2:$C$8</c:f>
              <c:numCache>
                <c:formatCode>0</c:formatCode>
                <c:ptCount val="7"/>
                <c:pt idx="0">
                  <c:v>66</c:v>
                </c:pt>
                <c:pt idx="1">
                  <c:v>94</c:v>
                </c:pt>
                <c:pt idx="2">
                  <c:v>93</c:v>
                </c:pt>
                <c:pt idx="3">
                  <c:v>83</c:v>
                </c:pt>
                <c:pt idx="4">
                  <c:v>71</c:v>
                </c:pt>
                <c:pt idx="5">
                  <c:v>74</c:v>
                </c:pt>
                <c:pt idx="6">
                  <c:v>71</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FY2019</c:v>
                </c:pt>
                <c:pt idx="1">
                  <c:v>FY2020</c:v>
                </c:pt>
                <c:pt idx="2">
                  <c:v>FY2021</c:v>
                </c:pt>
                <c:pt idx="3">
                  <c:v>FY2022</c:v>
                </c:pt>
                <c:pt idx="4">
                  <c:v>FY2023</c:v>
                </c:pt>
                <c:pt idx="5">
                  <c:v>FY2024</c:v>
                </c:pt>
                <c:pt idx="6">
                  <c:v>FY2025</c:v>
                </c:pt>
              </c:strCache>
            </c:strRef>
          </c:cat>
          <c:val>
            <c:numRef>
              <c:f>Hoja1!$D$2:$D$8</c:f>
              <c:numCache>
                <c:formatCode>0</c:formatCode>
                <c:ptCount val="7"/>
                <c:pt idx="0">
                  <c:v>159</c:v>
                </c:pt>
                <c:pt idx="1">
                  <c:v>189</c:v>
                </c:pt>
                <c:pt idx="2">
                  <c:v>190</c:v>
                </c:pt>
                <c:pt idx="3">
                  <c:v>164</c:v>
                </c:pt>
                <c:pt idx="4">
                  <c:v>170</c:v>
                </c:pt>
                <c:pt idx="5">
                  <c:v>186</c:v>
                </c:pt>
                <c:pt idx="6">
                  <c:v>181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Hoja1!$A$2:$A$8</c:f>
              <c:strCache>
                <c:ptCount val="7"/>
                <c:pt idx="0">
                  <c:v>FY2019</c:v>
                </c:pt>
                <c:pt idx="1">
                  <c:v>FY2020</c:v>
                </c:pt>
                <c:pt idx="2">
                  <c:v>FY2021</c:v>
                </c:pt>
                <c:pt idx="3">
                  <c:v>FY2022</c:v>
                </c:pt>
                <c:pt idx="4">
                  <c:v>FY2023</c:v>
                </c:pt>
                <c:pt idx="5">
                  <c:v>FY2024</c:v>
                </c:pt>
                <c:pt idx="6">
                  <c:v>FY2025</c:v>
                </c:pt>
              </c:strCache>
            </c:strRef>
          </c:cat>
          <c:val>
            <c:numRef>
              <c:f>Hoja1!$B$2:$B$8</c:f>
              <c:numCache>
                <c:formatCode>#,##0</c:formatCode>
                <c:ptCount val="7"/>
                <c:pt idx="0">
                  <c:v>3912</c:v>
                </c:pt>
                <c:pt idx="1">
                  <c:v>636</c:v>
                </c:pt>
                <c:pt idx="2">
                  <c:v>3960</c:v>
                </c:pt>
                <c:pt idx="3">
                  <c:v>3638</c:v>
                </c:pt>
                <c:pt idx="4">
                  <c:v>5062</c:v>
                </c:pt>
                <c:pt idx="5">
                  <c:v>4814</c:v>
                </c:pt>
                <c:pt idx="6">
                  <c:v>4686</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Hoja1!$A$2:$A$8</c:f>
              <c:strCache>
                <c:ptCount val="7"/>
                <c:pt idx="0">
                  <c:v>FY2019</c:v>
                </c:pt>
                <c:pt idx="1">
                  <c:v>FY2020</c:v>
                </c:pt>
                <c:pt idx="2">
                  <c:v>FY2021</c:v>
                </c:pt>
                <c:pt idx="3">
                  <c:v>FY2022</c:v>
                </c:pt>
                <c:pt idx="4">
                  <c:v>FY2023</c:v>
                </c:pt>
                <c:pt idx="5">
                  <c:v>FY2024</c:v>
                </c:pt>
                <c:pt idx="6">
                  <c:v>FY2025</c:v>
                </c:pt>
              </c:strCache>
            </c:strRef>
          </c:cat>
          <c:val>
            <c:numRef>
              <c:f>Hoja1!$C$2:$C$8</c:f>
              <c:numCache>
                <c:formatCode>#,##0</c:formatCode>
                <c:ptCount val="7"/>
                <c:pt idx="0">
                  <c:v>3639</c:v>
                </c:pt>
                <c:pt idx="1">
                  <c:v>1106</c:v>
                </c:pt>
                <c:pt idx="2">
                  <c:v>3243</c:v>
                </c:pt>
                <c:pt idx="3">
                  <c:v>4130</c:v>
                </c:pt>
                <c:pt idx="4">
                  <c:v>5381</c:v>
                </c:pt>
                <c:pt idx="5">
                  <c:v>5866</c:v>
                </c:pt>
                <c:pt idx="6">
                  <c:v>6220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FY2019</c:v>
                </c:pt>
                <c:pt idx="1">
                  <c:v>FY2020</c:v>
                </c:pt>
                <c:pt idx="2">
                  <c:v>FY2021</c:v>
                </c:pt>
                <c:pt idx="3">
                  <c:v>FY2022</c:v>
                </c:pt>
                <c:pt idx="4">
                  <c:v>FY2023</c:v>
                </c:pt>
                <c:pt idx="5">
                  <c:v>FY2024</c:v>
                </c:pt>
                <c:pt idx="6">
                  <c:v>FY2025</c:v>
                </c:pt>
              </c:strCache>
            </c:strRef>
          </c:cat>
          <c:val>
            <c:numRef>
              <c:f>Hoja1!$B$2:$B$8</c:f>
              <c:numCache>
                <c:formatCode>0"%"</c:formatCode>
                <c:ptCount val="7"/>
                <c:pt idx="0">
                  <c:v>27.1</c:v>
                </c:pt>
                <c:pt idx="1">
                  <c:v>8.8</c:v>
                </c:pt>
                <c:pt idx="2">
                  <c:v>26.1</c:v>
                </c:pt>
                <c:pt idx="3">
                  <c:v>34.7</c:v>
                </c:pt>
                <c:pt idx="4">
                  <c:v>42.4</c:v>
                </c:pt>
                <c:pt idx="5">
                  <c:v>43.9</c:v>
                </c:pt>
                <c:pt idx="6">
                  <c:v>42.4</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FY2019</c:v>
                </c:pt>
                <c:pt idx="1">
                  <c:v>FY2020</c:v>
                </c:pt>
                <c:pt idx="2">
                  <c:v>FY2021</c:v>
                </c:pt>
                <c:pt idx="3">
                  <c:v>FY2022</c:v>
                </c:pt>
                <c:pt idx="4">
                  <c:v>FY2023</c:v>
                </c:pt>
                <c:pt idx="5">
                  <c:v>FY2024</c:v>
                </c:pt>
                <c:pt idx="6">
                  <c:v>FY2025</c:v>
                </c:pt>
              </c:strCache>
            </c:strRef>
          </c:cat>
          <c:val>
            <c:numRef>
              <c:f>Hoja1!$C$2:$C$8</c:f>
              <c:numCache>
                <c:formatCode>0"%"</c:formatCode>
                <c:ptCount val="7"/>
                <c:pt idx="0">
                  <c:v>8.5</c:v>
                </c:pt>
                <c:pt idx="1">
                  <c:v>8.5</c:v>
                </c:pt>
                <c:pt idx="2">
                  <c:v>8.5</c:v>
                </c:pt>
                <c:pt idx="3">
                  <c:v>8.5</c:v>
                </c:pt>
                <c:pt idx="4">
                  <c:v>8.5</c:v>
                </c:pt>
                <c:pt idx="5">
                  <c:v>8.5</c:v>
                </c:pt>
                <c:pt idx="6">
                  <c:v>8.5</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FY2019</c:v>
                </c:pt>
                <c:pt idx="1">
                  <c:v>FY2020</c:v>
                </c:pt>
                <c:pt idx="2">
                  <c:v>FY2021</c:v>
                </c:pt>
                <c:pt idx="3">
                  <c:v>FY2022</c:v>
                </c:pt>
                <c:pt idx="4">
                  <c:v>FY2023</c:v>
                </c:pt>
                <c:pt idx="5">
                  <c:v>FY2024</c:v>
                </c:pt>
                <c:pt idx="6">
                  <c:v>FY2025</c:v>
                </c:pt>
              </c:strCache>
            </c:strRef>
          </c:cat>
          <c:val>
            <c:numRef>
              <c:f>Hoja1!$D$2:$D$8</c:f>
              <c:numCache>
                <c:formatCode>0"%"</c:formatCode>
                <c:ptCount val="7"/>
                <c:pt idx="0">
                  <c:v>24.4</c:v>
                </c:pt>
                <c:pt idx="1">
                  <c:v>7.5</c:v>
                </c:pt>
                <c:pt idx="2">
                  <c:v>21.4</c:v>
                </c:pt>
                <c:pt idx="3">
                  <c:v>25.2</c:v>
                </c:pt>
                <c:pt idx="4">
                  <c:v>30.2</c:v>
                </c:pt>
                <c:pt idx="5">
                  <c:v>30.6</c:v>
                </c:pt>
                <c:pt idx="6">
                  <c:v>31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FY2019</c:v>
                </c:pt>
                <c:pt idx="1">
                  <c:v>FY2020</c:v>
                </c:pt>
                <c:pt idx="2">
                  <c:v>FY2021</c:v>
                </c:pt>
                <c:pt idx="3">
                  <c:v>FY2022</c:v>
                </c:pt>
                <c:pt idx="4">
                  <c:v>FY2023</c:v>
                </c:pt>
                <c:pt idx="5">
                  <c:v>FY2024</c:v>
                </c:pt>
                <c:pt idx="6">
                  <c:v>FY2025</c:v>
                </c:pt>
              </c:strCache>
            </c:strRef>
          </c:cat>
          <c:val>
            <c:numRef>
              <c:f>Hoja1!$B$2:$B$8</c:f>
              <c:numCache>
                <c:formatCode>0.0"x"</c:formatCode>
                <c:ptCount val="7"/>
                <c:pt idx="0">
                  <c:v>-0.16</c:v>
                </c:pt>
                <c:pt idx="1">
                  <c:v>-0.31</c:v>
                </c:pt>
                <c:pt idx="2">
                  <c:v>-0.49</c:v>
                </c:pt>
                <c:pt idx="3">
                  <c:v>-0.55</c:v>
                </c:pt>
                <c:pt idx="4">
                  <c:v>-0.59</c:v>
                </c:pt>
                <c:pt idx="5">
                  <c:v>-0.54</c:v>
                </c:pt>
                <c:pt idx="6">
                  <c:v>-0.45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(EUR,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FY2026</c:v>
                </c:pt>
              </c:strCache>
            </c:strRef>
          </c:cat>
          <c:val>
            <c:numRef>
              <c:f>Hoja1!$B$2</c:f>
              <c:numCache>
                <c:formatCode>#,##0</c:formatCode>
                <c:ptCount val="1"/>
                <c:pt idx="0">
                  <c:v>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Hoja1!$A$2:$A$8</c:f>
              <c:strCache>
                <c:ptCount val="7"/>
                <c:pt idx="0">
                  <c:v>FY2019</c:v>
                </c:pt>
                <c:pt idx="1">
                  <c:v>FY2020</c:v>
                </c:pt>
                <c:pt idx="2">
                  <c:v>FY2021</c:v>
                </c:pt>
                <c:pt idx="3">
                  <c:v>FY2022</c:v>
                </c:pt>
                <c:pt idx="4">
                  <c:v>FY2023</c:v>
                </c:pt>
                <c:pt idx="5">
                  <c:v>FY2024</c:v>
                </c:pt>
                <c:pt idx="6">
                  <c:v>FY2025</c:v>
                </c:pt>
              </c:strCache>
            </c:strRef>
          </c:cat>
          <c:val>
            <c:numRef>
              <c:f>Hoja1!$B$2:$B$8</c:f>
              <c:numCache>
                <c:formatCode>#,##0</c:formatCode>
                <c:ptCount val="7"/>
                <c:pt idx="0">
                  <c:v>0</c:v>
                </c:pt>
                <c:pt idx="1">
                  <c:v>5</c:v>
                </c:pt>
                <c:pt idx="2">
                  <c:v>0</c:v>
                </c:pt>
                <c:pt idx="3">
                  <c:v>0</c:v>
                </c:pt>
                <c:pt idx="4">
                  <c:v>0</c:v>
                </c:pt>
                <c:pt idx="5">
                  <c:v>14</c:v>
                </c:pt>
                <c:pt idx="6">
                  <c:v>16</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Hoja1!$A$2:$A$8</c:f>
              <c:strCache>
                <c:ptCount val="7"/>
                <c:pt idx="0">
                  <c:v>FY2019</c:v>
                </c:pt>
                <c:pt idx="1">
                  <c:v>FY2020</c:v>
                </c:pt>
                <c:pt idx="2">
                  <c:v>FY2021</c:v>
                </c:pt>
                <c:pt idx="3">
                  <c:v>FY2022</c:v>
                </c:pt>
                <c:pt idx="4">
                  <c:v>FY2023</c:v>
                </c:pt>
                <c:pt idx="5">
                  <c:v>FY2024</c:v>
                </c:pt>
                <c:pt idx="6">
                  <c:v>FY2025</c:v>
                </c:pt>
              </c:strCache>
            </c:strRef>
          </c:cat>
          <c:val>
            <c:numRef>
              <c:f>Hoja1!$C$2:$C$8</c:f>
              <c:numCache>
                <c:formatCode>#,##0</c:formatCode>
                <c:ptCount val="7"/>
                <c:pt idx="0">
                  <c:v>2741</c:v>
                </c:pt>
                <c:pt idx="1">
                  <c:v>1090</c:v>
                </c:pt>
                <c:pt idx="2">
                  <c:v>2192</c:v>
                </c:pt>
                <c:pt idx="3">
                  <c:v>2914</c:v>
                </c:pt>
                <c:pt idx="4">
                  <c:v>3744</c:v>
                </c:pt>
                <c:pt idx="5">
                  <c:v>4797</c:v>
                </c:pt>
                <c:pt idx="6">
                  <c:v>5235</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Hoja1!$A$2:$A$8</c:f>
              <c:strCache>
                <c:ptCount val="7"/>
                <c:pt idx="0">
                  <c:v>FY2019</c:v>
                </c:pt>
                <c:pt idx="1">
                  <c:v>FY2020</c:v>
                </c:pt>
                <c:pt idx="2">
                  <c:v>FY2021</c:v>
                </c:pt>
                <c:pt idx="3">
                  <c:v>FY2022</c:v>
                </c:pt>
                <c:pt idx="4">
                  <c:v>FY2023</c:v>
                </c:pt>
                <c:pt idx="5">
                  <c:v>FY2024</c:v>
                </c:pt>
                <c:pt idx="6">
                  <c:v>FY2025</c:v>
                </c:pt>
              </c:strCache>
            </c:strRef>
          </c:cat>
          <c:val>
            <c:numRef>
              <c:f>Hoja1!$D$2:$D$8</c:f>
              <c:numCache>
                <c:formatCode>#,##0</c:formatCode>
                <c:ptCount val="7"/>
                <c:pt idx="0">
                  <c:v>0</c:v>
                </c:pt>
                <c:pt idx="1">
                  <c:v>0</c:v>
                </c:pt>
                <c:pt idx="2">
                  <c:v>71</c:v>
                </c:pt>
                <c:pt idx="3">
                  <c:v>61</c:v>
                </c:pt>
                <c:pt idx="4">
                  <c:v>0</c:v>
                </c:pt>
                <c:pt idx="5">
                  <c:v>0</c:v>
                </c:pt>
                <c:pt idx="6">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Dominical</c:v>
                </c:pt>
                <c:pt idx="1">
                  <c:v>Ejecutivo</c:v>
                </c:pt>
                <c:pt idx="2">
                  <c:v>Independiente</c:v>
                </c:pt>
              </c:strCache>
            </c:strRef>
          </c:cat>
          <c:val>
            <c:numRef>
              <c:f>Hoja1!$B$2:$B$4</c:f>
              <c:numCache>
                <c:formatCode>0</c:formatCode>
                <c:ptCount val="3"/>
                <c:pt idx="0">
                  <c:v>4</c:v>
                </c:pt>
                <c:pt idx="1">
                  <c:v>1</c:v>
                </c:pt>
                <c:pt idx="2">
                  <c:v>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Amancio Ortega Gaona (total, indirecto)</c:v>
                </c:pt>
                <c:pt idx="1">
                  <c:v>Pontegadea Inversiones, S.L.</c:v>
                </c:pt>
                <c:pt idx="2">
                  <c:v>Partler Participaciones, S.L.U. (100 % de Partler 2006, S.L.)</c:v>
                </c:pt>
                <c:pt idx="3">
                  <c:v>Sandra Ortega Mera, a través de Rosp Corunna Participaciones Empresariales, S.L.</c:v>
                </c:pt>
                <c:pt idx="4">
                  <c:v>Consejeros, excluido el fundador</c:v>
                </c:pt>
                <c:pt idx="5">
                  <c:v>Autocartera</c:v>
                </c:pt>
              </c:strCache>
            </c:strRef>
          </c:cat>
          <c:val>
            <c:numRef>
              <c:f>Hoja1!$B$2:$B$7</c:f>
              <c:numCache>
                <c:formatCode>0.0"%"</c:formatCode>
                <c:ptCount val="6"/>
                <c:pt idx="0">
                  <c:v>59.294</c:v>
                </c:pt>
                <c:pt idx="1">
                  <c:v>50.01</c:v>
                </c:pt>
                <c:pt idx="2">
                  <c:v>9.284</c:v>
                </c:pt>
                <c:pt idx="3">
                  <c:v>5.053</c:v>
                </c:pt>
                <c:pt idx="4">
                  <c:v>0.0089</c:v>
                </c:pt>
                <c:pt idx="5">
                  <c:v>0.0092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2.3</c:v>
                </c:pt>
                <c:pt idx="1">
                  <c:v>-10.4</c:v>
                </c:pt>
                <c:pt idx="2">
                  <c:v>-23.1</c:v>
                </c:pt>
                <c:pt idx="3">
                  <c:v>40.7</c:v>
                </c:pt>
                <c:pt idx="4">
                  <c:v>-17.2</c:v>
                </c:pt>
                <c:pt idx="5">
                  <c:v>9.6</c:v>
                </c:pt>
                <c:pt idx="6">
                  <c:v>-12.9</c:v>
                </c:pt>
                <c:pt idx="7">
                  <c:v>58.7</c:v>
                </c:pt>
                <c:pt idx="8">
                  <c:v>25.9</c:v>
                </c:pt>
                <c:pt idx="9">
                  <c:v>13.5</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-2</c:v>
                </c:pt>
                <c:pt idx="1">
                  <c:v>7.4</c:v>
                </c:pt>
                <c:pt idx="2">
                  <c:v>-15</c:v>
                </c:pt>
                <c:pt idx="3">
                  <c:v>11.8</c:v>
                </c:pt>
                <c:pt idx="4">
                  <c:v>-15.5</c:v>
                </c:pt>
                <c:pt idx="5">
                  <c:v>7.9</c:v>
                </c:pt>
                <c:pt idx="6">
                  <c:v>-5.6</c:v>
                </c:pt>
                <c:pt idx="7">
                  <c:v>22.8</c:v>
                </c:pt>
                <c:pt idx="8">
                  <c:v>14.8</c:v>
                </c:pt>
                <c:pt idx="9">
                  <c:v>49.3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FY2019</c:v>
                </c:pt>
                <c:pt idx="1">
                  <c:v>FY2021</c:v>
                </c:pt>
                <c:pt idx="2">
                  <c:v>FY2022</c:v>
                </c:pt>
                <c:pt idx="3">
                  <c:v>FY2023</c:v>
                </c:pt>
                <c:pt idx="4">
                  <c:v>FY2024</c:v>
                </c:pt>
                <c:pt idx="5">
                  <c:v>FY2025</c:v>
                </c:pt>
              </c:strCache>
            </c:strRef>
          </c:cat>
          <c:val>
            <c:numRef>
              <c:f>Hoja1!$B$2:$B$7</c:f>
              <c:numCache>
                <c:formatCode>0.0"x"</c:formatCode>
                <c:ptCount val="6"/>
                <c:pt idx="0">
                  <c:v>12.3</c:v>
                </c:pt>
                <c:pt idx="1">
                  <c:v>11.1</c:v>
                </c:pt>
                <c:pt idx="2">
                  <c:v>10</c:v>
                </c:pt>
                <c:pt idx="3">
                  <c:v>12</c:v>
                </c:pt>
                <c:pt idx="4">
                  <c:v>14.8</c:v>
                </c:pt>
                <c:pt idx="5">
                  <c:v>14.8</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FY2019</c:v>
                </c:pt>
                <c:pt idx="1">
                  <c:v>FY2021</c:v>
                </c:pt>
                <c:pt idx="2">
                  <c:v>FY2022</c:v>
                </c:pt>
                <c:pt idx="3">
                  <c:v>FY2023</c:v>
                </c:pt>
                <c:pt idx="4">
                  <c:v>FY2024</c:v>
                </c:pt>
                <c:pt idx="5">
                  <c:v>FY2025</c:v>
                </c:pt>
              </c:strCache>
            </c:strRef>
          </c:cat>
          <c:val>
            <c:numRef>
              <c:f>Hoja1!$C$2:$C$7</c:f>
              <c:numCache>
                <c:formatCode>0.0"x"</c:formatCode>
                <c:ptCount val="6"/>
                <c:pt idx="0">
                  <c:v>12.2</c:v>
                </c:pt>
                <c:pt idx="1">
                  <c:v>12.2</c:v>
                </c:pt>
                <c:pt idx="2">
                  <c:v>12.2</c:v>
                </c:pt>
                <c:pt idx="3">
                  <c:v>12.2</c:v>
                </c:pt>
                <c:pt idx="4">
                  <c:v>12.2</c:v>
                </c:pt>
                <c:pt idx="5">
                  <c:v>12.2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Inditex</c:v>
                </c:pt>
                <c:pt idx="1">
                  <c:v>H&amp;M (Hennes &amp; Mauritz)</c:v>
                </c:pt>
                <c:pt idx="2">
                  <c:v>Fast Retailing (Uniqlo)</c:v>
                </c:pt>
                <c:pt idx="3">
                  <c:v>TJX Companies</c:v>
                </c:pt>
                <c:pt idx="4">
                  <c:v>Ross Stores</c:v>
                </c:pt>
                <c:pt idx="5">
                  <c:v>Next</c:v>
                </c:pt>
                <c:pt idx="6">
                  <c:v>Associated British Foods (Primark)</c:v>
                </c:pt>
              </c:strCache>
            </c:strRef>
          </c:cat>
          <c:val>
            <c:numRef>
              <c:f>Hoja1!$B$2:$B$8</c:f>
              <c:numCache>
                <c:formatCode>0.0"x"</c:formatCode>
                <c:ptCount val="7"/>
                <c:pt idx="0">
                  <c:v>12.8</c:v>
                </c:pt>
                <c:pt idx="1">
                  <c:v>7.7</c:v>
                </c:pt>
                <c:pt idx="2">
                  <c:v>20.4</c:v>
                </c:pt>
                <c:pt idx="3">
                  <c:v>13.3</c:v>
                </c:pt>
                <c:pt idx="4">
                  <c:v>13.9</c:v>
                </c:pt>
                <c:pt idx="5">
                  <c:v>11</c:v>
                </c:pt>
                <c:pt idx="6">
                  <c:v>6.4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Inditex</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7.8</c:v>
                </c:pt>
              </c:numCache>
            </c:numRef>
          </c:xVal>
          <c:yVal>
            <c:numRef>
              <c:f>Hoja1!$C$2</c:f>
              <c:numCache>
                <c:formatCode>0.0"x"</c:formatCode>
                <c:ptCount val="1"/>
                <c:pt idx="0">
                  <c:v>12.8</c:v>
                </c:pt>
              </c:numCache>
            </c:numRef>
          </c:yVal>
          <c:smooth val="0"/>
        </c:ser>
        <c:ser>
          <c:idx val="1"/>
          <c:order val="1"/>
          <c:tx>
            <c:strRef>
              <c:f>Hoja1!$A$3</c:f>
              <c:strCache>
                <c:ptCount val="1"/>
                <c:pt idx="0">
                  <c:v>H&amp;M (Hennes &amp; Mauritz)</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2</c:v>
                </c:pt>
              </c:numCache>
            </c:numRef>
          </c:xVal>
          <c:yVal>
            <c:numRef>
              <c:f>Hoja1!$C$3</c:f>
              <c:numCache>
                <c:formatCode>0.0"x"</c:formatCode>
                <c:ptCount val="1"/>
                <c:pt idx="0">
                  <c:v>7.7</c:v>
                </c:pt>
              </c:numCache>
            </c:numRef>
          </c:yVal>
          <c:smooth val="0"/>
        </c:ser>
        <c:ser>
          <c:idx val="2"/>
          <c:order val="2"/>
          <c:tx>
            <c:strRef>
              <c:f>Hoja1!$A$4</c:f>
              <c:strCache>
                <c:ptCount val="1"/>
                <c:pt idx="0">
                  <c:v>Fast Retailing (Uniqlo)</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12</c:v>
                </c:pt>
              </c:numCache>
            </c:numRef>
          </c:xVal>
          <c:yVal>
            <c:numRef>
              <c:f>Hoja1!$C$4</c:f>
              <c:numCache>
                <c:formatCode>0.0"x"</c:formatCode>
                <c:ptCount val="1"/>
                <c:pt idx="0">
                  <c:v>20.4</c:v>
                </c:pt>
              </c:numCache>
            </c:numRef>
          </c:yVal>
          <c:smooth val="0"/>
        </c:ser>
        <c:ser>
          <c:idx val="3"/>
          <c:order val="3"/>
          <c:tx>
            <c:strRef>
              <c:f>Hoja1!$A$5</c:f>
              <c:strCache>
                <c:ptCount val="1"/>
                <c:pt idx="0">
                  <c:v>TJX Companies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6.2</c:v>
                </c:pt>
              </c:numCache>
            </c:numRef>
          </c:xVal>
          <c:yVal>
            <c:numRef>
              <c:f>Hoja1!$C$5</c:f>
              <c:numCache>
                <c:formatCode>0.0"x"</c:formatCode>
                <c:ptCount val="1"/>
                <c:pt idx="0">
                  <c:v>13.3</c:v>
                </c:pt>
              </c:numCache>
            </c:numRef>
          </c:yVal>
          <c:smooth val="0"/>
        </c:ser>
        <c:ser>
          <c:idx val="4"/>
          <c:order val="4"/>
          <c:tx>
            <c:strRef>
              <c:f>Hoja1!$A$6</c:f>
              <c:strCache>
                <c:ptCount val="1"/>
                <c:pt idx="0">
                  <c:v>Ross Stores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9.3</c:v>
                </c:pt>
              </c:numCache>
            </c:numRef>
          </c:xVal>
          <c:yVal>
            <c:numRef>
              <c:f>Hoja1!$C$6</c:f>
              <c:numCache>
                <c:formatCode>0.0"x"</c:formatCode>
                <c:ptCount val="1"/>
                <c:pt idx="0">
                  <c:v>13.9</c:v>
                </c:pt>
              </c:numCache>
            </c:numRef>
          </c:yVal>
          <c:smooth val="0"/>
        </c:ser>
        <c:ser>
          <c:idx val="5"/>
          <c:order val="5"/>
          <c:tx>
            <c:strRef>
              <c:f>Hoja1!$A$7</c:f>
              <c:strCache>
                <c:ptCount val="1"/>
                <c:pt idx="0">
                  <c:v>Next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5.3</c:v>
                </c:pt>
              </c:numCache>
            </c:numRef>
          </c:xVal>
          <c:yVal>
            <c:numRef>
              <c:f>Hoja1!$C$7</c:f>
              <c:numCache>
                <c:formatCode>0.0"x"</c:formatCode>
                <c:ptCount val="1"/>
                <c:pt idx="0">
                  <c:v>11</c:v>
                </c:pt>
              </c:numCache>
            </c:numRef>
          </c:yVal>
          <c:smooth val="0"/>
        </c:ser>
        <c:ser>
          <c:idx val="6"/>
          <c:order val="6"/>
          <c:tx>
            <c:strRef>
              <c:f>Hoja1!$A$8</c:f>
              <c:strCache>
                <c:ptCount val="1"/>
                <c:pt idx="0">
                  <c:v>Associated British Foods (Primark)</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1.8</c:v>
                </c:pt>
              </c:numCache>
            </c:numRef>
          </c:xVal>
          <c:yVal>
            <c:numRef>
              <c:f>Hoja1!$C$8</c:f>
              <c:numCache>
                <c:formatCode>0.0"x"</c:formatCode>
                <c:ptCount val="1"/>
                <c:pt idx="0">
                  <c:v>6.4</c:v>
                </c:pt>
              </c:numCache>
            </c:numRef>
          </c:yVal>
          <c:smooth val="0"/>
        </c:ser>
        <c:axId val="10"/>
        <c:axId val="20"/>
      </c:scatterChart>
      <c:valAx>
        <c:axId val="10"/>
        <c:scaling>
          <c:orientation val="minMax"/>
          <c:max val="15"/>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Hugo Boss (Alemania, moda premium; el 73,94 % que no tenía el comprador)</c:v>
                </c:pt>
                <c:pt idx="1">
                  <c:v>Guess? (EE. UU., moda y accesorios)</c:v>
                </c:pt>
                <c:pt idx="2">
                  <c:v>Foot Locker (EE. UU., distribución de calzado deportivo)</c:v>
                </c:pt>
                <c:pt idx="3">
                  <c:v>Skechers (EE. UU., calzado; marca con tiendas propias)</c:v>
                </c:pt>
                <c:pt idx="4">
                  <c:v>Nordstrom (EE. UU., grandes almacenes de moda)</c:v>
                </c:pt>
                <c:pt idx="5">
                  <c:v>Supreme (EE. UU., marca de ropa urbana; compra a VF Corp.)</c:v>
                </c:pt>
                <c:pt idx="6">
                  <c:v>Hibbett (EE. UU., distribución de moda y calzado deportivo)</c:v>
                </c:pt>
                <c:pt idx="7">
                  <c:v>Capri Holdings (Michael Kors, Versace, Jimmy Choo) - FALLIDA</c:v>
                </c:pt>
              </c:strCache>
            </c:strRef>
          </c:cat>
          <c:val>
            <c:numRef>
              <c:f>Hoja1!$B$2:$B$9</c:f>
              <c:numCache>
                <c:formatCode>0.0"x"</c:formatCode>
                <c:ptCount val="8"/>
                <c:pt idx="2">
                  <c:v>6.1</c:v>
                </c:pt>
                <c:pt idx="7">
                  <c:v>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FY2026e</c:v>
                </c:pt>
                <c:pt idx="1">
                  <c:v>FY2027e</c:v>
                </c:pt>
                <c:pt idx="2">
                  <c:v>FY2028e</c:v>
                </c:pt>
                <c:pt idx="3">
                  <c:v>FY2029e</c:v>
                </c:pt>
                <c:pt idx="4">
                  <c:v>FY2030e</c:v>
                </c:pt>
                <c:pt idx="5">
                  <c:v>FY2031e</c:v>
                </c:pt>
                <c:pt idx="6">
                  <c:v>FY2032e</c:v>
                </c:pt>
                <c:pt idx="7">
                  <c:v>FY2033e</c:v>
                </c:pt>
                <c:pt idx="8">
                  <c:v>FY2034e</c:v>
                </c:pt>
                <c:pt idx="9">
                  <c:v>FY2035e</c:v>
                </c:pt>
              </c:strCache>
            </c:strRef>
          </c:cat>
          <c:val>
            <c:numRef>
              <c:f>Hoja1!$B$2:$B$11</c:f>
              <c:numCache>
                <c:formatCode>#,##0</c:formatCode>
                <c:ptCount val="10"/>
                <c:pt idx="0">
                  <c:v>5841</c:v>
                </c:pt>
                <c:pt idx="1">
                  <c:v>6435</c:v>
                </c:pt>
                <c:pt idx="2">
                  <c:v>6931</c:v>
                </c:pt>
                <c:pt idx="3">
                  <c:v>7476</c:v>
                </c:pt>
                <c:pt idx="4">
                  <c:v>7877</c:v>
                </c:pt>
                <c:pt idx="5">
                  <c:v>8313</c:v>
                </c:pt>
                <c:pt idx="6">
                  <c:v>8735</c:v>
                </c:pt>
                <c:pt idx="7">
                  <c:v>9071</c:v>
                </c:pt>
                <c:pt idx="8">
                  <c:v>9374</c:v>
                </c:pt>
                <c:pt idx="9">
                  <c:v>9692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51421</c:v>
                </c:pt>
                <c:pt idx="1">
                  <c:v>77285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53,82</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27.95</c:v>
                </c:pt>
                <c:pt idx="1">
                  <c:v>42.8</c:v>
                </c:pt>
                <c:pt idx="2">
                  <c:v>58.86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53,82</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(46,07 – 59,42)</c:v>
                </c:pt>
                <c:pt idx="1">
                  <c:v>Precio objetivo de los analistas (41,50 – 67,00)</c:v>
                </c:pt>
                <c:pt idx="2">
                  <c:v>Comparables: EV/EBITDA NTM (36,33 – 57,69)</c:v>
                </c:pt>
                <c:pt idx="3">
                  <c:v>Comparables: PER NTM (40,96 – 57,06)</c:v>
                </c:pt>
                <c:pt idx="4">
                  <c:v>DCF (WACC y g ± 0,5) (37,94 – 49,57)</c:v>
                </c:pt>
                <c:pt idx="5">
                  <c:v>Escenarios (bajista – alcista) (27,95 – 58,86)</c:v>
                </c:pt>
                <c:pt idx="6">
                  <c:v>DCF con la prima implícita del mercado (4,2 %)</c:v>
                </c:pt>
                <c:pt idx="7">
                  <c:v>Precio actual (53,82)</c:v>
                </c:pt>
              </c:strCache>
            </c:strRef>
          </c:cat>
          <c:val>
            <c:numRef>
              <c:f>Hoja1!$B$2:$B$9</c:f>
              <c:numCache>
                <c:formatCode>#,##0.0</c:formatCode>
                <c:ptCount val="8"/>
                <c:pt idx="0">
                  <c:v>46.07</c:v>
                </c:pt>
                <c:pt idx="1">
                  <c:v>41.5</c:v>
                </c:pt>
                <c:pt idx="2">
                  <c:v>36.33</c:v>
                </c:pt>
                <c:pt idx="3">
                  <c:v>40.96</c:v>
                </c:pt>
                <c:pt idx="4">
                  <c:v>37.94</c:v>
                </c:pt>
                <c:pt idx="5">
                  <c:v>27.95</c:v>
                </c:pt>
                <c:pt idx="6">
                  <c:v>39.78</c:v>
                </c:pt>
                <c:pt idx="7">
                  <c:v>53.55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(46,07 – 59,42)</c:v>
                </c:pt>
                <c:pt idx="1">
                  <c:v>Precio objetivo de los analistas (41,50 – 67,00)</c:v>
                </c:pt>
                <c:pt idx="2">
                  <c:v>Comparables: EV/EBITDA NTM (36,33 – 57,69)</c:v>
                </c:pt>
                <c:pt idx="3">
                  <c:v>Comparables: PER NTM (40,96 – 57,06)</c:v>
                </c:pt>
                <c:pt idx="4">
                  <c:v>DCF (WACC y g ± 0,5) (37,94 – 49,57)</c:v>
                </c:pt>
                <c:pt idx="5">
                  <c:v>Escenarios (bajista – alcista) (27,95 – 58,86)</c:v>
                </c:pt>
                <c:pt idx="6">
                  <c:v>DCF con la prima implícita del mercado (4,2 %)</c:v>
                </c:pt>
                <c:pt idx="7">
                  <c:v>Precio actual (53,82)</c:v>
                </c:pt>
              </c:strCache>
            </c:strRef>
          </c:cat>
          <c:val>
            <c:numRef>
              <c:f>Hoja1!$C$2:$C$9</c:f>
              <c:numCache>
                <c:formatCode>#,##0.0</c:formatCode>
                <c:ptCount val="8"/>
                <c:pt idx="0">
                  <c:v>13.350000000000001</c:v>
                </c:pt>
                <c:pt idx="1">
                  <c:v>25.5</c:v>
                </c:pt>
                <c:pt idx="2">
                  <c:v>21.36</c:v>
                </c:pt>
                <c:pt idx="3">
                  <c:v>16.1</c:v>
                </c:pt>
                <c:pt idx="4">
                  <c:v>11.630000000000003</c:v>
                </c:pt>
                <c:pt idx="5">
                  <c:v>30.91</c:v>
                </c:pt>
                <c:pt idx="6">
                  <c:v>7.049999999999997</c:v>
                </c:pt>
                <c:pt idx="7">
                  <c:v>0.5400000000000063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2026-10-10T11:47:10.462Z</dcterms:created>
  <dcterms:modified xsi:type="dcterms:W3CDTF">2026-10-10T11:47:10.463Z</dcterms:modified>
</cp:coreProperties>
</file>

<file path=docProps/custom.xml><?xml version="1.0" encoding="utf-8"?>
<Properties xmlns="http://schemas.openxmlformats.org/officeDocument/2006/custom-properties" xmlns:vt="http://schemas.openxmlformats.org/officeDocument/2006/docPropsVTypes"/>
</file>