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 Hershey Company</w:t>
      </w:r>
    </w:p>
    <w:p>
      <w:pPr>
        <w:spacing w:after="60"/>
        <w:rPr>
          <w:color w:val="52514E"/>
          <w:sz w:val="22"/>
          <w:szCs w:val="22"/>
        </w:rPr>
      </w:pPr>
      <w:r>
        <w:rPr>
          <w:color w:val="52514E"/>
          <w:sz w:val="22"/>
          <w:szCs w:val="22"/>
        </w:rPr>
        <w:t xml:space="preserve">HSY · New York Stock Exchange (acción ordinaria; las de clase B no cotizan) · ISIN US4278661081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164,25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191,04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+19,7 % (base +23,3 %)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173,69 USD · mercado 196,80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33.096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 Hershey Company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HSY / US4278661081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(acción ordinaria; las de clase B no cotizan)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Alimentación envasada (chocolate, confitería y snacks)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Hershey (Pensilvania, EE. UU.) · 1894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https://www.thehersheycompany.com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164,25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156,16 – 239,48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33.096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37.982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245 M USD/día (1,41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191,04 USD</w:t>
      </w:r>
      <w:r>
        <w:t xml:space="preserve"> frente a 164,25 · Rentabilidad a 12 meses </w:t>
      </w:r>
      <w:r>
        <w:rPr>
          <w:b/>
          <w:bCs/>
        </w:rPr>
        <w:t xml:space="preserve">+19,7 % (base +23,3 %)</w:t>
      </w:r>
      <w:r>
        <w:t xml:space="preserve"> · Valor intrínseco 173,69 USD · con la prima implícita del mercado: 196,80 (+19,8 %) · Alcista / bajista +21,8 % / -25,7 %</w:t>
      </w:r>
    </w:p>
    <w:p>
      <w:pPr>
        <w:spacing w:after="100"/>
      </w:pPr>
      <w:r>
        <w:rPr>
          <w:b/>
        </w:rPr>
        <w:t xml:space="preserve">La recomendación y por qué.</w:t>
      </w:r>
      <w:r>
        <w:t xml:space="preserve"> Comprar con convicción baja. El objetivo a 12 meses es de 191,04 USD (ponderado; 196,91 en el base) frente a un precio de 164,25 USD (14-oct-2026; 147,20 EUR por acción): rentabilidad ponderada del 19,7 % y del 23,3 % en el base, con un dividendo del 3,4 %. El valor intrínseco es de 173,69 USD (+5,7 %) y el objetivo medio de 23 analistas, 201,05 USD [38]. La razón: el BPA ajustado se recupera del cacao récord (6,31 USD en 2025, 8,36-8,52 de guía en 2026 y 10,15 en nuestro 2028e) y la acción cotiza a 17,6 veces el BPA de 2027e frente a 21,5 de mediana histórica. La señal aguanta con la regla de control (v2: 15,7 % y 12,2 %). La convicción es baja porque las dos reglas del valor intrínseco discrepan (con nuestro WACC la rentabilidad total es solo del 9,2 %; con la prima del mercado, Comprar) y porque el colchón de BPA es del 5 %; la subiría un volumen de confitería positivo en el 4T26, y la bajaría un cacao por encima de 8.000 USD/t.</w:t>
      </w:r>
    </w:p>
    <w:p>
      <w:pPr>
        <w:spacing w:after="100"/>
      </w:pPr>
      <w:r>
        <w:rPr>
          <w:b/>
        </w:rPr>
        <w:t xml:space="preserve">El negocio.</w:t>
      </w:r>
      <w:r>
        <w:t xml:space="preserve"> Marcas que dominan el chocolate de EE. UU. (Hershey's, Reese's, la licencia de Kit Kat) con un margen de segmento del 26-34 % y un ROIC del 15,8 % en el peor año, frente a un WACC del 8,05 % (7,75 puntos de diferencia; 23,5 % sin fondo de comercio). Veredicto de calidad: Sí. La sostenibilidad del crecimiento también es «Sí»: proyectamos un 3,3 % anual, por debajo del mercado del chocolate (4 %) y sin pedir capital; el punto débil es el volumen (−10 % en confitería en el 2T26).</w:t>
      </w:r>
    </w:p>
    <w:p>
      <w:pPr>
        <w:spacing w:after="100"/>
      </w:pPr>
      <w:r>
        <w:rPr>
          <w:b/>
        </w:rPr>
        <w:t xml:space="preserve">Sector y ciclo.</w:t>
      </w:r>
      <w:r>
        <w:t xml:space="preserve"> El ciclo que manda es el del cacao: 10.987 USD/t en enero de 2025, 3.494 en abril de 2026 y 5.728 hoy [24]. Las coberturas a 12-24 meses llevan el cacao barato a la cuenta de 2027. Frente a Lindt, que analizamos hoy, Hershey es más barata (17,2 frente a 23,4 veces el BPA de los próximos 12 meses), con más margen y una recuperación de beneficio ya visible, pero depende de EE. UU. (88 % de las ventas) y de un cliente (27 %); Lindt da Mantener porque su señal no aguanta con la regla de control [25].</w:t>
      </w:r>
    </w:p>
    <w:p>
      <w:pPr>
        <w:spacing w:after="100"/>
      </w:pPr>
      <w:r>
        <w:rPr>
          <w:b/>
        </w:rPr>
        <w:t xml:space="preserve">Finanzas.</w:t>
      </w:r>
      <w:r>
        <w:t xml:space="preserve"> El BPA publicado no sirve para decidir: lleva los derivados de cacao a valor razonable (4,34 USD en 2025 frente a 6,31 ajustado). Usamos el ajustado. Flujo libre de 2.154 M en los últimos doce meses y deuda neta de 1,8 veces el EBITDA.</w:t>
      </w:r>
    </w:p>
    <w:p>
      <w:pPr>
        <w:spacing w:after="100"/>
      </w:pPr>
      <w:r>
        <w:rPr>
          <w:b/>
        </w:rPr>
        <w:t xml:space="preserve">Equipo y gobierno.</w:t>
      </w:r>
      <w:r>
        <w:t xml:space="preserve"> Resta. El fideicomiso de la Milton Hershey School controla el 79 % de los votos con el 28 % del capital, preside el consejo y vende ordinarias desde marzo (≈ 267 M USD) [35]. Equipo casi nuevo: consejero delegado desde agosto de 2025 y director financiero desde septiembre de 2026.</w:t>
      </w:r>
    </w:p>
    <w:p>
      <w:pPr>
        <w:spacing w:after="100"/>
      </w:pPr>
      <w:r>
        <w:rPr>
          <w:b/>
        </w:rPr>
        <w:t xml:space="preserve">Valoración.</w:t>
      </w:r>
      <w:r>
        <w:t xml:space="preserve"> El DCF da 174,17 USD; el precio descuenta un crecimiento del 2,2 % frente a nuestro 3,1 %, o un margen del 26,4 % frente al 27,5 %: una recuperación a medias. Discrepamos poco del mercado en el valor y más en el múltiplo a 12 meses.</w:t>
      </w:r>
    </w:p>
    <w:p>
      <w:pPr>
        <w:spacing w:after="100"/>
      </w:pPr>
      <w:r>
        <w:rPr>
          <w:b/>
        </w:rPr>
        <w:t xml:space="preserve">Riesgos y catalizadores.</w:t>
      </w:r>
      <w:r>
        <w:t xml:space="preserve"> El rebote del cacao (bajista −25,7 %), un volumen que no vuelve y los GLP-1. El riesgo de que la IA se coma el negocio es bajo: producto físico de marca, con solo efectos indirectos en la distribución. Los foros han girado a comprador desde agosto sin euforia. Catalizadores: resultados del 3T26 el 29-oct-2026 y guía de 2027 en febrero.</w:t>
      </w:r>
    </w:p>
    <w:p>
      <w:pPr>
        <w:spacing w:after="100"/>
      </w:pPr>
      <w:r>
        <w:rPr>
          <w:b/>
        </w:rPr>
        <w:t xml:space="preserve">Qué cambiaría la decisión.</w:t>
      </w:r>
      <w:r>
        <w:t xml:space="preserve"> Comprar por debajo de 171,03 USD (robusta, con las dos reglas, por debajo de 164,49: comprar en dos tramos, el segundo después de los resultados del 29-oct); vender por encima de 218,54 USD. Pasaríamos a Mantener con un cacao por encima de 8.000 USD/t un trimestre o un volumen de confitería negativo en el 4T26.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191,04 USD</w:t>
      </w:r>
      <w:r>
        <w:t xml:space="preserve"> (rentabilidad +19,7 % (base +23,3 %)) · Valor intrínseco: 173,69 USD (+5,7 % sobre 164,25) · con la prima implícita del mercado: 196,80 (+19,8 %)</w:t>
      </w:r>
    </w:p>
    <w:p>
      <w:pPr>
        <w:spacing w:after="100"/>
      </w:pPr>
      <w:r>
        <w:t xml:space="preserve">Hershey es la dueña del chocolate en EE. UU.: Hershey's, Reese's y Kit Kat dan a la confitería de Norteamérica un margen de segmento del 32-34 % en años normales y un ROIC por encima del 25 % en 2023-2024 [1]. El cacao récord de 2024-2025 hundió el BPA ajustado un 33 % (6,31 USD en 2025), y la recuperación ya está en marcha: margen bruto ajustado del 41,6 % en el 2T26 y guía de 8,36-8,52 USD para 2026 [3].</w:t>
      </w:r>
    </w:p>
    <w:p>
      <w:pPr>
        <w:spacing w:after="100"/>
      </w:pPr>
      <w:r>
        <w:t xml:space="preserve">El precio (164,25 USD) descuenta una recuperación a medias: 17,6 veces nuestro BPA de 2027e frente a una mediana adelantada de 21,5 veces, y en el DCF inverso un crecimiento del 2,2 % o un margen del 26,4 %, por debajo de nuestro base. Con la tasa del Tesoro al 5,21 % el valor intrínseco solo supera al precio en un 5,7 %.</w:t>
      </w:r>
    </w:p>
    <w:p>
      <w:pPr>
        <w:spacing w:after="100"/>
      </w:pPr>
      <w:r>
        <w:t xml:space="preserve">El mercado tiene razón en dos dudas (volumen y GLP-1) y exagera dos: el efecto del cacao, que ya ha bajado a la mitad y llega a la cuenta en 2027, y la venta del fideicomiso, menos del 1 % del capital. Para invertir hay que creer que el cacao se queda por debajo de 6.000-7.000 USD/t y que el volumen deja de caer en 2027.</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8,55 = 132,53 · 19,4x × 10,15 = 196,91 · 21,6x × 11,01 = 237,82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 23,3 %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201,05 (nuestro base -2,1 %)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 / -25,7 %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8,1 %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171,03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171,03 y 218,54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218,54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171,03 USD: Mantener (por encima de 218,54 USD, Vender).</w:t>
      </w:r>
    </w:p>
    <w:p>
      <w:pPr>
        <w:pStyle w:val="ListParagraph"/>
        <w:numPr>
          <w:ilvl w:val="0"/>
          <w:numId w:val="2"/>
        </w:numPr>
        <w:spacing w:after="60"/>
      </w:pPr>
      <w:r>
        <w:t xml:space="preserve">Futuro de cacao por encima de 8.000 USD/t durante un trimestre: Mantener.</w:t>
      </w:r>
    </w:p>
    <w:p>
      <w:pPr>
        <w:pStyle w:val="ListParagraph"/>
        <w:numPr>
          <w:ilvl w:val="0"/>
          <w:numId w:val="2"/>
        </w:numPr>
        <w:spacing w:after="60"/>
      </w:pPr>
      <w:r>
        <w:t xml:space="preserve">Volumen de Confitería de Norteamérica negativo en el 4T26 con precio por debajo de +3 %: Mantener.</w:t>
      </w:r>
    </w:p>
    <w:p>
      <w:pPr>
        <w:pStyle w:val="ListParagraph"/>
        <w:numPr>
          <w:ilvl w:val="0"/>
          <w:numId w:val="2"/>
        </w:numPr>
        <w:spacing w:after="60"/>
      </w:pPr>
      <w:r>
        <w:t xml:space="preserve">Guía de BPA ajustado de 2027 por debajo de 9 USD: Mantener.</w:t>
      </w:r>
    </w:p>
    <w:p>
      <w:pPr>
        <w:pStyle w:val="ListParagraph"/>
        <w:numPr>
          <w:ilvl w:val="0"/>
          <w:numId w:val="2"/>
        </w:numPr>
        <w:spacing w:after="60"/>
      </w:pPr>
      <w:r>
        <w:t xml:space="preserve">Conversión o venta en bloque de acciones de clase B del fideicomiso: revisar la tesis.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no vuelva del todo: el precio pide un crecimiento del 2,2 % y un margen EBITDA del 26,4 %, y aplica 17 veces el BPA de 2027, el múltiplo más bajo de los últimos diez años, por el volumen negativo, los GLP-1 y la tasa libre del 5,2 %.</w:t>
      </w:r>
    </w:p>
    <w:p>
      <w:pPr>
        <w:keepNext/>
        <w:spacing w:after="100"/>
      </w:pPr>
      <w:r>
        <w:rPr>
          <w:b/>
          <w:bCs/>
        </w:rPr>
        <w:t xml:space="preserve">Lo que creemos nosotros.</w:t>
      </w:r>
    </w:p>
    <w:p>
      <w:pPr>
        <w:spacing w:after="100"/>
      </w:pPr>
      <w:r>
        <w:t xml:space="preserve">El margen recupera dos tercios de lo perdido hasta 2029 con el cacao en 5.000-6.000 USD/t, y el mercado vuelve a pagar algo más de 19 veces cuando el volumen se estabilice en 2027. No somos más optimistas que la calle en BPA (9,32 USD en 2027 frente a 9,85).</w:t>
      </w:r>
    </w:p>
    <w:p>
      <w:pPr>
        <w:keepNext/>
        <w:spacing w:after="100"/>
      </w:pPr>
      <w:r>
        <w:rPr>
          <w:b/>
          <w:bCs/>
        </w:rPr>
        <w:t xml:space="preserve">Por qué podemos tener razón.</w:t>
      </w:r>
    </w:p>
    <w:p>
      <w:pPr>
        <w:spacing w:after="100"/>
      </w:pPr>
      <w:r>
        <w:t xml:space="preserve">Las coberturas retrasan 12-24 meses el cacao barato: la mejora de 2027 está casi escrita en los contratos. Y el múltiplo de hoy está por debajo de cualquier año de la historia adelantada (mínimo de 19,9 veces), con un ROIC que sigue doblando el WACC.</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4,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Recuperación del beneficio a la vista</w:t>
      </w:r>
      <w:r>
        <w:t xml:space="preserve">: BPA ajustado de 6,31 USD en 2025, 8,36-8,52 de guía en 2026 y 10,15 en nuestro 2028e.</w:t>
      </w:r>
    </w:p>
    <w:p>
      <w:pPr>
        <w:pStyle w:val="ListParagraph"/>
        <w:numPr>
          <w:ilvl w:val="0"/>
          <w:numId w:val="2"/>
        </w:numPr>
        <w:spacing w:after="60"/>
      </w:pPr>
      <w:r>
        <w:rPr>
          <w:b/>
        </w:rPr>
        <w:t xml:space="preserve">Barata frente a su historia</w:t>
      </w:r>
      <w:r>
        <w:t xml:space="preserve">: 17,6 veces el BPA de 2027e frente a una mediana de 21,5 veces.</w:t>
      </w:r>
    </w:p>
    <w:p>
      <w:pPr>
        <w:pStyle w:val="ListParagraph"/>
        <w:numPr>
          <w:ilvl w:val="0"/>
          <w:numId w:val="2"/>
        </w:numPr>
        <w:spacing w:after="60"/>
      </w:pPr>
      <w:r>
        <w:rPr>
          <w:b/>
        </w:rPr>
        <w:t xml:space="preserve">Cacao a la mitad</w:t>
      </w:r>
      <w:r>
        <w:t xml:space="preserve">: 5.728 USD/t frente a 10.987 en enero de 2025, con efecto en la cuenta de 2027.</w:t>
      </w:r>
    </w:p>
    <w:p>
      <w:pPr>
        <w:pStyle w:val="ListParagraph"/>
        <w:numPr>
          <w:ilvl w:val="0"/>
          <w:numId w:val="2"/>
        </w:numPr>
        <w:spacing w:after="60"/>
      </w:pPr>
      <w:r>
        <w:rPr>
          <w:b/>
        </w:rPr>
        <w:t xml:space="preserve">Calidad</w:t>
      </w:r>
      <w:r>
        <w:t xml:space="preserve">: ROIC del 15,8 % en el peor año, 7,75 puntos por encima del WACC.</w:t>
      </w:r>
    </w:p>
    <w:p>
      <w:pPr>
        <w:pStyle w:val="ListParagraph"/>
        <w:numPr>
          <w:ilvl w:val="0"/>
          <w:numId w:val="2"/>
        </w:numPr>
        <w:spacing w:after="60"/>
      </w:pPr>
      <w:r>
        <w:rPr>
          <w:b/>
        </w:rPr>
        <w:t xml:space="preserve">Dividendo del 3,4 %</w:t>
      </w:r>
      <w:r>
        <w:t xml:space="preserve"> cubierto con el BPA de 2026 y 384 trimestres sin recorte.</w:t>
      </w:r>
    </w:p>
    <w:p>
      <w:pPr>
        <w:pStyle w:val="Heading2"/>
      </w:pPr>
      <w:r>
        <w:t xml:space="preserve">En contra</w:t>
      </w:r>
    </w:p>
    <w:p>
      <w:pPr>
        <w:pStyle w:val="ListParagraph"/>
        <w:numPr>
          <w:ilvl w:val="0"/>
          <w:numId w:val="2"/>
        </w:numPr>
        <w:spacing w:after="60"/>
      </w:pPr>
      <w:r>
        <w:rPr>
          <w:b/>
        </w:rPr>
        <w:t xml:space="preserve">Volumen negativo</w:t>
      </w:r>
      <w:r>
        <w:t xml:space="preserve">: −10 % en confitería en el 2T26 y pérdida de cuota en CMG.</w:t>
      </w:r>
    </w:p>
    <w:p>
      <w:pPr>
        <w:pStyle w:val="ListParagraph"/>
        <w:numPr>
          <w:ilvl w:val="0"/>
          <w:numId w:val="2"/>
        </w:numPr>
        <w:spacing w:after="60"/>
      </w:pPr>
      <w:r>
        <w:rPr>
          <w:b/>
        </w:rPr>
        <w:t xml:space="preserve">Cacao inestable</w:t>
      </w:r>
      <w:r>
        <w:t xml:space="preserve">: rebotó a 6.650 USD/t en agosto de 2026 por El Niño.</w:t>
      </w:r>
    </w:p>
    <w:p>
      <w:pPr>
        <w:pStyle w:val="ListParagraph"/>
        <w:numPr>
          <w:ilvl w:val="0"/>
          <w:numId w:val="2"/>
        </w:numPr>
        <w:spacing w:after="60"/>
      </w:pPr>
      <w:r>
        <w:rPr>
          <w:b/>
        </w:rPr>
        <w:t xml:space="preserve">GLP-1</w:t>
      </w:r>
      <w:r>
        <w:t xml:space="preserve">: riesgo estructural sin cifra que lo mida.</w:t>
      </w:r>
    </w:p>
    <w:p>
      <w:pPr>
        <w:pStyle w:val="ListParagraph"/>
        <w:numPr>
          <w:ilvl w:val="0"/>
          <w:numId w:val="2"/>
        </w:numPr>
        <w:spacing w:after="60"/>
      </w:pPr>
      <w:r>
        <w:rPr>
          <w:b/>
        </w:rPr>
        <w:t xml:space="preserve">Gobierno</w:t>
      </w:r>
      <w:r>
        <w:t xml:space="preserve">: el fideicomiso tiene el 79 % de los votos y vende ordinarias (≈ 267 M USD en 2026).</w:t>
      </w:r>
    </w:p>
    <w:p>
      <w:pPr>
        <w:pStyle w:val="ListParagraph"/>
        <w:numPr>
          <w:ilvl w:val="0"/>
          <w:numId w:val="2"/>
        </w:numPr>
        <w:spacing w:after="60"/>
      </w:pPr>
      <w:r>
        <w:rPr>
          <w:b/>
        </w:rPr>
        <w:t xml:space="preserve">Valor intrínseco justo</w:t>
      </w:r>
      <w:r>
        <w:t xml:space="preserve">: solo un 5,7 % sobre el precio con el bono al 5,21 %.</w:t>
      </w:r>
    </w:p>
    <w:p>
      <w:pPr>
        <w:pStyle w:val="Heading2"/>
      </w:pPr>
      <w:r>
        <w:t xml:space="preserve">Qué tiene que pasar para que la tesis funcione</w:t>
      </w:r>
    </w:p>
    <w:p>
      <w:pPr>
        <w:spacing w:after="100"/>
      </w:pPr>
      <w:r>
        <w:t xml:space="preserve">La tesis depende de que el margen vuelva con el cacao barato sin que el volumen se hunda más. La señal de que no se cumple: un volumen de Confitería de Norteamérica negativo en el 4T26 y el 1T27 con el precio ya plano, o un futuro de cacao por encima de 8.000 USD/t durante un trimestre (afectaría a 2028).</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Futuro de cacao (ICE)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5.728 USD/t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 USD/t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Confitería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4T26 y 1T27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hábito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CMG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Bajando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Tres trimestres seguidos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8,36-8,52 USD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Guía 2027 &lt; 9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12 meses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22,7x / 17,2x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Milton S. Hershey fundó la empresa en 1894 en Pensilvania y en 1909 creó la Milton Hershey School, un internado gratuito para niños sin recursos; desde 1918 el fideicomiso de la escuela es el accionista de control, hoy con el 79 % de los votos a través de las acciones de clase B [28]. El negocio se construyó en EE. UU. con marcas propias y con licencias (Kit Kat, de Nestlé; Cadbury, de Mondelez). El fideicomiso ha bloqueado ventas: en 2002 y en 2016, cuando el consejo rechazó la oferta de Mondelez de 107 USD por acción (≈23.000 M USD) [29]. Desde 2018 la empresa diversifica hacia los snacks salados (Amplify, Dot's, LesserEvil) y en 2025 cambió de consejero delegado: Kirk Tanner, que venía de dirigir Wendy's y antes las bebidas de PepsiCo en Norteamérica, sustituyó a Michele Buck [1,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Milton Hershey funda la empresa de chocolate en Pensilvania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la Milton Hershey School; su fideicomiso controla la empresa desde 1918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Kit Kat en EE. UU. (Rowntree, hoy Nestlé)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fideicomiso bloquea una oferta de compra de la empresa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rechaza la oferta de Mondelez de 107 USD por acción (≈23.000 M USD)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Amplify Snack Brands (SkinnyPop): entrada en snacks salados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Lily's, Dot's Pretzels y Pretzels Inc. por 1.601 M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cacao pasa de ≈4.000 a cerca de 11.000 USD/t; el BPA ajustado cae un 33 % en 2025 [1,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Kirk Tanner, consejero delegado desde el 18-ago-2025; compra de LesserEvil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(31-mar), venta de acciones ordinarias del fideicomiso y nuevo director financiero (sep)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Hershey es el mayor fabricante de chocolate de EE. UU. y uno de los grandes de snacks: Hershey's, Reese's, Kisses, Kit Kat (licencia de Nestlé en EE. UU.), Jolly Rancher, Twizzlers, Ice Breakers y Lily's en confitería; SkinnyPop, Dot's Homestyle Pretzels, Pirate's Booty y LesserEvil (comprada en noviembre de 2025) en snacks salados; y ONE y Fulfil en barritas de proteína [1]. Vende sobre todo a mayoristas y cadenas de EE. UU.: McLane, el distribuidor que sirve a Walmart y a las tiendas de conveniencia, compró el 27 % de las ventas de 2025 [1]. Fuera de EE. UU. (México, Brasil, India, Canadá, Reino Unido y exportación) factura el 12,3 % [1]. Tiene tres segmentos: Confitería de Norteamérica (81 % de las ventas de 2025), Snacks salados de Norteamérica (11 %) e Internacional (8 %) [1]. Es muy estacional: Halloween, Navidad, San Valentín y Pascua concentran buena parte de las ventas, y el tercer trimestre es el más fuerte [1].</w:t>
      </w:r>
    </w:p>
    <w:p>
      <w:pPr>
        <w:pStyle w:val="Heading2"/>
      </w:pPr>
      <w:r>
        <w:t xml:space="preserve">Cómo gana dinero</w:t>
      </w:r>
    </w:p>
    <w:p>
      <w:pPr>
        <w:spacing w:after="100"/>
      </w:pPr>
      <w:r>
        <w:t xml:space="preserve">El beneficio sale de la confitería de Norteamérica: 2.493,8 M de los 2.738,9 M de resultado de los segmentos en 2025, con un margen del 26,3 % (34,2 % en 2023, antes del cacao caro) [1]. El coste que manda es el cacao (manteca, licor y polvo), seguido del azúcar, la leche y los frutos secos; Hershey cubre las compras con futuros y contratos a plazo desde una sociedad en Suiza y, como no aplica contabilidad de coberturas, la variación de valor de esos derivados pasa por la cuenta antes de que se use el cacao: en 2025 restó 423,2 M de beneficio operativo y en 2024 sumó 460,4 M [1]. Por eso la empresa publica un BPA ajustado que solo reconoce la ganancia o la pérdida cuando se vende el producto. El traslado a precio llega con retraso: subida del 6 % en 2025 y de unos 11-12 puntos en el 1S26, con volumen del −5 % en el semestre [1, 3]. Los snacks salados ganan menos (19,0 % de margen de segmento en 2025) pero crecen por volumen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Confitería de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Snacks salados de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Confitería de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Snacks salados de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McLane Company compró el 27 % de las ventas en 2025, el 27 % en 2024 y el 28 % en 2023, y es el canal de Walmart y de la conveniencia [1]. No hay contratos de duración larga: se vende por pedido a mayoristas, cadenas, farmacias, tiendas de dólar y clubes. El poder de precios está demostrado: en 2022 subió precios un 8 % con volumen positivo, y en 2025-2026 trasladó el cacao (precio +6 % en 2025 y +11 % en el 1S26) [1, 3, 15]. El límite está a la vista: el volumen de confitería cayó un 10 % en el 2T26 y la cuota en caramelos, chicles y caramelos de menta (CMG) de EE. UU. bajó en el trimestre por la innovación de los rivales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(2025,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(1S26); guía 2026: 3-3,5 %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Precio, no volumen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+11 puntos y volumen −5 en el semestre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Confitería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Empeora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Elasticidad tras las subidas de precio de julio de 2025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pb en el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algo menos de +400 pb; objetivo ≈44 % en 2030 [3, 19,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CMG en EE. UU. (Circana)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pb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Pierde cuota (12 semanas a 19-jul-2026)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Empeora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al consumidor +3,7 % en el periodo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al consumidor de snacks salados (sin LesserEvil)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(12 semanas a 28-jun-2026)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Se frena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 cuota; menos venta a marca blanca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 USD (2025); guía 2026: 8,36-8,52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 y +32,5-35 %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cacao caro de 2025 y su recuperación en 2026 [3,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de referencia es el chocolate de consumo mundial en valor a precio de venta al público (perímetro de la ficha sectorial y de las cuotas de Euromonitor que publican las empresas), en dólares [22]. Hershey compite además en caramelos, chicles y caramelos de menta y en snacks salados de EE. UU., que no entran en esa cifra: por eso la prueba de cuota del DCF se hace a mano con las ventas de chocolate y no con las del grupo. Usamos el tamaño de la ficha (estimación propia a partir de la cuota de Lindt) y lo contrastamos con dos casas de estudios (Allied: 87.500 M USD en 2023; Lucintel: 123.700 M USD en 2030)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122.200 M USD en 2025 (102.000 M CHF a 0,8349 CHF/USD)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cacao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Futuro de 10.987 USD/t en ene-2025, 3.494 en abr-2026 y 5.728 el 14-oct-2026 [24]: sube el valor del mercado y hunde el volumen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Elasticidad al precio tras dos años de subidas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confitería de Hershey −10 % en el 2T26 y −6,6 % en Lindt en 2025 [3,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(semaglutida, tirzepatida) y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de Hershey dice que sus equipos «se obsesionan» con los escenarios de GLP-1 al planificar 2026-2027 [20]; sin cifra pública de efecto</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Snacks salados y «mejor para 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al consumidor de snacks salados de Hershey +11,3 % en 2025 y +6,5 % en el 2T26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 blanca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 cuota en Europa y EE. UU. con el cacao caro [22, 23]; Hershey reduce sus ventas a marca blanca en salado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Estacionalidad y fiestas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Halloween, Navidad, San Valentín y Pascua; la Pascua corta de 2027 resta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(Mars, Mondelez, Ferrero, Hershey) en EE. UU. con marcas fuertes; la innovación de los rivales le quitó cuota de CMG en el 2T26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McLane compra el 27 % de las ventas y Walmart pesa mucho; los distribuidores empujan la marca blanca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cacao se concentra en Costa de Marfil y Ghana, que fijan el precio en origen; el futuro se multiplicó por tres en 2023-2025 [22,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distribución y de publicidad en EE. UU.; las marcas nuevas acaban compradas (Lily's, LesserEvil)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snacks, productos sin azúcar y menos apetito por los GLP-1 [20]</w:t>
            </w:r>
          </w:p>
        </w:tc>
      </w:tr>
    </w:tbl>
    <w:p>
      <w:pPr>
        <w:spacing w:after="160" w:before="0"/>
      </w:pPr>
    </w:p>
    <w:p>
      <w:pPr>
        <w:pStyle w:val="Heading2"/>
      </w:pPr>
      <w:r>
        <w:t xml:space="preserve">Ciclo</w:t>
      </w:r>
    </w:p>
    <w:p>
      <w:pPr>
        <w:spacing w:after="100"/>
      </w:pPr>
      <w:r>
        <w:t xml:space="preserve">El ciclo que importa es el del cacao, no el económico: el margen bruto ajustado de Hershey cayó al 37,2 % en 2025 y vuelve al 41,6 % en el 2T26 con el cacao a la mitad que en 2025 [1, 24]. El chocolate aguanta las recesiones: en 2008-09 y en 2020 Hershey creció (ventas +3,3 % y +2,0 % en 2020) [1]. En 2022 subió precios un 8 % con volumen positivo; el problema llegó en 2024-2026, con subidas de doble dígito y volumen a la baja [3, 15]. El rebote del cacao en agosto de 2026 (6.650 USD/t) por El Niño y la cosecha de Ghana es el riesgo para 2027-2028 [24].</w:t>
      </w:r>
    </w:p>
    <w:p>
      <w:pPr>
        <w:pStyle w:val="Heading2"/>
      </w:pPr>
      <w:r>
        <w:t xml:space="preserve">Regulación</w:t>
      </w:r>
    </w:p>
    <w:p>
      <w:pPr>
        <w:spacing w:after="100"/>
      </w:pPr>
      <w:r>
        <w:t xml:space="preserve">Aranceles de EE. UU. de 2025 sobre el cacao y otros insumos importados: unos 160-170 M de coste en 2025; la guía de 2026 no incluye posibles devoluciones [1, 3]. Reglamento europeo de deforestación (EUDR), con diligencia sobre cacao, palma y soja, que afecta poco a Hershey (12 % de ventas fuera de EE. UU.) [1]. Etiquetado y publicidad de productos con azúcar, y estudios sobre metales pesados en el chocolate negro (2022-2023) [22]. Precio en origen fijado por Costa de Marfil y Ghana.</w:t>
      </w:r>
    </w:p>
    <w:p>
      <w:pPr>
        <w:pStyle w:val="Heading2"/>
      </w:pPr>
      <w:r>
        <w:t xml:space="preserve">Tendencias y disrupción</w:t>
      </w:r>
    </w:p>
    <w:p>
      <w:pPr>
        <w:spacing w:after="100"/>
      </w:pPr>
      <w:r>
        <w:t xml:space="preserve">Tres tendencias. La primera, la sustitución parcial del chocolate por snacks salados y de proteína, que Hershey sigue con sus compras: el salado y la proteína son ya el 11 % de sus ventas [1]. La segunda, los GLP-1: reducen el picoteo de los usuarios, y la dirección los trata como escenario de planificación sin cuantificar el efecto [20]. La tercera, la marca blanca y las promociones tras dos años de subidas de precio, más fuertes en Europa que en EE. UU. [22, 23]. Hershey gana con la primera, pierde con las dos siguientes y compensa con innovación (tamaños pequeños, Reese's y Kit Kat con sabores, sin azúcar con Lily's).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5.º mundial en chocolate en valor (Euromonitor 2025), tras Mars, Mondelez, Ferrero y Nestlé; líder del chocolate en EE. UU. y n.º 1 o 2 en CMG en EE. UU. [3,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 (Mars Wrigley)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líder mundial; compró Kellanova (Pringles) y se refuerza en snacks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Milka, Cadbury, Oreo; margen operativo publicado con derivados dentro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Kinder, Ferrero Rocher y el negocio de caramelos que compró a Nestlé en EE. UU. (2018)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Kit Kat fuera de EE. UU. (Hershey tiene la licencia en EE. UU.)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Lindt &amp; Sprüngli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Prémium; en EE. UU. con Lindor, Ghirardelli y Russell Stover; 5.915,8 M CHF en 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PepsiCo (Frito-Lay)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de los snacks salados en EE. UU., el segmento donde Hershey crece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alimentos.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la lealtad es de hábito, no contractual.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Hershey's, Reese's y la licencia de Kit Kat: margen de segmento de confitería del 32-34 % en 2022-2024 frente al 9-16 % de margen operativo de Mondelez y Lindt [3, 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y fábricas en EE. UU.; el programa AAA ahorra ≈100 M en 2026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Espacio en lineal y en caja de pago en conveniencia y Walmart; las marcas nuevas se integran en su distribución [3].</w:t>
            </w:r>
          </w:p>
        </w:tc>
      </w:tr>
    </w:tbl>
    <w:p>
      <w:pPr>
        <w:spacing w:after="160" w:before="0"/>
      </w:pPr>
    </w:p>
    <w:p>
      <w:pPr>
        <w:pStyle w:val="Heading2"/>
      </w:pPr>
      <w:r>
        <w:t xml:space="preserve">Amenazas</w:t>
      </w:r>
    </w:p>
    <w:p>
      <w:pPr>
        <w:spacing w:after="100"/>
      </w:pPr>
      <w:r>
        <w:t xml:space="preserve">Tres amenazas, de mayor a menor. Primera, que la caída de volumen deje de ser elasticidad pasajera y se convierta en pérdida de hábito: el volumen de confitería cayó un 10 % en el 2T26 y la cuota de CMG bajó por la innovación de los rivales [3]; probabilidad media. Segunda, los GLP-1: menos consumo de dulces entre los usuarios, que crecen cada año [20]; probabilidad media y efecto lento. Tercera, la marca blanca y Mars reforzada con Kellanova en el canal de conveniencia [22]; probabilidad baja-media. El foso de marca no se ha estrechado en precio, pero sí en volumen.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2019-2025: ingresos </w:t>
      </w:r>
      <w:r>
        <w:rPr>
          <w:b/>
          <w:bCs/>
        </w:rPr>
        <w:t xml:space="preserve">6,6 %</w:t>
      </w:r>
      <w:r>
        <w:t xml:space="preserve">, EBITDA </w:t>
      </w:r>
      <w:r>
        <w:rPr>
          <w:b/>
          <w:bCs/>
        </w:rPr>
        <w:t xml:space="preserve">3,8 %</w:t>
      </w:r>
      <w:r>
        <w:t xml:space="preserve">, BPA </w:t>
      </w:r>
      <w:r>
        <w:rPr>
          <w:b/>
          <w:bCs/>
        </w:rPr>
        <w:t xml:space="preserve">1,5 %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7.986,3 M en 2019 a 11.692,6 M en 2025 (+4,4 % en 2025, con precio +6 %, compras +1 % y volumen −1 %) [1]. Las compras de 2021 (Lily's, Dot's y Pretzels) aportaron 4,3 puntos en 2022 [15]. El margen operativo ajustado subió de 21,1 % (2019) a 24,2 % (2023) y cayó a 16,9 % en 2025 por el cacao (736,6 M más de coste de materias primas) y los aranceles (287,2 M de coste logístico y de fabricación, con aranceles dentro) [1, 4, 10, 14]. En 2026 se recupera: 21,2 % de margen operativo ajustado en el 1S26 frente al 18,8 % del 1S25 [3]. El BPA publicado salta mucho más que el negocio porque incluye la valoración a mercado de los derivados de cacao: 10,92 USD en 2024 frente a 9,37 ajustado, y 4,34 en 2025 frente a 6,31 ajustado [4].</w:t>
      </w:r>
    </w:p>
    <w:p>
      <w:pPr>
        <w:pStyle w:val="Heading2"/>
      </w:pPr>
      <w:r>
        <w:t xml:space="preserve">Ajustes y partidas no recurrentes</w:t>
      </w:r>
    </w:p>
    <w:p>
      <w:pPr>
        <w:spacing w:after="100"/>
      </w:pPr>
      <w:r>
        <w:t xml:space="preserve">El BPA de este informe es el ajustado de la empresa en toda la serie (columna BPA, historia del PER, consenso y escenarios), porque el publicado lleva la ganancia o pérdida de valor razonable de los derivados de materias primas antes de que el cacao se use: −2,08 USD por acción en 2025 (423,2 M antes de impuestos en el resultado no asignado) y una ganancia en 2024 (460,4 M antes de impuestos) [1, 4]. Las otras partidas excluidas son costes de reorganización (programa AAA: 0,29 USD en 2025), de compras e integración (0,20 USD) y deterioros (0,03 USD) [4]. La cuenta (ventas, EBIT, beneficio) es la publicada; los no recurrentes devuelven al EBITDA la diferencia entre beneficio operativo ajustado y publicado de cada año (528,9 M en 2025; −303,0 M en 2024, una ganancia) [4, 9, 10, 11, 12, 13, 14]. No ajustamos los pagos en acciones ni las pérdidas de las inversiones en créditos fiscales (dentro de «otros gastos»: 258,6 M en 2024), que la propia empresa deja en el ajustado y compensa con un tipo efectivo bajo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2T26 (30-jul-2026) la dirección habló de un «primer semestre fuerte» y de recuperación de beneficio: BPA ajustado de 1,90 USD (+57 %) con el margen bruto ajustado en el 41,6 % (+350 pb) por precio, cacao más barato y ahorros [3]. Estrechó la guía hacia arriba (ventas +4,5-5 %, orgánico +3-3,5 %, BPA ajustado +32,5-35 %, 8,36-8,52 USD) pero bajó algo la de margen bruto («algo menos de 400 pb») por logística y por los snacks salados, que se quedaron cortos de volumen por problemas de ejecución en multipacks y en Dot's [3, 19]. Las preguntas se repitieron sobre el volumen: −10 % en confitería, cuota de CMG a la baja por la innovación de la competencia y cuánto precio habrá que devolver cuando el cacao baje [3, 19]. Para 2027 la dirección fijó el punto de partida del crecimiento orgánico de confitería en el 2 %, la parte baja de su algoritmo del 2-4 %, por una Pascua más corta [19]. No cuantificó cuánto margen bruto ganará en 2027 ni cómo de cubierto está el cacao de ese año, más allá de hablar de «visibilidad de costes» [3]. En el día del inversor (31-mar-2026) había fijado el marco: crecimiento orgánico del 2-4 %, BPA +6-8 % y margen bruto hacia el 44 % en 2030 [18,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Dot's Pretzels y Pretzels Inc., compradas el 13 y 14-dic-21 (y Lily's en junio): entran en el balance y casi nada en la cuenta del año; 1.601 M pagados en total; 2025: LesserEvil, comprada el 18-nov-25 (≈750 M): entra en el balance y solo seis semanas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pasó de 5.102,2 M a cierre de 2024 a 5.403,0 M a cierre de 2025 y 5.610,7 M en junio de 2026: en febrero de 2025 emitió 2.000 M en bonos (4,55-5,10 %) para devolver papel comercial, que bajó de 1.145,6 M a cero [1, 2]. Con un EBITDA ajustado de 2.474 M en 2025 la deuda neta era 1,8 veces el EBITDA; con el EBITDA de los últimos doce meses vuelve a unas 1,8 veces pese a las recompras del semestre (439,4 M) [2]. El circulante sube en verano por la estacionalidad y por el cacao caro: existencias de 1.743,3 M en junio frente a 1.429,3 M en diciembre [2]. El coste medio de la deuda subirá: los gastos por intereses previstos para 2026 son 200-210 M frente a 190 M en 2025 [1,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11.290</w:t>
      </w:r>
      <w:r>
        <w:t xml:space="preserve">, conversión </w:t>
      </w:r>
      <w:r>
        <w:rPr>
          <w:b/>
          <w:bCs/>
        </w:rPr>
        <w:t xml:space="preserve">107 %</w:t>
      </w:r>
      <w:r>
        <w:t xml:space="preserve"> del beneficio neto; adquisiciones 3.001, dividendos 5.771, recompras 2.344.</w:t>
      </w:r>
    </w:p>
    <w:p>
      <w:pPr>
        <w:spacing w:after="100"/>
      </w:pPr>
      <w:r>
        <w:t xml:space="preserve">El flujo de explotación fue de 2.277,4 M en 2025 (2.531,6 M en 2024) pese al beneficio publicado de 883,3 M, porque las pérdidas de valor razonable de los derivados no son caja; el capex bajó de 771,1 M en 2023 (pico del sistema informático y de nuevas líneas) a 528,2 M en 2025, y la guía de 2026 es de 425-475 M (≈ 3,7 % de las ventas) [1, 3]. Flujo libre de 1.749 M en 2025 y de 2.154 M en los últimos doce meses a junio [1, 2]. En 2021-2025 se pagaron 4.220 M en dividendos, se recompraron 1.606 M y se invirtieron 2.598 M en compras [1, 15]. Estimación propia: el capex de mantenimiento ronda la amortización del inmovilizado material (328,5 M en 2025, el 2,8 % de las ventas)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ejercicio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cifras son de calidad alta pero con mucho ruido contable. El ruido viene de los derivados de materias primas sin contabilidad de coberturas: el BPA publicado fue de 10,92 USD en 2024 y de 4,34 en 2025 frente a 9,37 y 6,31 ajustados [4]. La diferencia es de calendario (la ganancia o la pérdida se reconoce en el ajustado cuando se vende el producto), no inventada, y la empresa concilia partida a partida [3, 4]. Hay que vigilar tres cosas. Los costes de reorganización se repiten (programa AAA 2024-2026: 0,30-0,35 USD por acción en 2026). Las compras de 2021 dejaron 2.996 M de fondo de comercio y 2.476 M de intangibles, el 39,8 % del activo. Y el tipo efectivo bajo de 2023-2024 (14,3 % y 10,2 %) sale de las inversiones en créditos fiscales, cuyo coste va a «otros gastos» [1]. Altman, Piotroski y Beneish del motor se leen con cuidado en 2024 y 2025 por los derivados: el EBIT publicado se movió −50 % y el ajustado −24 %.</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publicado y ajustado muy distintos por los derivados de cacao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4,34 frente a 6,31 USD; en 2026 al revés (2T26: 2,26 frente a 1,90)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reorganización recurrentes excluidos del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0,29 USD en 2025 y 0,30-0,35 USD previstos en 2026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e intangibles del 39,8 %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relevantes de las compras de 2021; deterioro de 0,03 USD en 2025 [1,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0,9 % · </w:t>
      </w:r>
      <w:r>
        <w:rPr>
          <w:b/>
          <w:bCs/>
        </w:rPr>
        <w:t xml:space="preserve">WACC</w:t>
      </w:r>
      <w:r>
        <w:t xml:space="preserve">: 8,1 %.</w:t>
      </w:r>
    </w:p>
    <w:p>
      <w:pPr>
        <w:spacing w:after="100"/>
      </w:pPr>
      <w:r>
        <w:t xml:space="preserve">Hershey crea valor con holgura: ROIC del 15,8 % en 2025 frente a un WACC del 8,05 %, 7,75 puntos por encima, en el peor año del cacao; en 2023 y 2024 el ROIC fue del 28,7 % y del 26,5 %. Sin el fondo de comercio de las compras (2.996 M) el capital invertido baja a unos 6.100 M y el ROIC de 2025 sube al 23,5 % (estimación propia con el NOPAT del motor). Lo mueve el margen, no la rotación (0,88 veces): el NOPAT cayó de 2.330 M a 1.433 M en 2025 con el capital casi igual. El ROIC incremental de los últimos años es bajo porque las compras de snacks salados (≈ 3.600 M desde 2018) rinden un 6-7 % antes de impuestos y de costes centrales [1]. Frente a los rivales: Lindt tiene un 13,2 % y Mondelez un margen operativo publicado del 9,2 % [25,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791,2 M al 28-jun-2026 y línea de crédito comprometida de 1.875 M hasta octubre de 2030 (ampliable en 1.000 M), que respalda el papel comercial; líneas bancarias de 517 M [1,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superávit de 20,8 M en los planes de prestación definida y obligación de 107,6 M en otras prestaciones (sanidad de jubilados), sin fondos; neto, 86,8 M de déficit (≈ 66 M después de impuestos), que va al puente [1]. Arrendamientos operativos fuera de la deuda (US GAAP: su gasto está en el EBITDA); los financieros (73,5 M) están dentro de la deuda [17]. Covenants de la línea de crédito cumplidos a cierre de 2025 [1]. Compromisos de compra de materias primas y derivados de cacao: las pérdidas o ganancias pendientes se ven en el resultado no asignado y no son deuda. El 28 % de la plantilla tiene convenio colectivo; en 2026 se renegocian seis centros [1].</w:t>
      </w:r>
    </w:p>
    <w:p>
      <w:pPr>
        <w:pStyle w:val="Heading1"/>
      </w:pPr>
      <w:r>
        <w:t xml:space="preserve">12. Asignación de capital</w:t>
      </w:r>
    </w:p>
    <w:p>
      <w:pPr>
        <w:pStyle w:val="Confianza"/>
        <w:spacing w:after="100"/>
      </w:pPr>
      <w:r>
        <w:t xml:space="preserve">Confianza: Alta</w:t>
      </w:r>
    </w:p>
    <w:p>
      <w:pPr>
        <w:spacing w:after="100"/>
      </w:pPr>
      <w:r>
        <w:t xml:space="preserve">Dividendo creciente y prioritario: 5,48 USD por acción en 2025 y 1,452 trimestral desde febrero de 2026 (5,81 anualizado, +6 %); 384 trimestres seguidos [1]. Recompras para compensar la dilución y con programas del consejo: quedan ≈270 M del programa de 2023 y en junio de 2026 se aprobaron 500 M más [2]. Prioridades declaradas: invertir en el negocio y en capacidad, dividendo, compras que encajen (snacks salados y «mejor para ti») y recompras [1,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Amplify Snack Brands (SkinnyPop)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segmento de snacks salados, que pasó de 438 M de ventas en 2020 a 1.271 M en 2025 con margen del 19 % [1,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ONE Brands (barritas de proteína)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Confitería de Norteamérica; sin deterioro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Lily's, Dot's Pretzels y Pretzels Inc.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Dot's es la marca que más crece del segmento salado; volumen +8 % en 2025 [1,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Weaver Popcorn (capacidad)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 la fabricación de SkinnyPop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Sour Strips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aporta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LesserEvil (palomitas y snacks orgánicos)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veces las ventas de 2024 [21]; aporta ≈22 puntos al crecimiento del segmento salado en el 2T26 [3]</w:t>
            </w:r>
          </w:p>
        </w:tc>
      </w:tr>
    </w:tbl>
    <w:p>
      <w:pPr>
        <w:spacing w:after="160" w:before="0"/>
      </w:pPr>
    </w:p>
    <w:p>
      <w:pPr>
        <w:spacing w:after="100"/>
      </w:pPr>
      <w:r>
        <w:t xml:space="preserve">Asignador de capital correcto, sin errores grandes: en 2021-2025 devolvió 5.826 M (dividendos y recompras) y compró por 2.598 M, sobre todo snacks salados, que hoy dan el 11 % de las ventas y el 9 % del resultado de los segmentos [1]. El rendimiento de lo comprado es modesto: 241,8 M de resultado de segmento en 2025 sobre unos 3.600 M invertidos en el salado desde 2018 (≈ 6,7 % antes de impuestos y de costes centrales). El dividendo se mantuvo en 2025 con un BPA ajustado de 6,31 USD (87 % de reparto) y sube en 2026; el número de acciones cayó de 210,8 M diluidas en 2019 a 202,7 M en el 2T26 [2,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Kirk Tanner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gestión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Wendy's (2024-2025) y antes de PepsiCo Beverages North America; llegó el 18-ago-2025 [28]. Compró 2.000 acciones en noviembre de 2025 (≈0,37 M USD) [35]. Primer año: margen recuperado con el cacao y guía 2026 cumplida hasta ahora.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Dave Hulays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Hershey desde 2012 (finanzas de Canadá, EE. UU., compras de empresas, tesorería y transformación) y 15 años en Procter &amp; Gamble; sustituye a Steve Voskuil, que se jubila en el 1T27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Huong Maria T. Kraus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Wedgewood Pharmacy y presidenta de Hershey Trust Company y de la Milton Hershey School: representa al accionista de control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Mitchell Arends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Utz Brands (director de operaciones) y antes de Kraft Heinz Norteamérica; sustituye a Jason Reiman, que se jubila en abril de 2027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Rohit Grover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Internacional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el segmento internacional, cuyo margen cayó del 15,6 % en 2023 al 0,4 % en 2025 y a pérdidas en el 2T26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7,84-7,98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8,52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9,29-9,46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9,59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plano (9,59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9,37 USD (−2,3 %)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6,00-6,18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6,31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8,20-8,52 USD (feb); 8,36-8,52 (jul)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4,25 USD en el 1S26 (+28,4 %)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casi nuevo: consejero delegado desde agosto de 2025, presidente de EE. UU. que se fue en mayo de 2026 tras un año, director de cadena de suministro desde junio y director financiero desde septiembre de 2026 [28, 31, 32, 33]. La rotación es alta, pero los relevos de finanzas y suministro son ordenados (anunciados con meses de transición) [31, 33]. El historial de guías es bueno: cumplió o batió en 2022, 2023 y 2025, y falló por poco en 2024 [4]. El riesgo es de ejecución: el plan del día del inversor lo tiene que ejecutar un equipo que aún no ha cerrado un ejercicio completo junto.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Huong Maria T. Kraus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(presidenta), Auditoría, Remuneración y Finanzas (de oficio)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Kirk Tanner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Cordel Robbin-Coker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y Riesgos (presidente), Remuneración,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Harold Singleton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M. Ozan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Ejecutiva,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Deirdre A. Mahlan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(presidenta), Auditoría,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W. Brandt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W. Curoe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J. Nalebuff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 Quintero-Johnson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Guy Persaud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Joe Park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Finanzas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ejercicio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0,37 / ventas 271,02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Hershey Trust Company (fideicomiso de la Milton Hershey School)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(54,6 M de clase B con 10 votos y ≈2,1 M ordinarias; 79 %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ordinarias desde marzo de 2026: ≈1,45 M acciones por 267 M USD hasta el 8-oct [35,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(sobre ordinarias)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nov-2024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(sobre ordinarias)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nov-2024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(sobre ordinarias)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nov-2025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(20,6 M acciones sobre 221,6 M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 en el 1S26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Kirk Tanner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Hershey Trust Company (accionista de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Voskuil (director financiero hasta sep-2026;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Rohit Grover (presidente de Internacional;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Jason Reiman (cadena de suministro;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16,81 M USD en 2025 por cuatro meses y medio (0,46 M de fijo, 1,36 M de variable anual y 14,67 M en acciones, con la concesión de entrada); anualizada, 24,9 M, 389 veces el empleado mediano [28]. El variable a largo plazo es en un 65 % acciones por objetivos a tres años y en un 35 % acciones restringidas; el máximo es el 250 % del objetivo [28]. En 2025 el voto consultivo cayó: algo más del 72 % a favor entre las acciones ordinarias, por el acuerdo de salida de la anterior consejera delegada [28]. En 2026, con el voto del fideicomiso, 96,6 % a favor; sin él, calculamos un 20,4 % en contra sobre el capital libre presente [30].</w:t>
      </w:r>
    </w:p>
    <w:p>
      <w:pPr>
        <w:pStyle w:val="Heading2"/>
      </w:pPr>
      <w:r>
        <w:t xml:space="preserve">Operaciones vinculadas, estructura de control y defensas</w:t>
      </w:r>
    </w:p>
    <w:p>
      <w:pPr>
        <w:spacing w:after="100"/>
      </w:pPr>
      <w:r>
        <w:t xml:space="preserve">El fideicomiso de la Milton Hershey School, a través de Hershey Trust Company, tiene el 28 % del capital económico y el 79 % de los votos gracias a las acciones de clase B (10 votos cada una); las ordinarias eligen solo un sexto del consejo por separado [28]. Es un blindaje completo: rechazó la oferta de Mondelez en 2016 (consejo y fideicomiso) y ninguna compra es posible sin su acuerdo. La presidenta del consejo y otros dos consejeros (Robbin-Coker y Singleton) son a la vez consejeros del fideicomiso o de la escuela [28]. Hay operaciones vinculadas recurrentes: la empresa le compró 1 M de acciones en 2022 y otro en 2023, y la comisión ejecutiva aprueba las operaciones con el fideicomiso, Hershey Entertainment &amp; Resorts y la escuela [15, 28]. Las clase B pasan a ordinarias si el fideicomiso baja del 50 % de las B o del 15 % del total [28].</w:t>
      </w:r>
    </w:p>
    <w:p>
      <w:pPr>
        <w:pStyle w:val="Heading2"/>
      </w:pPr>
      <w:r>
        <w:t xml:space="preserve">Señales de alerta</w:t>
      </w:r>
    </w:p>
    <w:p>
      <w:pPr>
        <w:pStyle w:val="ListParagraph"/>
        <w:numPr>
          <w:ilvl w:val="0"/>
          <w:numId w:val="2"/>
        </w:numPr>
        <w:spacing w:after="60"/>
      </w:pPr>
      <w:r>
        <w:t xml:space="preserve">Venta continuada de ordinarias del accionista de control: ≈1,45 M acciones (267 M USD) entre marzo y octubre de 2026, unas 70.000 por semana [35, 36].</w:t>
      </w:r>
    </w:p>
    <w:p>
      <w:pPr>
        <w:pStyle w:val="ListParagraph"/>
        <w:numPr>
          <w:ilvl w:val="0"/>
          <w:numId w:val="2"/>
        </w:numPr>
        <w:spacing w:after="60"/>
      </w:pPr>
      <w:r>
        <w:t xml:space="preserve">Rotación de la cúpula: consejero delegado (ago-2025), presidente de EE. UU. (salida en mayo de 2026), director de cadena de suministro (jun-2026) y director financiero (sep-2026) [28, 31, 32, 33].</w:t>
      </w:r>
    </w:p>
    <w:p>
      <w:pPr>
        <w:pStyle w:val="ListParagraph"/>
        <w:numPr>
          <w:ilvl w:val="0"/>
          <w:numId w:val="2"/>
        </w:numPr>
        <w:spacing w:after="60"/>
      </w:pPr>
      <w:r>
        <w:t xml:space="preserve">Voto contra la remuneración del capital libre del 20,4 % en 2026 y cerca del 28 % entre las ordinarias en 2025 [28, 30].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del 30-jul-2026: ventas +4,5-5 % (1,5 puntos de LesserEvil), orgánico +3-3,5 %, BPA ajustado +32,5-35 % (8,36-8,52 USD), tipo efectivo del 25-27 %, intereses de 200-210 M, capex de 425-475 M y ≈100 M de ahorros del programa AAA [3]. Marco a largo plazo del día del inversor (31-mar-2026): crecimiento orgánico del 2-4 % y BPA +6-8 % al año, con 2027 empezando en la parte baja (2 %) por la Pascua corta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20 analistas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170,00 – 250,00</w:t>
            </w:r>
          </w:p>
        </w:tc>
      </w:tr>
    </w:tbl>
    <w:p>
      <w:pPr>
        <w:spacing w:after="160" w:before="0"/>
      </w:pPr>
    </w:p>
    <w:p>
      <w:pPr>
        <w:pStyle w:val="Heading2"/>
      </w:pPr>
      <w:r>
        <w:t xml:space="preserve">Revisiones de estimaciones</w:t>
      </w:r>
    </w:p>
    <w:p>
      <w:pPr>
        <w:spacing w:after="100"/>
      </w:pPr>
      <w:r>
        <w:t xml:space="preserve">El consenso de BPA ajustado de 2026 (8,48 USD) está en la parte alta de la guía (8,36-8,52) tras el 2T26, que batió por mucho (1,90 frente a 1,43 USD) [38, 42]. Para 2027 el consenso espera 9,85 USD (+16 %), muy por encima del +6-8 % del algoritmo de la empresa: descuenta otro año de recuperación de margen con el cacao más barato [3, 38]. Solo una fuente gratuita da estimaciones completas; el precio objetivo medio (201,05 USD; mediana 198) y la recomendación «comprar» son de la misma [38]. Sin histórico gratuito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cae un 13,3 % en un año frente al +16,2 % del S&amp;P 500 y el +8,8 % del ETF de consumo básico (XLP), y un 2,1 % anual en cinco años [37]. El máximo de 52 semanas (239,48 USD) fue el 2-mar-2026, con el mercado celebrando la recuperación del margen; desde entonces ha caído un 31 % [37]. Tres hechos: el volumen de confitería (−8 % en el 1S26 y −10 % en el 2T26), que hizo caer la acción tras unos resultados que batían [42]; el rebote del cacao en agosto (6.650 USD/t); y la venta continuada de ordinarias del accionista de control desde marzo, unas 70.000 por semana [37]. La beta mensual a cinco años es casi nula (0,09; 0,39 ajustada): el precio lo mueve el cacao, no el mercado [37].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ajustado, Hershey cotizó a 19-27 veces el BPA del mismo año en 2019-2024 (mediana de cinco años de 24,2 veces) y a 19-24 veces el del año siguiente (mediana de 21,5 veces) [37]. Hoy cotiza a unas 17 veces nuestro BPA de 2027: un descuento del 20 % frente a su historia adelantada. Excluimos 2025 al cierre (28,8 veces sobre un BPA hundido por el cacao). El descuento tiene motivos: la tasa a 10 años está en el 5,2 % (1,5-2 % en 2019-2021), el volumen cae y los GLP-1 ponen en duda el crecimiento a largo plazo; no es todo oportunidad.</w:t>
      </w:r>
    </w:p>
    <w:p>
      <w:pPr>
        <w:pStyle w:val="Heading1"/>
      </w:pPr>
      <w:r>
        <w:t xml:space="preserve">18. Comparables cotizados</w:t>
      </w:r>
    </w:p>
    <w:p>
      <w:pPr>
        <w:pStyle w:val="Confianza"/>
        <w:spacing w:after="100"/>
      </w:pPr>
      <w:r>
        <w:t xml:space="preserve">Confianza: Media</w:t>
      </w:r>
    </w:p>
    <w:p>
      <w:pPr>
        <w:spacing w:after="100"/>
      </w:pPr>
      <w:r>
        <w:t xml:space="preserve">Fabricantes cotizados de chocolate y confitería de marca de la ficha sectorial: Lindt (prémium, rival en EE. UU.), Mondelez, Nestlé, Meiji, Ezaki Glico y Orion, y Barry Callebaut como termómetro del cacao [25, 39]. Fuera: Mars y Ferrero (no cotizan) y PepsiCo (snacks salados, otro perfil). Las capitalizaciones se pasan de CHF a USD a 0,8349 [40]. Los múltiplos de la ficha usan el BPA y el EBITDA de Yahoo (ajustados en las de EE. UU.).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Hershey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Lindt &amp; Sprüngli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Callebaut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Meiji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Ezaki Glico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10,7x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 / 19,0x / 24,6x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1,0x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Hershey cotiza a 17,2 veces el BPA de los próximos 12 meses, por debajo de la mediana del grupo (19,0) y muy por debajo de Lindt (23,4), con un margen EBITDA más alto que todas (≈ 25 % ajustado en 2026 frente al 21,8 % de Lindt y el 15,3 % de Mondelez) [25, 39]. El descuento frente a Lindt se explica por el crecimiento (Lindt vende prémium y se expande fuera de Europa; Hershey depende de EE. UU. con volumen negativo) y por la tasa libre más alta en dólares. Frente a Mondelez (19,0) y Nestlé (16,6) está en línea. Barry Callebaut y Ezaki Glico tienen PER inflados por beneficios deprimidos; Orion (8,0) está en el otro extremo: la mediana no depende de ellas.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Kellanova (Pringles, Cheez-It)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compra de snacks; cerró en diciembre de 2025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Hostess Brands (Twinkies)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J.M. Smucker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 veces el EBITDA ajustado de 2023; 13,2 con sinergias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LesserEvil (snacks orgánicos)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Hershey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prensa; ventas de 165 M en 2024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Lily's, Dot's Pretzels y Pretzels Inc.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Hershey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compras en 2021; sin múltiplos publicados [15]</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marcas de snacks con escala se pagan a 16-17 veces el EBITDA (Kellanova, Hostess) [22, 41]; Hershey cotiza a unas 13 veces el EBITDA ajustado de los próximos 12 meses. El valor de control no es operativo: el fideicomiso, con el 79 % de los votos, ha rechazado ofertas antes (Mondelez en 2016) y su venta de ordinarias no toca las clase B. Por eso no damos peso a las transacciones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es fijo con la guía de julio: ventas +4,7 % (orgánico 3-3,5 % y 1,5 puntos de LesserEvil) [3]. Después, 3,0 % en 2027e y 3,5 % en 2028e-2030e, en la mitad del algoritmo del día del inversor (2-4 % orgánico) [18, 20]: 2027 empieza en la parte baja por la Pascua corta y porque parte del precio se devuelve con el cacao más barato [19]. Por debajo del consenso de ventas de 2027 (12.590 M frente a nuestros 12.609 M, casi igual) [38]. Bajamos al 2,5 % en 2033e, igual que el terminal. La historia sostiene ese ritmo: 6,6 % anual en 2019-2025, con compras, y 4,4 % en 2025 con volumen negativo [1].</w:t>
      </w:r>
    </w:p>
    <w:p>
      <w:pPr>
        <w:keepNext/>
        <w:spacing w:after="100"/>
      </w:pPr>
      <w:r>
        <w:rPr>
          <w:b/>
          <w:bCs/>
        </w:rPr>
        <w:t xml:space="preserve">Márgenes.</w:t>
      </w:r>
    </w:p>
    <w:p>
      <w:pPr>
        <w:spacing w:after="100"/>
      </w:pPr>
      <w:r>
        <w:t xml:space="preserve">Margen EBITDA ajustado del 25,0 % en 2026e (BPA ajustado de 8,46 USD, en la guía de 8,36-8,52), 26,0 % en 2027e y 27,5 % desde 2031e [3]. La referencia es la historia antes del cacao caro: margen operativo ajustado del 24,2 % en 2023 y del 23,1 % en 2022, más unos 3,8-4,4 puntos de amortización [10, 11]. No volvemos al pico: 27,5 % frente a ≈ 28 % en 2023, porque el cacao sigue en 5.728 USD/t (más del doble que en 2021-2022) y parte del ahorro se devuelve en promociones [24]. El objetivo de la empresa de margen bruto del 44 % en 2030 queda por encima de lo que suponemos [20].</w:t>
      </w:r>
    </w:p>
    <w:p>
      <w:pPr>
        <w:keepNext/>
        <w:spacing w:after="100"/>
      </w:pPr>
      <w:r>
        <w:rPr>
          <w:b/>
          <w:bCs/>
        </w:rPr>
        <w:t xml:space="preserve">Inversión y circulante.</w:t>
      </w:r>
    </w:p>
    <w:p>
      <w:pPr>
        <w:spacing w:after="100"/>
      </w:pPr>
      <w:r>
        <w:t xml:space="preserve">Capex del 3,8 % de las ventas en 2026e (guía de 425-475 M) que sube al 4,3-4,4 %, igual que la amortización, en el estado estacionario [3]. Es menos que en 2023 (6,9 %, pico de sistemas y líneas nuevas) y en línea con 2025 (4,5 %) [1]. Circulante comercial del 8 % de las ventas (7,7 % en 2025), con el inventario aún valorado a cacao caro. No hay compras en la proyección.</w:t>
      </w:r>
    </w:p>
    <w:p>
      <w:pPr>
        <w:keepNext/>
        <w:spacing w:after="100"/>
      </w:pPr>
      <w:r>
        <w:rPr>
          <w:b/>
          <w:bCs/>
        </w:rPr>
        <w:t xml:space="preserve">Coste del capital.</w:t>
      </w:r>
    </w:p>
    <w:p>
      <w:pPr>
        <w:spacing w:after="100"/>
      </w:pPr>
      <w:r>
        <w:t xml:space="preserve">Tasa libre del 5,21 % (bono del Tesoro a 10 años, FRED, 13-oct-2026) [48]. Beta de 0,65: la beta de Damodaran del sector de alimentación procesada en EE. UU. es 0,61 (0,47 desapalancada y corregida por caja; reapalancada con la deuda de Hershey, 0,53) [50]; la propia, mensual a cinco años, es 0,09 (0,39 ajustada), sin sentido económico [37]. Prima de mercado del 5,5 % y ninguna adicional. Coste de la deuda del 5,0 % antes de impuestos (bonos de 2025 al 4,55-5,10 %) y un 14,5 % de deuda a valor de mercado [1]. WACC del 8,05 %. Cada 0,1 de beta mueve el valor un 7-8 %.</w:t>
      </w:r>
    </w:p>
    <w:p>
      <w:pPr>
        <w:keepNext/>
        <w:spacing w:after="100"/>
      </w:pPr>
      <w:r>
        <w:rPr>
          <w:b/>
          <w:bCs/>
        </w:rPr>
        <w:t xml:space="preserve">Valor terminal.</w:t>
      </w:r>
    </w:p>
    <w:p>
      <w:pPr>
        <w:spacing w:after="100"/>
      </w:pPr>
      <w:r>
        <w:t xml:space="preserve">Gordon con crecimiento del 2,5 %: inflación esperada del dólar (≈ 2,3 %) más un crecimiento real mínimo, 2,7 puntos por debajo de la tasa libre [48]. El valor terminal pesa el 68 % del valor. Implica unas 14 veces el EBITDA de salida, en línea con el múltiplo de salida de contraste (14 veces) y por debajo de las compras de snacks (16-17 veces) [22, 41].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164,74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M (1 % del NOPAT)</w:t>
            </w:r>
          </w:p>
        </w:tc>
      </w:tr>
    </w:tbl>
    <w:p>
      <w:pPr>
        <w:spacing w:after="160" w:before="0"/>
      </w:pPr>
    </w:p>
    <w:p>
      <w:pPr>
        <w:spacing w:after="100"/>
      </w:pPr>
      <w:r>
        <w:t xml:space="preserve">La proyección apenas necesita inversión neta de la amortización (reinversión acumulada de 191 M, el 1 % del NOPAT, con un capex bruto medio del 4,2 % de las ventas). En un negocio de activos ligeros, el crecimiento medio del 3,3 %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precio +11-12 puntos en el 1S26 que se suaviza en el 2S, volumen −5 % en el semestre, 1,5 puntos de LesserEvil y 0,2 de divisa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Algoritmo en la parte baja (2 %) por la Pascua corta [19]; el volumen vuelve con el cacao más barato y precio neto +1,5 % tras promociones; mezcla de salados +0,5.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del algoritmo del 2-4 % [20]: volumen +1,5 % (snacks salados y recuperación de confitería), precio +1,5 %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los snacks salados crecen el doble que la confitería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w:t>
            </w:r>
          </w:p>
        </w:tc>
      </w:tr>
    </w:tbl>
    <w:p>
      <w:pPr>
        <w:spacing w:after="160" w:before="0"/>
      </w:pPr>
    </w:p>
    <w:p>
      <w:pPr>
        <w:spacing w:after="100"/>
      </w:pPr>
      <w:r>
        <w:t xml:space="preserve">Sí. El crecimiento proyectado (3,3 % de media) está por debajo del mercado del chocolate (4 % en valor) [22] y casi no pide capital: reinversión del 1 % del NOPAT, con un capex del 4,2 % de las ventas. El motor no hace la prueba de reinversión por ser casi nula, así que la prueba es el poder de precios y la cuota. El precio está demostrado: subió un 8 % en 2022 con volumen positivo y trasladó el cacao en 2025-2026 sin perder margen de segmento salvo en Internacional [1, 15]. La cuota no se mide con el mercado final (la del 7,8 % es solo de chocolate, y Hershey vende además caramelos, chicles y snacks salados): a mano, nuestras ventas de 2030e (≈ 14.500 M) suponen mantener una cuota del chocolate de ≈ 8 % si crece igual que el mercado. Lo que no está probado es el volumen: −10 % en confitería en el 2T26 [3].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(base: 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26,4 % (base: 27,5 %)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8,1 %)</w:t>
            </w:r>
          </w:p>
        </w:tc>
      </w:tr>
    </w:tbl>
    <w:p>
      <w:pPr>
        <w:spacing w:after="160" w:before="0"/>
      </w:pPr>
    </w:p>
    <w:p>
      <w:pPr>
        <w:spacing w:after="100"/>
      </w:pPr>
      <w:r>
        <w:t xml:space="preserve">El DCF da 174,17 USD por acción, un 6,0 % por encima del precio, con un WACC del 8,05 % y el valor terminal en el 68 %. El DCF inverso dice que a 164,25 USD el mercado descuenta un crecimiento del 2,2 % al año en 2027e-2033e (nuestro caso base: 3,1 %) o un margen EBITDA del 26,4 % (base: 27,5 %): un punto menos de crecimiento o un punto menos de margen que nosotros, es decir, que la recuperación se queda a medias. La rentabilidad implícita es del 8,3 %, casi igual que nuestro WACC: el precio no está barato frente a un bono del Tesoro al 5,21 %, pero sí frente a su historia (17 veces el BPA de 2027 frente a 21,5 de mediana). Con la prima de riesgo que hoy pide el mercado (4,2 %) el DCF sube a 203,62 USD. La tabla de sensibilidad muestra el riesgo: con el WACC medio punto más alto el valor cae por debajo del precio. El valor depende de que el margen vuelva a niveles de 2022-2023; si el cacao rebota, no vuelve.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cacao vuelve a 8.000-10.000 USD/t por El Niño y la cosecha de Ghana, y Hershey no puede subir precios otra vez con el volumen ya a −10 %: el margen se queda en el nivel de 2026 y los GLP-1 restan volumen cada año. Es lo que pasó en 2025 (BPA ajustado −33 %).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cacao se queda en 5.000-6.000 USD/t, el volumen deja de caer en 2027 y el margen EBITDA ajustado recupera dos tercios de lo perdido hasta 2029; los snacks salados crecen el doble que la confitería.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cacao baja a 3.500-4.500 USD/t, Hershey conserva casi todo el precio y el volumen vuelve con la innovación; el margen supera al de 2023 y el algoritmo del día del inversor se cumple por arriba.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64,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167,62 USD (+2,1 %).</w:t>
      </w:r>
    </w:p>
    <w:p>
      <w:pPr>
        <w:spacing w:after="100"/>
      </w:pPr>
      <w:r>
        <w:t xml:space="preserve">La asimetría del DCF es mala: el alcista gana un 21,8 % (200,09 USD) y el bajista pierde un 25,7 % (122,03 USD), porque el margen tiene más camino hacia abajo (cacao) que hacia arriba (ya suponemos casi el margen de 2023). A 12 meses la asimetría es mejor (alcista 237,82, bajista 132,53 USD) porque el múltiplo de partida es bajo: con la regla de múltiplos, el bajista ya se aplica sobre un PER del 15,5 veces. Compensa a 12 meses, no como inversión a largo plazo con un DCF que da solo un 6 % sobre el precio.</w:t>
      </w:r>
    </w:p>
    <w:p>
      <w:pPr>
        <w:pStyle w:val="Heading1"/>
      </w:pPr>
      <w:r>
        <w:t xml:space="preserve">22. Suma de partes</w:t>
      </w:r>
    </w:p>
    <w:p>
      <w:pPr>
        <w:pStyle w:val="Confianza"/>
        <w:spacing w:after="100"/>
      </w:pPr>
      <w:r>
        <w:t xml:space="preserve">Confianza: Alta</w:t>
      </w:r>
    </w:p>
    <w:p>
      <w:pPr>
        <w:spacing w:after="100"/>
      </w:pPr>
      <w:r>
        <w:t xml:space="preserve">No aplica: la confitería de Norteamérica da el 91 % del resultado de los segmentos y los snacks salados (9 %) no cambian el valor lo bastante para justificar una valoración por partes con comparables propios.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64,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173,69 USD (+5,7 % sobre 164,25).</w:t>
      </w:r>
    </w:p>
    <w:p>
      <w:pPr>
        <w:spacing w:after="100"/>
      </w:pPr>
      <w:r>
        <w:t xml:space="preserve">Pesos: DCF 50 %, comparables 20 % y escenarios 30 %. El DCF es el método más fiable para un negocio estable con márgenes conocidos, pero depende del WACC: con la prima de riesgo del mercado (4,2 %) daría 203,62 USD y con la nuestra 174,17 USD. Los comparables (mediana del PER de 19,0 veces) dan 181,59 USD; no usamos el EV/EBITDA porque los comparables japoneses y Orion cotizan a 4-9 veces con márgenes de otro tipo. Las transacciones (16-17 veces el EBITDA) darían más, pero el fideicomiso de control hace improbable una compra. El valor intrínseco resultante es de 173,69 USD (+5,7 %), dentro de un rango estrecho (DCF 148-211 USD con WACC y crecimiento ± 0,5).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(17.6x) × 1.1 (tope: la mediana de 5 años, 21.5x,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r>
    </w:tbl>
    <w:p>
      <w:pPr>
        <w:spacing w:after="160" w:before="0"/>
      </w:pPr>
    </w:p>
    <w:p>
      <w:pPr>
        <w:spacing w:after="100"/>
      </w:pPr>
      <w:r>
        <w:rPr>
          <w:b/>
          <w:bCs/>
        </w:rPr>
        <w:t xml:space="preserve">Objetivo a 12 meses (ponderado):</w:t>
      </w:r>
      <w:r>
        <w:t xml:space="preserve"> 191,04 USD · rentabilidad +19,7 % (base +23,3 %) · señal Comprar.</w:t>
      </w:r>
    </w:p>
    <w:p>
      <w:pPr>
        <w:spacing w:after="100"/>
      </w:pPr>
      <w:r>
        <w:t xml:space="preserve">Para comparar, con la regla v2 (historia al cierre, mismo precio): 15,0x / 17,6x / 22,9x, 15,7 % Comprar; con el tope anterior del base (×1,3, 14-oct mediodía): 20,2 %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(9,32 USD) queda un 5 % por debajo del consenso (9,85) [38]: suponemos una recuperación de margen más lenta (EBITDA del 26,0 %) porque parte del cacao barato se devuelve en precio y el volumen sigue débil. Para 2028e no hay consenso gratuito; nuestro 10,15 USD supone un +9 % sobre 2027e. Nuestro objetivo ponderado (191,04 USD) está un 5 % por debajo del objetivo medio de 23 analistas (201,05 USD; rango 170-250) [38]: la diferencia es de BPA, no de múltiplo.</w:t>
      </w:r>
    </w:p>
    <w:p>
      <w:pPr>
        <w:keepNext/>
        <w:spacing w:after="100"/>
      </w:pPr>
      <w:r>
        <w:rPr>
          <w:b/>
          <w:bCs/>
        </w:rPr>
        <w:t xml:space="preserve">Del valor intrínseco al objetivo a 12 meses.</w:t>
      </w:r>
    </w:p>
    <w:p>
      <w:pPr>
        <w:spacing w:after="100"/>
      </w:pPr>
      <w:r>
        <w:t xml:space="preserve">El objetivo a 12 meses (191,04 USD ponderado; 196,91 en el base) está un 10 % por encima del valor intrínseco (173,69 USD). El objetivo supone que el mercado vuelva a pagar 19,4 veces el BPA de 2028e (hoy 17,6 veces el de 2027e), aún por debajo de su historia (21,5 veces), mientras que el DCF con una tasa libre del 5,21 % da menos valor. Para cerrar la distancia hacen falta dos hechos con fecha: los resultados del 3T26 (29-oct-2026), donde la dirección espera el mayor crecimiento del BPA del año, y la guía de 2027 (febrero de 2027), que dirá cuánto margen aporta el cacao más barato.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el mayor crecimiento del BPA del año; vigilar volumen de confitería y cuota de Halloween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Circana de Halloween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volumen de temporada con precios altos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margen bruto da el cacao más barato y cuánto precio se devuelve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Cosecha principal de cacao de Costa de Marfil y Ghana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coste de 2027-2028; Ghana prevé 450.000-550.000 t por la escoba de bruja y El Niño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ordinarias del fideicomiso de control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70.000 acciones por semana desde marzo; un final de las ventas quitaría presión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definitiva del antiguo director financiero y del director de cadena de suministro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ejecución del plan de ahorros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del cacao (El Niño, cosecha de Ghana) que devuelve el coste a 8.000-10.000 USD/t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12-24 meses y poder de precio demostrado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Futuro de cacao por encima de 8.000 USD/t durante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que no se recupera: elasticidad que se convierte en pérdida de hábito y de cuota en CMG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promociones y tamaños pequeños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Confitería de Norteamérica negativo en el 4T26 y el 1T27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menos consumo de dulces entre usuarios que crecen cada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(crecimiento terminal del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Snacks salados, de proteína y sin azúcar (Lily's, ONE, Fulfil)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al consumidor de CMG por debajo del 2 % con precio plano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 blanca y promociones de Mars, Ferrero y Mondelez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conveniencia y marcas líderes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CMG bajando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un cliente (McLane, 27 % de las ventas) y en EE. UU. (88 %)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McLane es distribuidor, no comprador final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las condiciones de Walmart o McLane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con un equipo nuevo (consejero delegado, financiero,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Relevos ordenados y plan del día del inversor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Incumplimiento de la guía de 2026 o del ahorro de 100 M del programa AAA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continuada del fideicomiso de control y gobierno sin protección de minoritarios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son menos del 1 % del capital y no afectan a las clase B</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acciones de clase B o venta en bloque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Inteligencia artificial: bajo. Producto físico de marca; solo efectos indirectos (asistentes de compra y precios dinámicos de la distribución que comparan con la marca blanca)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usa la IA en planificación y cadena de suministro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del comercio electrónico con asistentes en las ventas de EE. UU.</w:t>
            </w:r>
          </w:p>
        </w:tc>
      </w:tr>
    </w:tbl>
    <w:p>
      <w:pPr>
        <w:spacing w:after="160" w:before="0"/>
      </w:pPr>
    </w:p>
    <w:p>
      <w:pPr>
        <w:pStyle w:val="Heading2"/>
      </w:pPr>
      <w:r>
        <w:t xml:space="preserve">Pre-mortem</w:t>
      </w:r>
    </w:p>
    <w:p>
      <w:pPr>
        <w:spacing w:after="100"/>
      </w:pPr>
      <w:r>
        <w:t xml:space="preserve">Es octubre de 2029 y la acción ha perdido un 40 %, hasta unos 100 USD. Qué pasó: en la primavera de 2027 El Niño y la escoba de bruja hundieron la cosecha de Ghana, y el cacao volvió por encima de 9.000 USD/t a finales de 2027. Las coberturas aguantaron un año; en 2028 el margen bruto ajustado volvió al 37 % de 2025. Hershey no pudo subir precios otra vez: el volumen de confitería llevaba ocho trimestres en negativo y la cuota de CMG seguía cayendo frente a la innovación de Mars y Ferrero y frente a la marca blanca. Los usuarios de GLP-1 pasaron del 8 % al 15 % de los adultos de EE. UU. y la categoría dejó de crecer en volumen. El BPA de 2028 se quedó en 7,50 USD y el mercado, con el bono al 5 %, pagó 13-14 veces. El fideicomiso siguió vendiendo y en 2028 convirtió parte de sus clase B para diversificar. Indicadores que lo habrían anticipado: el futuro de cacao por encima de 8.000 USD/t durante un trimestre, el volumen de confitería negativo en el 4T26 y el 1T27, y una guía de 2027 con BPA por debajo de 9 USD.</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el cacao: abastecimiento de Costa de Marfil y Ghana con riesgo de trabajo infantil, deforestación (EUDR) y clima; Hershey compra desde su sociedad suiza y declara programas de origen sostenible [1]. Segundo, el azúcar y la salud: etiquetado, impuestos al azúcar y el efecto de los GLP-1 en el consumo [20]. Tercero, envases de plástico y emisiones de las fábricas, con menos peso en la cuenta.</w:t>
      </w:r>
    </w:p>
    <w:p>
      <w:pPr>
        <w:pStyle w:val="Heading2"/>
      </w:pPr>
      <w:r>
        <w:t xml:space="preserve">Controversias</w:t>
      </w:r>
    </w:p>
    <w:p>
      <w:pPr>
        <w:spacing w:after="100"/>
      </w:pPr>
      <w:r>
        <w:t xml:space="preserve">Estudios de Consumer Reports de 2022-2023 sobre plomo y cadmio en el chocolate negro, que afectaron a Hershey y a otros fabricantes, con demandas colectivas en EE. UU.; demandas recurrentes por trabajo infantil en la cadena del cacao contra los grandes fabricantes [22]. En septiembre de 2026 ganó un pleito por el envase de las calabazas de Reese's de Halloween. Ninguna sanción relevante en los últimos tres años en el 10-K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del cacao de 2027 está cubierto y a qué precio medio frente al futuro de hoy (5.728 USD/t)?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margen bruto de 2027 y el BPA del ejercicio objetivo.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precio de 2025-2026 piensan devolver en promociones en 2027 y en qué marcas?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precio neto +1,5 %; si se devuelve más, el margen no vuelve.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−10 % de volumen de confitería del 2T26 es elasticidad y qué parte es reposición de inventario de los distribuidores?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pasajero de una pérdida de hábito.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dicen sus paneles de consumidores sobre el gasto en dulces de los hogares con un usuario de GLP-1?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estructural que el mercado más descuenta y la empresa no cuantifica.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Fideicomiso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límite o un calendario para las ventas de ordinarias del fideicomiso y descarta convertir acciones de clase 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vendedora y gobierno.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devolver a beneficio un segmento que pasó del 15,6 % de margen en 2023 a pérdidas en 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Destruye valor y resta un punto de margen al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Snacks salados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rendimiento sobre lo invertido dan las compras de salados (≈ 3.600 M desde 2018) y cuándo llegará el segmento al 20 % de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estrategia de crecimiento y su ROIC es bajo.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agosto casi todos los autores suben la recomendación («oportunidad de compra en la caída», «la tesis bajista se ha derretido») con la vuelta del margen; los titulares negativos son el rebote del cacao y del azúcar por El Niño y el impulso más débil del consumo básico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compran por rentabilidad por dividendo (≈3,5 %) y por el soporte técnico, frente a quienes ven valor intrínseco por debajo de 140 USD, señalan las ventas diarias del fideicomiso y temen el efecto de los GLP-1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(resúmenes de registros)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las ventas del fideicomiso como diversificación sin pérdida de control (mantiene las clase B)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sectorial (ConfectioneryNews)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Relaciona la caída de la acción con el beneficio de 2025, la salida del presidente de EE. UU. y las ventas del fideicomiso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del margen con el cacao más barato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2026: margen bruto ajustado del 41,6 % en el 2T26; el riesgo es que el cacao rebotó a 5.728 USD/t y que parte se devuelve en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fideicomiso de control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≈1,45 M acciones (267 M USD) en siete meses, menos del 1 % del capital; no afecta a las clase B ni al control.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 y volumen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cae (−10 % en confitería en el 2T26), pero la empresa lo atribuye a la elasticidad al precio; no hay cifra que separe el efecto de los GLP-1.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5,81 USD anualizado (3,5 %) cubierto con el BPA de 2026; PER de 17 veces, el más bajo en diez años.</w:t>
            </w:r>
          </w:p>
        </w:tc>
      </w:tr>
    </w:tbl>
    <w:p>
      <w:pPr>
        <w:spacing w:after="160" w:before="0"/>
      </w:pPr>
    </w:p>
    <w:p>
      <w:pPr>
        <w:spacing w:after="100"/>
      </w:pPr>
      <w:r>
        <w:t xml:space="preserve">El sentimiento ha girado de negativo (primavera: beneficio de 2025, rotación de directivos, ventas del fideicomiso) a dividido con sesgo comprador desde agosto, mientras la acción seguía cayendo hasta su mínimo del 1-oct. No es euforia: los particulares compran por dividendo y por precio, y los escépticos tienen dos argumentos que el informe recoge (volumen y GLP-1). La venta del fideicomiso es el único tema que el mercado sobrestima: es pequeña frente al volumen diario (≈1,4 M acciones). No contradice al consenso de analistas, que también es comprador.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4 explicados. Fuentes: 50 (28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10,2 %: explica la causa (créditos fiscales, regularizaciones, mezcla de países) y no lo proyectes en el DCF. Explicación: El 10,2 % de 2024 sale de las inversiones en créditos fiscales (su coste va a «otros gastos», 258,6 M) y de la mezcla de países; la empresa guía un 25-27 % para 2026 y el DCF usa 25,5-26 %.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7,96 calculado frente a 8,52 publicado (con convertibles, el BPA diluido publicado ajusta el numerador: explícalo si la diferencia viene de ahí). Explicación: El BPA de la serie es el ajustado de la empresa (sin derivados de cacao a valor razonable, reorganización ni compras), no el publicado: 8,52 frente a 7,96 en 2022, 9,37 frente a 10,92 en 2024 y 6,31 frente a 4,34 en 2025. Es la base del encargo y la del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10,91 calculado frente a 9,37 publicado (con convertibles, el BPA diluido publicado ajusta el numerador: explícalo si la diferencia viene de ahí). Explicación: El BPA de la serie es el ajustado de la empresa (sin derivados de cacao a valor razonable, reorganización ni compras), no el publicado: 8,52 frente a 7,96 en 2022, 9,37 frente a 10,92 en 2024 y 6,31 frente a 4,34 en 2025. Es la base del encargo y la del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4,34 calculado frente a 6,31 publicado (con convertibles, el BPA diluido publicado ajusta el numerador: explícalo si la diferencia viene de ahí). Explicación: El BPA de la serie es el ajustado de la empresa (sin derivados de cacao a valor razonable, reorganización ni compras), no el publicado: 8,52 frente a 7,96 en 2022, 9,37 frente a 10,92 en 2024 y 6,31 frente a 4,34 en 2025. Es la base del encargo y la del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7,7 % real: genera una variación de circulante de 76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fuentes (28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6, 7, 8, 16, 34,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menciona la calificación en general); 2) 10-Q del 2T26 (sin dato); 3) comunicados de las emisiones de bonos de 2025 en EDGAR (no se leyeron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 salvo el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(no lo dan); 2) búsqueda de prensa (solo el 2T26: 1,90 frente a 1,43 USD); 3) Stock Analysis (sin histórico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(no las publican); 2) web de la empresa (no consultada por presupuesto); 3) proveedores de calificaciones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margen de Mars, Ferrero y Nestlé (chocolate)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Mars y Ferrero no cotizan ni publican cuentas completas; 2) Nestlé no separa el chocolate; 3) ficha sectorial (solo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EBIT del consenso, estimaciones de 2028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(la ficha de Hershey sale como «Inactive Instrument»); 2) Stock Analysis (solo BPA y ventas 2026-2027); 3) búsqueda de prensa (solo objetivos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 los comparables salvo Lindt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lo da); 2) Stock Analysis (de pago); 3) ficha sectorial (n.d.)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NYSE (de pago); 2) Stock Analysis (de pago); 3) Finviz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consolidadas y notas: 4 deuda, 13 segmentos, pensiones, compras; MD&amp;A)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https://www.sec.gov/Archives/edgar/data/47111/000162828026008586/hsy-20251231.htm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(balance a 28-jun-2026, flujos del semestre, autocartera y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https://www.sec.gov/Archives/edgar/data/47111/000162828026050900/hsy-20260628.htm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Second-Quarter 2026 Financial Results (guía 2026, conciliación del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https://www.sec.gov/Archives/edgar/data/47111/000162828026050769/exhibit991_2026xq2.htm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Fourth-Quarter and Full-Year 2025 Results (BPA ajustado 2025 y 2024;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https://www.sec.gov/Archives/edgar/data/47111/000162828026005604/exhibit991-q42025.htm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First-Quarter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https://www.sec.gov/Archives/edgar/data/47111/000162828026028569/exhibit991_2026xq1.htm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Third-Quarter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https://www.sec.gov/Archives/edgar/data/47111/000162828025047294/exhibit991_2025xq3.htm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Second-Quarter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https://www.sec.gov/Archives/edgar/data/47111/000004711125000109/exhibit991_2025xq2.htm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First-Quarter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https://www.sec.gov/Archives/edgar/data/47111/000004711125000040/exhibit991_2025xq1.htm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Fourth-Quarter and Full-Year 2024 Results (BPA ajustado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https://www.sec.gov/Archives/edgar/data/47111/000004711125000011/exhibit991-q42024.htm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Fourth-Quarter and Full-Year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https://www.sec.gov/Archives/edgar/data/47111/000004711124000004/exhibit991-q42023.htm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Fourth-Quarter and Full-Year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https://www.sec.gov/Archives/edgar/data/47111/000004711123000003/exhibit991-q42022.htm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Fourth-Quarter and Full-Year 2021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https://www.sec.gov/Archives/edgar/data/47111/000004711122000008/exhibit991-q42021.htm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Fourth-Quarter and Full-Year 2020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https://www.sec.gov/Archives/edgar/data/47111/000004711121000004/exhibit991-q42020.htm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Fourth-Quarter and Full-Year 2019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https://www.sec.gov/Archives/edgar/data/47111/000004711120000003/exhibit9912019q4.htm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(segmentos 2020-2022, compras de 2021, dividendos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https://www.sec.gov/Archives/edgar/data/47111/000004711123000012/hsy-20221231.htm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2020 (dividendos por acción 2018-2020)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https://www.sec.gov/Archives/edgar/data/47111/000004711121000007/hsy-20201231.htm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Hershey (deuda a corto y largo, arrendamientos financieros,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https://data.sec.gov/api/xbrl/companyfacts/CIK0000047111.json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Hershey Unveils Strategy to Lead Next Generation Snacking at 2026 Investor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https://www.sec.gov/Archives/edgar/data/47111/000162828026022272/exhibit991-pressreleasedat.htm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(HSY) Q2 2026 Q&amp;A: resumen de la conferencia (marco 2027, margen bruto, elasticidades)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https://quartr.com/events/the-hershey-company-hsy-q2-2026-q-a_3gheY3Oj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Hershey Investor Day: objetivos a largo plazo (2-4 % orgánico, BPA +6-8 %, margen bruto ≈41 % en 2026 y ≈44 %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https://www.tikr.com/blog/hershey-investor-day-just-laid-out-a-path-to-312-what-is-the-market-missing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Hershey completes acquisition of LesserEvil (precio de ≈750 M USD según la prensa; ventas de 165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Business News / NOSH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https://www.nosh.com/news/2025/hershey-to-acquire-lesserevil-snacks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«Chocolate y confitería prémium» (tamaño del chocolate mundial, cuotas Euromonitor, ciclo del cacao)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sectores/chocolate-2026-10-14.md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«Galletas y snacks de marca» (márgenes de las marcas globales, riesgos GLP-1 y marca blanca)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sectores/galletas-snacks-2026-10-14.md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Cocoa futures (CC=F), cierres mensuales 2024-2026: 10.987 USD/t en ene-2025, 3.494 en abr-2026, 6.650 en ago-2026 y 5.728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https://finance.yahoo.com/quote/CC%3DF/history/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Lindt &amp; Sprüngli (14-oct-2026): ventas, margen EBIT, volumen/mezcla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informes/lindt-2026-10-14/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International: ventas y beneficio operativo 2025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https://data.sec.gov/api/xbrl/companyfacts/CIK0001103982.json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ventas y beneficio operativo 2025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https://data.sec.gov/api/xbrl/companyfacts/CIK0000077476.json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Definitive proxy statement 2026 (Milton Hershey School Trust y Hershey Trust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https://www.sec.gov/Archives/edgar/data/47111/000162828026021065/hsy-20260325.htm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Hershey rejects $23 billion Mondelez takeover offer; Mondelez's bid gaps in Hershey (bloqueo de 2002)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Fortune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https://www.cnbc.com/2016/07/01/hershey-rejects-23-billion-mondelez-takeover-offer.html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(voto consultivo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https://www.sec.gov/Archives/edgar/data/47111/000162828026032947/hsy-20260505.htm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y nota de prensa: Dave Hulays,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https://www.sec.gov/Archives/edgar/data/47111/000162828026060131/hsy-20260902.htm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del presidente de EE. UU. (Andrew Archambault)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https://www.sec.gov/Archives/edgar/data/47111/000162828026025076/hsy-20260414.htm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Mitchell Arends, director de cadena de suministro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https://www.sec.gov/Archives/edgar/data/47111/000162828026038847/exhibit991-pressreleasedat.htm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del consejero Joe Park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Hershey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https://www.sec.gov/Archives/edgar/data/47111/000162828026041894/hsy-20260603.htm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Hershey, 14-oct-2025 a 14-oct-2026 (herramienta form4.mjs sobre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https://www.sec.gov/cgi-bin/browse-edgar?action=getcompany&amp;CIK=0000047111&amp;type=4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Hershey stakeholder sells 30,000 shares following profit shock (anuncio del fideicomiso del 17-mar-2026)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FoodNavigator / BakeryandSnacks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https://www.bakeryandsnacks.com/Article/2026/04/23/hershey-stakeholder-sells-30000-shares-following-profit-shock-and-share-price-drop/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HSY, ^GSPC y XLP (herramientas/bolsa.mjs, cierre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https://finance.yahoo.com/quote/HSY/history/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HSY forecast: estimaciones de ventas y BPA 2026-2027, 23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https://stockanalysis.com/stocks/hsy/forecast/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la ficha «Chocolate y confitería prémium» (Yahoo, 14-oct-2026, CHF; pasados a USD a 0,8349 CHF/USD)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sectores/chocolate-2026-10-14-comparables.json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USD/CHF y USD/EUR, cierre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https://finance.yahoo.com/quote/CHF%3DX/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J.M. Smucker confirms deal to buy Hostess Brands for $5.6bn (≈17,2 veces el EBITDA ajustado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Food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https://www.just-food.com/news/j-m-smucker-confirms-deal-to-buy-hostess-brands-for-5-6bn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Hershey Stock Drops as Earnings Beat Overshadows Volume Slide (2T26: BPA 1,90 frente a 1,43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https://www.webull.com/news/15317460641276928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Hershey to webcast third quarter conference call (resultados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https://finviz.com/news/400861/hershey-to-webcast-third-quarter-conference-call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análisis de HSY (RSS,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https://seekingalpha.com/symbol/HSY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de $HSY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https://stocktwits.com/symbol/HSY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Milton Hershey School Trust sells 30,000 Hershey shares: what investors should know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https://www.fool.com/coverage/filings/2026/07/18/milton-hershey-school-trust-sells-30-000-hershey-shares-for-usd5-2-million-here-s-what-investors-should-know/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Hershey stakeholder sells 30,000 shares following profit shock (comentario y reacción)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ConfectioneryNews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https://confectionerynews.com/Article/2026/04/23/hershey-stakeholder-sells-30000-shares-following-profit-shock-and-share-price-drop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Food Processing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88,0 %</w:t>
      </w:r>
      <w:r>
        <w:t xml:space="preserve"> · Secciones con menos del 60 % de campos cubiertos: </w:t>
      </w:r>
      <w:r>
        <w:rPr>
          <w:b/>
          <w:bCs/>
        </w:rPr>
        <w:t xml:space="preserve">ninguna</w:t>
      </w:r>
      <w:r>
        <w:t xml:space="preserve"> · Generado el 14 oct 2026.</w:t>
      </w:r>
    </w:p>
    <w:p>
      <w:pPr>
        <w:pStyle w:val="Nota"/>
        <w:spacing w:after="100"/>
      </w:pPr>
      <w:r>
        <w:t xml:space="preserve">Cotiza la acción ordinaria (HSY, NYSE); las de clase B (10 votos, 10 % menos de dividendo) no cotizan y se cuentan como ordinarias en el número de acciones (200,9 M en circulación a 27-jul-2026 más 0,6 M de dilución) [2]. Todo en USD. El BPA de todo el informe es el AJUSTADO de la empresa (sin derivados de materias primas a valor razonable, reorganización, compras e integración ni deterioros), y la cuenta es la publicada con esas partidas devueltas al EBITDA como partidas no recurrentes [4]. Deuda: corto plazo (papel comercial y bancos) + parte corriente + largo plazo, con los arrendamientos financieros dentro; los operativos no cuentan (US GAAP) [17]. La herramienta cuentas.mjs solo sumaba la deuda a corto en 2021-2025 (219 M en 2025 frente a 5.403 M reales): corregido a mano con la nota 4 del 10-K y los conceptos XBRL de largo plazo [1, 17]. Consenso de una sola fuente gratuita con estimaciones (Stock Analysis); MarketScreener da la ficha de Hershey como inactiva. Comparables de la ficha sectorial del mismo día, pasados de CHF a USD.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 Hershey Company (HSY)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(156,16 – 239,48)</c:v>
                </c:pt>
                <c:pt idx="1">
                  <c:v>Precio objetivo de los analistas (170,00 – 250,00)</c:v>
                </c:pt>
                <c:pt idx="2">
                  <c:v>Comparables: PER NTM (158,65 – 235,11)</c:v>
                </c:pt>
                <c:pt idx="3">
                  <c:v>DCF (WACC y g ± 0,5) (148,21 – 211,38)</c:v>
                </c:pt>
                <c:pt idx="4">
                  <c:v>Escenarios (bajista – alcista) (122,03 – 200,09)</c:v>
                </c:pt>
                <c:pt idx="5">
                  <c:v>DCF con la prima implícita del mercado (4,2 %)</c:v>
                </c:pt>
                <c:pt idx="6">
                  <c:v>Precio actual (164,25)</c:v>
                </c:pt>
              </c:strCache>
            </c:strRef>
          </c:cat>
          <c:val>
            <c:numRef>
              <c:f>Hoja1!$B$2:$B$8</c:f>
              <c:numCache>
                <c:formatCode>#,##0</c:formatCode>
                <c:ptCount val="7"/>
                <c:pt idx="0">
                  <c:v>156.16</c:v>
                </c:pt>
                <c:pt idx="1">
                  <c:v>170</c:v>
                </c:pt>
                <c:pt idx="2">
                  <c:v>158.65</c:v>
                </c:pt>
                <c:pt idx="3">
                  <c:v>148.21</c:v>
                </c:pt>
                <c:pt idx="4">
                  <c:v>122.03</c:v>
                </c:pt>
                <c:pt idx="5">
                  <c:v>182.38</c:v>
                </c:pt>
                <c:pt idx="6">
                  <c:v>163.43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(156,16 – 239,48)</c:v>
                </c:pt>
                <c:pt idx="1">
                  <c:v>Precio objetivo de los analistas (170,00 – 250,00)</c:v>
                </c:pt>
                <c:pt idx="2">
                  <c:v>Comparables: PER NTM (158,65 – 235,11)</c:v>
                </c:pt>
                <c:pt idx="3">
                  <c:v>DCF (WACC y g ± 0,5) (148,21 – 211,38)</c:v>
                </c:pt>
                <c:pt idx="4">
                  <c:v>Escenarios (bajista – alcista) (122,03 – 200,09)</c:v>
                </c:pt>
                <c:pt idx="5">
                  <c:v>DCF con la prima implícita del mercado (4,2 %)</c:v>
                </c:pt>
                <c:pt idx="6">
                  <c:v>Precio actual (164,25)</c:v>
                </c:pt>
              </c:strCache>
            </c:strRef>
          </c:cat>
          <c:val>
            <c:numRef>
              <c:f>Hoja1!$C$2:$C$8</c:f>
              <c:numCache>
                <c:formatCode>#,##0</c:formatCode>
                <c:ptCount val="7"/>
                <c:pt idx="0">
                  <c:v>83.32</c:v>
                </c:pt>
                <c:pt idx="1">
                  <c:v>80</c:v>
                </c:pt>
                <c:pt idx="2">
                  <c:v>76.46000000000001</c:v>
                </c:pt>
                <c:pt idx="3">
                  <c:v>63.16999999999999</c:v>
                </c:pt>
                <c:pt idx="4">
                  <c:v>78.06</c:v>
                </c:pt>
                <c:pt idx="5">
                  <c:v>47.41</c:v>
                </c:pt>
                <c:pt idx="6">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Confitería de Norteamérica</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7084.9</c:v>
                </c:pt>
                <c:pt idx="1">
                  <c:v>7682.4</c:v>
                </c:pt>
                <c:pt idx="2">
                  <c:v>8536.5</c:v>
                </c:pt>
                <c:pt idx="3">
                  <c:v>9123.1</c:v>
                </c:pt>
                <c:pt idx="4">
                  <c:v>9118.6</c:v>
                </c:pt>
                <c:pt idx="5">
                  <c:v>9479.7</c:v>
                </c:pt>
              </c:numCache>
            </c:numRef>
          </c:val>
        </c:ser>
        <c:ser>
          <c:idx val="1"/>
          <c:order val="1"/>
          <c:tx>
            <c:strRef>
              <c:f>Hoja1!$C$1</c:f>
              <c:strCache>
                <c:ptCount val="1"/>
                <c:pt idx="0">
                  <c:v>Snacks salados de Norteamérica</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438.2</c:v>
                </c:pt>
                <c:pt idx="1">
                  <c:v>555.4</c:v>
                </c:pt>
                <c:pt idx="2">
                  <c:v>1029.4</c:v>
                </c:pt>
                <c:pt idx="3">
                  <c:v>1092.7</c:v>
                </c:pt>
                <c:pt idx="4">
                  <c:v>1135.7</c:v>
                </c:pt>
                <c:pt idx="5">
                  <c:v>1271.3</c:v>
                </c:pt>
              </c:numCache>
            </c:numRef>
          </c:val>
        </c:ser>
        <c:ser>
          <c:idx val="2"/>
          <c:order val="2"/>
          <c:tx>
            <c:strRef>
              <c:f>Hoja1!$D$1</c:f>
              <c:strCache>
                <c:ptCount val="1"/>
                <c:pt idx="0">
                  <c:v>Internacional</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626.6</c:v>
                </c:pt>
                <c:pt idx="1">
                  <c:v>733.5</c:v>
                </c:pt>
                <c:pt idx="2">
                  <c:v>853.4</c:v>
                </c:pt>
                <c:pt idx="3">
                  <c:v>949.2</c:v>
                </c:pt>
                <c:pt idx="4">
                  <c:v>948</c:v>
                </c:pt>
                <c:pt idx="5">
                  <c:v>941.6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Confitería de Norteamérica</c:v>
                </c:pt>
                <c:pt idx="1">
                  <c:v>Snacks salados de Norteamérica</c:v>
                </c:pt>
                <c:pt idx="2">
                  <c:v>Internacional</c:v>
                </c:pt>
              </c:strCache>
            </c:strRef>
          </c:cat>
          <c:val>
            <c:numRef>
              <c:f>Hoja1!$B$2:$B$4</c:f>
              <c:numCache>
                <c:formatCode>General</c:formatCode>
                <c:ptCount val="3"/>
                <c:pt idx="0">
                  <c:v>81.1</c:v>
                </c:pt>
                <c:pt idx="1">
                  <c:v>10.9</c:v>
                </c:pt>
                <c:pt idx="2">
                  <c:v>8.1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c:v>
                </c:pt>
                <c:pt idx="1">
                  <c:v>Resto del mundo</c:v>
                </c:pt>
              </c:strCache>
            </c:strRef>
          </c:cat>
          <c:val>
            <c:numRef>
              <c:f>Hoja1!$B$2:$B$3</c:f>
              <c:numCache>
                <c:formatCode>0"%"</c:formatCode>
                <c:ptCount val="2"/>
                <c:pt idx="0">
                  <c:v>87.7</c:v>
                </c:pt>
                <c:pt idx="1">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122200</c:v>
                </c:pt>
                <c:pt idx="1">
                  <c:v>127100</c:v>
                </c:pt>
                <c:pt idx="2">
                  <c:v>132200</c:v>
                </c:pt>
                <c:pt idx="3">
                  <c:v>137500</c:v>
                </c:pt>
                <c:pt idx="4">
                  <c:v>143000</c:v>
                </c:pt>
                <c:pt idx="5">
                  <c:v>145500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Hershey</c:v>
                </c:pt>
                <c:pt idx="1">
                  <c:v>Mars (Mars Wrigley)</c:v>
                </c:pt>
                <c:pt idx="2">
                  <c:v>Mondelez International</c:v>
                </c:pt>
                <c:pt idx="3">
                  <c:v>Ferrero</c:v>
                </c:pt>
                <c:pt idx="4">
                  <c:v>Nestlé</c:v>
                </c:pt>
                <c:pt idx="5">
                  <c:v>Lindt &amp; Sprüngli</c:v>
                </c:pt>
                <c:pt idx="6">
                  <c:v>PepsiCo (Frito-Lay)</c:v>
                </c:pt>
              </c:strCache>
            </c:strRef>
          </c:cat>
          <c:val>
            <c:numRef>
              <c:f>Hoja1!$B$2:$B$8</c:f>
              <c:numCache>
                <c:formatCode>0.0"%"</c:formatCode>
                <c:ptCount val="7"/>
                <c:pt idx="0">
                  <c:v>16.9</c:v>
                </c:pt>
                <c:pt idx="2">
                  <c:v>9.2</c:v>
                </c:pt>
                <c:pt idx="5">
                  <c:v>16.4</c:v>
                </c:pt>
                <c:pt idx="6">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7986.3</c:v>
                </c:pt>
                <c:pt idx="1">
                  <c:v>8149.7</c:v>
                </c:pt>
                <c:pt idx="2">
                  <c:v>8971.3</c:v>
                </c:pt>
                <c:pt idx="3">
                  <c:v>10419.3</c:v>
                </c:pt>
                <c:pt idx="4">
                  <c:v>11165</c:v>
                </c:pt>
                <c:pt idx="5">
                  <c:v>11202.3</c:v>
                </c:pt>
                <c:pt idx="6">
                  <c:v>11692.6</c:v>
                </c:pt>
                <c:pt idx="7">
                  <c:v>12242</c:v>
                </c:pt>
                <c:pt idx="8">
                  <c:v>12609</c:v>
                </c:pt>
                <c:pt idx="9">
                  <c:v>13051</c:v>
                </c:pt>
                <c:pt idx="10">
                  <c:v>13508</c:v>
                </c:pt>
                <c:pt idx="11">
                  <c:v>13980</c:v>
                </c:pt>
                <c:pt idx="12">
                  <c:v>14400</c:v>
                </c:pt>
                <c:pt idx="13">
                  <c:v>14832</c:v>
                </c:pt>
                <c:pt idx="14">
                  <c:v>15202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1979.4</c:v>
                </c:pt>
                <c:pt idx="1">
                  <c:v>2125.1</c:v>
                </c:pt>
                <c:pt idx="2">
                  <c:v>2368.8999999999996</c:v>
                </c:pt>
                <c:pt idx="3">
                  <c:v>2784.4</c:v>
                </c:pt>
                <c:pt idx="4">
                  <c:v>3118.8999999999996</c:v>
                </c:pt>
                <c:pt idx="5">
                  <c:v>3050.5</c:v>
                </c:pt>
                <c:pt idx="6">
                  <c:v>2474.1</c:v>
                </c:pt>
                <c:pt idx="7">
                  <c:v>3061</c:v>
                </c:pt>
                <c:pt idx="8">
                  <c:v>3278</c:v>
                </c:pt>
                <c:pt idx="9">
                  <c:v>3498</c:v>
                </c:pt>
                <c:pt idx="10">
                  <c:v>3674</c:v>
                </c:pt>
                <c:pt idx="11">
                  <c:v>3831</c:v>
                </c:pt>
                <c:pt idx="12">
                  <c:v>3960</c:v>
                </c:pt>
                <c:pt idx="13">
                  <c:v>4079</c:v>
                </c:pt>
                <c:pt idx="14">
                  <c:v>4181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45.4</c:v>
                </c:pt>
                <c:pt idx="1">
                  <c:v>45.4</c:v>
                </c:pt>
                <c:pt idx="2">
                  <c:v>45.1</c:v>
                </c:pt>
                <c:pt idx="3">
                  <c:v>43.2</c:v>
                </c:pt>
                <c:pt idx="4">
                  <c:v>44.8</c:v>
                </c:pt>
                <c:pt idx="5">
                  <c:v>47.3</c:v>
                </c:pt>
                <c:pt idx="6">
                  <c:v>33.5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24.8</c:v>
                </c:pt>
                <c:pt idx="1">
                  <c:v>26.1</c:v>
                </c:pt>
                <c:pt idx="2">
                  <c:v>26.4</c:v>
                </c:pt>
                <c:pt idx="3">
                  <c:v>26.7</c:v>
                </c:pt>
                <c:pt idx="4">
                  <c:v>27.9</c:v>
                </c:pt>
                <c:pt idx="5">
                  <c:v>27.2</c:v>
                </c:pt>
                <c:pt idx="6">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21.1</c:v>
                </c:pt>
                <c:pt idx="1">
                  <c:v>22.5</c:v>
                </c:pt>
                <c:pt idx="2">
                  <c:v>22.9</c:v>
                </c:pt>
                <c:pt idx="3">
                  <c:v>23.1</c:v>
                </c:pt>
                <c:pt idx="4">
                  <c:v>24.2</c:v>
                </c:pt>
                <c:pt idx="5">
                  <c:v>23.2</c:v>
                </c:pt>
                <c:pt idx="6">
                  <c:v>16.9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14.4</c:v>
                </c:pt>
                <c:pt idx="1">
                  <c:v>15.7</c:v>
                </c:pt>
                <c:pt idx="2">
                  <c:v>16.5</c:v>
                </c:pt>
                <c:pt idx="3">
                  <c:v>15.8</c:v>
                </c:pt>
                <c:pt idx="4">
                  <c:v>16.7</c:v>
                </c:pt>
                <c:pt idx="5">
                  <c:v>19.8</c:v>
                </c:pt>
                <c:pt idx="6">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0">
                  <c:v>8.7</c:v>
                </c:pt>
                <c:pt idx="1">
                  <c:v>-13.8</c:v>
                </c:pt>
                <c:pt idx="2">
                  <c:v>26</c:v>
                </c:pt>
                <c:pt idx="3">
                  <c:v>6.5</c:v>
                </c:pt>
                <c:pt idx="4">
                  <c:v>7</c:v>
                </c:pt>
                <c:pt idx="5">
                  <c:v>10.6</c:v>
                </c:pt>
                <c:pt idx="6">
                  <c:v>6.6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0">
                  <c:v>9</c:v>
                </c:pt>
                <c:pt idx="1">
                  <c:v>-13.2</c:v>
                </c:pt>
                <c:pt idx="2">
                  <c:v>26.3</c:v>
                </c:pt>
                <c:pt idx="3">
                  <c:v>6.2</c:v>
                </c:pt>
                <c:pt idx="4">
                  <c:v>5.7</c:v>
                </c:pt>
                <c:pt idx="5">
                  <c:v>7.9</c:v>
                </c:pt>
                <c:pt idx="6">
                  <c:v>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26</c:v>
                </c:pt>
                <c:pt idx="1">
                  <c:v>28</c:v>
                </c:pt>
                <c:pt idx="2">
                  <c:v>27</c:v>
                </c:pt>
                <c:pt idx="3">
                  <c:v>25</c:v>
                </c:pt>
                <c:pt idx="4">
                  <c:v>27</c:v>
                </c:pt>
                <c:pt idx="5">
                  <c:v>26</c:v>
                </c:pt>
                <c:pt idx="6">
                  <c:v>23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68</c:v>
                </c:pt>
                <c:pt idx="1">
                  <c:v>79</c:v>
                </c:pt>
                <c:pt idx="2">
                  <c:v>73</c:v>
                </c:pt>
                <c:pt idx="3">
                  <c:v>72</c:v>
                </c:pt>
                <c:pt idx="4">
                  <c:v>79</c:v>
                </c:pt>
                <c:pt idx="5">
                  <c:v>78</c:v>
                </c:pt>
                <c:pt idx="6">
                  <c:v>67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46</c:v>
                </c:pt>
                <c:pt idx="1">
                  <c:v>48</c:v>
                </c:pt>
                <c:pt idx="2">
                  <c:v>51</c:v>
                </c:pt>
                <c:pt idx="3">
                  <c:v>60</c:v>
                </c:pt>
                <c:pt idx="4">
                  <c:v>64</c:v>
                </c:pt>
                <c:pt idx="5">
                  <c:v>72</c:v>
                </c:pt>
                <c:pt idx="6">
                  <c:v>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1441.7</c:v>
                </c:pt>
                <c:pt idx="1">
                  <c:v>1253.6</c:v>
                </c:pt>
                <c:pt idx="2">
                  <c:v>1582.6</c:v>
                </c:pt>
                <c:pt idx="3">
                  <c:v>1803.6000000000001</c:v>
                </c:pt>
                <c:pt idx="4">
                  <c:v>1546.6999999999998</c:v>
                </c:pt>
                <c:pt idx="5">
                  <c:v>1919.1999999999998</c:v>
                </c:pt>
                <c:pt idx="6">
                  <c:v>1742.9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1149.7</c:v>
                </c:pt>
                <c:pt idx="1">
                  <c:v>1278.7</c:v>
                </c:pt>
                <c:pt idx="2">
                  <c:v>1477.5</c:v>
                </c:pt>
                <c:pt idx="3">
                  <c:v>1644.8</c:v>
                </c:pt>
                <c:pt idx="4">
                  <c:v>1861.8</c:v>
                </c:pt>
                <c:pt idx="5">
                  <c:v>2221.2</c:v>
                </c:pt>
                <c:pt idx="6">
                  <c:v>883.3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25.4</c:v>
                </c:pt>
                <c:pt idx="1">
                  <c:v>27.8</c:v>
                </c:pt>
                <c:pt idx="2">
                  <c:v>25.8</c:v>
                </c:pt>
                <c:pt idx="3">
                  <c:v>27.4</c:v>
                </c:pt>
                <c:pt idx="4">
                  <c:v>28.7</c:v>
                </c:pt>
                <c:pt idx="5">
                  <c:v>26.5</c:v>
                </c:pt>
                <c:pt idx="6">
                  <c:v>15.8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8.1</c:v>
                </c:pt>
                <c:pt idx="1">
                  <c:v>8.1</c:v>
                </c:pt>
                <c:pt idx="2">
                  <c:v>8.1</c:v>
                </c:pt>
                <c:pt idx="3">
                  <c:v>8.1</c:v>
                </c:pt>
                <c:pt idx="4">
                  <c:v>8.1</c:v>
                </c:pt>
                <c:pt idx="5">
                  <c:v>8.1</c:v>
                </c:pt>
                <c:pt idx="6">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66.1</c:v>
                </c:pt>
                <c:pt idx="1">
                  <c:v>64.4</c:v>
                </c:pt>
                <c:pt idx="2">
                  <c:v>59.2</c:v>
                </c:pt>
                <c:pt idx="3">
                  <c:v>54.3</c:v>
                </c:pt>
                <c:pt idx="4">
                  <c:v>50.3</c:v>
                </c:pt>
                <c:pt idx="5">
                  <c:v>50.4</c:v>
                </c:pt>
                <c:pt idx="6">
                  <c:v>18.9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1.91</c:v>
                </c:pt>
                <c:pt idx="1">
                  <c:v>1.63</c:v>
                </c:pt>
                <c:pt idx="2">
                  <c:v>1.98</c:v>
                </c:pt>
                <c:pt idx="3">
                  <c:v>1.55</c:v>
                </c:pt>
                <c:pt idx="4">
                  <c:v>1.41</c:v>
                </c:pt>
                <c:pt idx="5">
                  <c:v>1.43</c:v>
                </c:pt>
                <c:pt idx="6">
                  <c:v>1.81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500</c:v>
                </c:pt>
                <c:pt idx="1">
                  <c:v>193.6</c:v>
                </c:pt>
                <c:pt idx="2">
                  <c:v>850</c:v>
                </c:pt>
                <c:pt idx="3">
                  <c:v>300</c:v>
                </c:pt>
                <c:pt idx="4">
                  <c:v>850</c:v>
                </c:pt>
                <c:pt idx="5">
                  <c:v>2450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402.2</c:v>
                </c:pt>
                <c:pt idx="1">
                  <c:v>0</c:v>
                </c:pt>
                <c:pt idx="2">
                  <c:v>1601.1</c:v>
                </c:pt>
                <c:pt idx="3">
                  <c:v>0</c:v>
                </c:pt>
                <c:pt idx="4">
                  <c:v>165.8</c:v>
                </c:pt>
                <c:pt idx="5">
                  <c:v>75.5</c:v>
                </c:pt>
                <c:pt idx="6">
                  <c:v>756.1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610.3</c:v>
                </c:pt>
                <c:pt idx="1">
                  <c:v>640.7</c:v>
                </c:pt>
                <c:pt idx="2">
                  <c:v>686</c:v>
                </c:pt>
                <c:pt idx="3">
                  <c:v>775</c:v>
                </c:pt>
                <c:pt idx="4">
                  <c:v>889.1</c:v>
                </c:pt>
                <c:pt idx="5">
                  <c:v>1084.8</c:v>
                </c:pt>
                <c:pt idx="6">
                  <c:v>1085.3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527.2</c:v>
                </c:pt>
                <c:pt idx="1">
                  <c:v>211.2</c:v>
                </c:pt>
                <c:pt idx="2">
                  <c:v>457.9</c:v>
                </c:pt>
                <c:pt idx="3">
                  <c:v>389</c:v>
                </c:pt>
                <c:pt idx="4">
                  <c:v>264.9</c:v>
                </c:pt>
                <c:pt idx="5">
                  <c:v>494.2</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3</c:v>
                </c:pt>
                <c:pt idx="1">
                  <c:v>1</c:v>
                </c:pt>
                <c:pt idx="2">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Hershey Trust Company (fideicomiso de la Milton Hershey School)</c:v>
                </c:pt>
                <c:pt idx="1">
                  <c:v>Vanguard Group</c:v>
                </c:pt>
                <c:pt idx="2">
                  <c:v>BlackRock</c:v>
                </c:pt>
                <c:pt idx="3">
                  <c:v>Capital International Investors</c:v>
                </c:pt>
                <c:pt idx="4">
                  <c:v>Autocartera</c:v>
                </c:pt>
              </c:strCache>
            </c:strRef>
          </c:cat>
          <c:val>
            <c:numRef>
              <c:f>Hoja1!$B$2:$B$6</c:f>
              <c:numCache>
                <c:formatCode>0.0"%"</c:formatCode>
                <c:ptCount val="5"/>
                <c:pt idx="0">
                  <c:v>28</c:v>
                </c:pt>
                <c:pt idx="1">
                  <c:v>12.8</c:v>
                </c:pt>
                <c:pt idx="2">
                  <c:v>8.3</c:v>
                </c:pt>
                <c:pt idx="3">
                  <c:v>6.1</c:v>
                </c:pt>
                <c:pt idx="4">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15.9</c:v>
                </c:pt>
                <c:pt idx="1">
                  <c:v>9.7</c:v>
                </c:pt>
                <c:pt idx="2">
                  <c:v>-5.6</c:v>
                </c:pt>
                <c:pt idx="3">
                  <c:v>37.1</c:v>
                </c:pt>
                <c:pt idx="4">
                  <c:v>3.6</c:v>
                </c:pt>
                <c:pt idx="5">
                  <c:v>27</c:v>
                </c:pt>
                <c:pt idx="6">
                  <c:v>19.7</c:v>
                </c:pt>
                <c:pt idx="7">
                  <c:v>-19.5</c:v>
                </c:pt>
                <c:pt idx="8">
                  <c:v>-9.2</c:v>
                </c:pt>
                <c:pt idx="9">
                  <c:v>7.5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17.6</c:v>
                </c:pt>
                <c:pt idx="1">
                  <c:v>16.6</c:v>
                </c:pt>
                <c:pt idx="2">
                  <c:v>18.9</c:v>
                </c:pt>
                <c:pt idx="3">
                  <c:v>18.7</c:v>
                </c:pt>
                <c:pt idx="4">
                  <c:v>13.7</c:v>
                </c:pt>
                <c:pt idx="5">
                  <c:v>12.7</c:v>
                </c:pt>
                <c:pt idx="6">
                  <c:v>16.8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17.1</c:v>
                </c:pt>
                <c:pt idx="1">
                  <c:v>17.1</c:v>
                </c:pt>
                <c:pt idx="2">
                  <c:v>17.1</c:v>
                </c:pt>
                <c:pt idx="3">
                  <c:v>17.1</c:v>
                </c:pt>
                <c:pt idx="4">
                  <c:v>17.1</c:v>
                </c:pt>
                <c:pt idx="5">
                  <c:v>17.1</c:v>
                </c:pt>
                <c:pt idx="6">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Hershey</c:v>
                </c:pt>
                <c:pt idx="1">
                  <c:v>Lindt &amp; Sprüngli</c:v>
                </c:pt>
                <c:pt idx="2">
                  <c:v>Mondelez</c:v>
                </c:pt>
                <c:pt idx="3">
                  <c:v>Nestlé</c:v>
                </c:pt>
                <c:pt idx="4">
                  <c:v>Barry Callebaut</c:v>
                </c:pt>
                <c:pt idx="5">
                  <c:v>Meiji Holdings</c:v>
                </c:pt>
                <c:pt idx="6">
                  <c:v>Ezaki Glico</c:v>
                </c:pt>
                <c:pt idx="7">
                  <c:v>Orion</c:v>
                </c:pt>
              </c:strCache>
            </c:strRef>
          </c:cat>
          <c:val>
            <c:numRef>
              <c:f>Hoja1!$B$2:$B$9</c:f>
              <c:numCache>
                <c:formatCode>0.0"x"</c:formatCode>
                <c:ptCount val="8"/>
                <c:pt idx="1">
                  <c:v>14.5</c:v>
                </c:pt>
                <c:pt idx="2">
                  <c:v>15.7</c:v>
                </c:pt>
                <c:pt idx="3">
                  <c:v>15</c:v>
                </c:pt>
                <c:pt idx="4">
                  <c:v>12.4</c:v>
                </c:pt>
                <c:pt idx="5">
                  <c:v>7.8</c:v>
                </c:pt>
                <c:pt idx="6">
                  <c:v>8.5</c:v>
                </c:pt>
                <c:pt idx="7">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Lindt &amp; Sprüngli</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4.1</c:v>
                </c:pt>
              </c:numCache>
            </c:numRef>
          </c:xVal>
          <c:yVal>
            <c:numRef>
              <c:f>Hoja1!$C$2</c:f>
              <c:numCache>
                <c:formatCode>0.0"x"</c:formatCode>
                <c:ptCount val="1"/>
                <c:pt idx="0">
                  <c:v>14.5</c:v>
                </c:pt>
              </c:numCache>
            </c:numRef>
          </c:yVal>
          <c:smooth val="0"/>
        </c:ser>
        <c:ser>
          <c:idx val="1"/>
          <c:order val="1"/>
          <c:tx>
            <c:strRef>
              <c:f>Hoja1!$A$3</c:f>
              <c:strCache>
                <c:ptCount val="1"/>
                <c:pt idx="0">
                  <c:v>Mondelez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3.4</c:v>
                </c:pt>
              </c:numCache>
            </c:numRef>
          </c:xVal>
          <c:yVal>
            <c:numRef>
              <c:f>Hoja1!$C$3</c:f>
              <c:numCache>
                <c:formatCode>0.0"x"</c:formatCode>
                <c:ptCount val="1"/>
                <c:pt idx="0">
                  <c:v>15.7</c:v>
                </c:pt>
              </c:numCache>
            </c:numRef>
          </c:yVal>
          <c:smooth val="0"/>
        </c:ser>
        <c:ser>
          <c:idx val="2"/>
          <c:order val="2"/>
          <c:tx>
            <c:strRef>
              <c:f>Hoja1!$A$4</c:f>
              <c:strCache>
                <c:ptCount val="1"/>
                <c:pt idx="0">
                  <c:v>Nestlé</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c:v>
                </c:pt>
              </c:numCache>
            </c:numRef>
          </c:xVal>
          <c:yVal>
            <c:numRef>
              <c:f>Hoja1!$C$4</c:f>
              <c:numCache>
                <c:formatCode>0.0"x"</c:formatCode>
                <c:ptCount val="1"/>
                <c:pt idx="0">
                  <c:v>15</c:v>
                </c:pt>
              </c:numCache>
            </c:numRef>
          </c:yVal>
          <c:smooth val="0"/>
        </c:ser>
        <c:ser>
          <c:idx val="3"/>
          <c:order val="3"/>
          <c:tx>
            <c:strRef>
              <c:f>Hoja1!$A$5</c:f>
              <c:strCache>
                <c:ptCount val="1"/>
                <c:pt idx="0">
                  <c:v>Barry Callebaut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-13.7</c:v>
                </c:pt>
              </c:numCache>
            </c:numRef>
          </c:xVal>
          <c:yVal>
            <c:numRef>
              <c:f>Hoja1!$C$5</c:f>
              <c:numCache>
                <c:formatCode>0.0"x"</c:formatCode>
                <c:ptCount val="1"/>
                <c:pt idx="0">
                  <c:v>12.4</c:v>
                </c:pt>
              </c:numCache>
            </c:numRef>
          </c:yVal>
          <c:smooth val="0"/>
        </c:ser>
        <c:ser>
          <c:idx val="4"/>
          <c:order val="4"/>
          <c:tx>
            <c:strRef>
              <c:f>Hoja1!$A$6</c:f>
              <c:strCache>
                <c:ptCount val="1"/>
                <c:pt idx="0">
                  <c:v>Meiji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c:v>
                </c:pt>
              </c:numCache>
            </c:numRef>
          </c:xVal>
          <c:yVal>
            <c:numRef>
              <c:f>Hoja1!$C$6</c:f>
              <c:numCache>
                <c:formatCode>0.0"x"</c:formatCode>
                <c:ptCount val="1"/>
                <c:pt idx="0">
                  <c:v>7.8</c:v>
                </c:pt>
              </c:numCache>
            </c:numRef>
          </c:yVal>
          <c:smooth val="0"/>
        </c:ser>
        <c:ser>
          <c:idx val="5"/>
          <c:order val="5"/>
          <c:tx>
            <c:strRef>
              <c:f>Hoja1!$A$7</c:f>
              <c:strCache>
                <c:ptCount val="1"/>
                <c:pt idx="0">
                  <c:v>Ezaki Glico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3.5</c:v>
                </c:pt>
              </c:numCache>
            </c:numRef>
          </c:xVal>
          <c:yVal>
            <c:numRef>
              <c:f>Hoja1!$C$7</c:f>
              <c:numCache>
                <c:formatCode>0.0"x"</c:formatCode>
                <c:ptCount val="1"/>
                <c:pt idx="0">
                  <c:v>8.5</c:v>
                </c:pt>
              </c:numCache>
            </c:numRef>
          </c:yVal>
          <c:smooth val="0"/>
        </c:ser>
        <c:ser>
          <c:idx val="6"/>
          <c:order val="6"/>
          <c:tx>
            <c:strRef>
              <c:f>Hoja1!$A$8</c:f>
              <c:strCache>
                <c:ptCount val="1"/>
                <c:pt idx="0">
                  <c:v>Orion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10.8</c:v>
                </c:pt>
              </c:numCache>
            </c:numRef>
          </c:xVal>
          <c:yVal>
            <c:numRef>
              <c:f>Hoja1!$C$8</c:f>
              <c:numCache>
                <c:formatCode>0.0"x"</c:formatCode>
                <c:ptCount val="1"/>
                <c:pt idx="0">
                  <c:v>3.6</c:v>
                </c:pt>
              </c:numCache>
            </c:numRef>
          </c:yVal>
          <c:smooth val="0"/>
        </c:ser>
        <c:axId val="10"/>
        <c:axId val="20"/>
      </c:scatterChart>
      <c:valAx>
        <c:axId val="10"/>
        <c:scaling>
          <c:orientation val="minMax"/>
          <c:max val="2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Kellanova (Pringles, Cheez-It)</c:v>
                </c:pt>
                <c:pt idx="1">
                  <c:v>Hostess Brands (Twinkies)</c:v>
                </c:pt>
                <c:pt idx="2">
                  <c:v>LesserEvil (snacks orgánicos)</c:v>
                </c:pt>
                <c:pt idx="3">
                  <c:v>Lily's, Dot's Pretzels y Pretzels Inc.</c:v>
                </c:pt>
              </c:strCache>
            </c:strRef>
          </c:cat>
          <c:val>
            <c:numRef>
              <c:f>Hoja1!$B$2:$B$5</c:f>
              <c:numCache>
                <c:formatCode>0.0"x"</c:formatCode>
                <c:ptCount val="4"/>
                <c:pt idx="0">
                  <c:v>16.4</c:v>
                </c:pt>
                <c:pt idx="1">
                  <c:v>17.2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1863</c:v>
                </c:pt>
                <c:pt idx="1">
                  <c:v>2050</c:v>
                </c:pt>
                <c:pt idx="2">
                  <c:v>2165</c:v>
                </c:pt>
                <c:pt idx="3">
                  <c:v>2268</c:v>
                </c:pt>
                <c:pt idx="4">
                  <c:v>2368</c:v>
                </c:pt>
                <c:pt idx="5">
                  <c:v>2455</c:v>
                </c:pt>
                <c:pt idx="6">
                  <c:v>2529</c:v>
                </c:pt>
                <c:pt idx="7">
                  <c:v>2583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12704</c:v>
                </c:pt>
                <c:pt idx="1">
                  <c:v>27277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164,25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122.03</c:v>
                </c:pt>
                <c:pt idx="1">
                  <c:v>174.17</c:v>
                </c:pt>
                <c:pt idx="2">
                  <c:v>200.09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(156,16 – 239,48)</c:v>
                </c:pt>
                <c:pt idx="1">
                  <c:v>Precio objetivo de los analistas (170,00 – 250,00)</c:v>
                </c:pt>
                <c:pt idx="2">
                  <c:v>Comparables: PER NTM (158,65 – 235,11)</c:v>
                </c:pt>
                <c:pt idx="3">
                  <c:v>DCF (WACC y g ± 0,5) (148,21 – 211,38)</c:v>
                </c:pt>
                <c:pt idx="4">
                  <c:v>Escenarios (bajista – alcista) (122,03 – 200,09)</c:v>
                </c:pt>
                <c:pt idx="5">
                  <c:v>DCF con la prima implícita del mercado (4,2 %)</c:v>
                </c:pt>
                <c:pt idx="6">
                  <c:v>Precio actual (164,25)</c:v>
                </c:pt>
              </c:strCache>
            </c:strRef>
          </c:cat>
          <c:val>
            <c:numRef>
              <c:f>Hoja1!$B$2:$B$8</c:f>
              <c:numCache>
                <c:formatCode>#,##0</c:formatCode>
                <c:ptCount val="7"/>
                <c:pt idx="0">
                  <c:v>156.16</c:v>
                </c:pt>
                <c:pt idx="1">
                  <c:v>170</c:v>
                </c:pt>
                <c:pt idx="2">
                  <c:v>158.65</c:v>
                </c:pt>
                <c:pt idx="3">
                  <c:v>148.21</c:v>
                </c:pt>
                <c:pt idx="4">
                  <c:v>122.03</c:v>
                </c:pt>
                <c:pt idx="5">
                  <c:v>182.38</c:v>
                </c:pt>
                <c:pt idx="6">
                  <c:v>163.43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(156,16 – 239,48)</c:v>
                </c:pt>
                <c:pt idx="1">
                  <c:v>Precio objetivo de los analistas (170,00 – 250,00)</c:v>
                </c:pt>
                <c:pt idx="2">
                  <c:v>Comparables: PER NTM (158,65 – 235,11)</c:v>
                </c:pt>
                <c:pt idx="3">
                  <c:v>DCF (WACC y g ± 0,5) (148,21 – 211,38)</c:v>
                </c:pt>
                <c:pt idx="4">
                  <c:v>Escenarios (bajista – alcista) (122,03 – 200,09)</c:v>
                </c:pt>
                <c:pt idx="5">
                  <c:v>DCF con la prima implícita del mercado (4,2 %)</c:v>
                </c:pt>
                <c:pt idx="6">
                  <c:v>Precio actual (164,25)</c:v>
                </c:pt>
              </c:strCache>
            </c:strRef>
          </c:cat>
          <c:val>
            <c:numRef>
              <c:f>Hoja1!$C$2:$C$8</c:f>
              <c:numCache>
                <c:formatCode>#,##0</c:formatCode>
                <c:ptCount val="7"/>
                <c:pt idx="0">
                  <c:v>83.32</c:v>
                </c:pt>
                <c:pt idx="1">
                  <c:v>80</c:v>
                </c:pt>
                <c:pt idx="2">
                  <c:v>76.46000000000001</c:v>
                </c:pt>
                <c:pt idx="3">
                  <c:v>63.16999999999999</c:v>
                </c:pt>
                <c:pt idx="4">
                  <c:v>78.06</c:v>
                </c:pt>
                <c:pt idx="5">
                  <c:v>47.41</c:v>
                </c:pt>
                <c:pt idx="6">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