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TOMRA Systems ASA</w:t>
      </w:r>
    </w:p>
    <w:p>
      <w:pPr>
        <w:spacing w:after="60"/>
        <w:rPr>
          <w:color w:val="52514E"/>
          <w:sz w:val="22"/>
          <w:szCs w:val="22"/>
        </w:rPr>
      </w:pPr>
      <w:r>
        <w:rPr>
          <w:color w:val="52514E"/>
          <w:sz w:val="22"/>
          <w:szCs w:val="22"/>
        </w:rPr>
        <w:t xml:space="preserve">TOM · Euronext Oslo Børs · ISIN NO0012470089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8,68 EUR (92,95 NOK)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9,45 EUR (101,23 NOK) · mercado 11,42</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+11,2 % · mercado +33,9 %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2.566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9,0x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2,6x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TOMRA Systems 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TOM / NO0012470089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Oslo Børs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OSEBX (Oslo Børs Benchmark Index)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(equipos de recogida y clasificación por sensores)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Asker (Noruega)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www.tomra.com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8,68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8,38 – 13,71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5,5 M EUR/día (589.452 acciones; 3 meses a 6-oct-2026)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9,45 EUR (101,23 NOK)</w:t>
      </w:r>
      <w:r>
        <w:t xml:space="preserve"> frente a 8,68 (92,95 NOK) · con la prima implícita del mercado: 11,42 (122,33 NOK) (+31,6 %) · Rentabilidad total esperada a 12 meses </w:t>
      </w:r>
      <w:r>
        <w:rPr>
          <w:b/>
          <w:bCs/>
        </w:rPr>
        <w:t xml:space="preserve">+11,2 %</w:t>
      </w:r>
      <w:r>
        <w:t xml:space="preserve"> · Alcista / bajista +29,9 % / -33,8 %</w:t>
      </w:r>
    </w:p>
    <w:p>
      <w:pPr>
        <w:spacing w:after="100"/>
      </w:pPr>
      <w:r>
        <w:rPr>
          <w:b/>
        </w:rPr>
        <w:t xml:space="preserve">La recomendación y por qué.</w:t>
      </w:r>
      <w:r>
        <w:t xml:space="preserve"> Comprar, con convicción baja. El valor objetivo es de 9,45 EUR (101,23 NOK) frente a un cierre de 8,68 EUR (92,95 NOK): +8,9 %, y un 11,2 % de rentabilidad total con el dividendo. Las dos reglas discrepan. Con nuestro WACC del 8,26 % sale Mantener: el bajista (−33,8 %) pesa más que el alcista (+29,9 %). Con la prima que hoy pide el mercado (4,20 %) sale Comprar: objetivo de 11,42 EUR (122,33 NOK) y un 33,9 % de rentabilidad total. Manda la relativa. Tomra gana al mercado, pero no cubre con holgura su propio coste de capital. La convicción es baja porque las dos reglas discrepan y porque el caso base pide al capital un rendimiento que Tomra no ha demostrado; la subirían un margen bruto de Collection del 40 % o más en el 2S26 y unos objetivos de ROCE en el Capital Markets Day, y la bajaría un ROIC de 2026 por debajo del WACC.</w:t>
      </w:r>
    </w:p>
    <w:p>
      <w:pPr>
        <w:spacing w:after="100"/>
      </w:pPr>
      <w:r>
        <w:rPr>
          <w:b/>
        </w:rPr>
        <w:t xml:space="preserve">El negocio.</w:t>
      </w:r>
      <w:r>
        <w:t xml:space="preserve"> Collection, las máquinas de devolución de envases, es el 56 % de las ventas y el grueso del beneficio: EBITA del 17,0 % en 2025, con un 61 % de ingresos de servicio, throughput y material [13]. Tiene 91.900 máquinas frente a 13.000 de Envipco, que pierde dinero [14]. Recycling y Food son bienes de equipo cíclicos. Recycling pasó del 22,7 % al 10,2 % de margen entre 2024 y 2025, y Food del 5 % al 14,4 % [1]. El ROIC cayó del 15,0 % en 2021 al 9,8 %, apenas por encima del WACC. ¿Sostiene la calidad el crecimiento que proyectamos? En parte: el foso de Collection asegura el volumen que traen las leyes, pero la proyección supone que el capital nuevo rinde un 39,3 % (un ROIC del 18 % en 2035e, frente a un máximo del 15,0 %), cuando el incremental de 2021-2025 fue negativo. No la recortamos porque la mejora es de margen sobre el capital ya invertido en 2024-2025 (Feedstock, flota de throughput, existencias y cobros de Polonia) y queda por debajo de la ambición de 2030 y del consenso [34, 49]; con el ROIC en el 15 %, el DCF bajaría a 6,48 EUR, cerca del bajista.</w:t>
      </w:r>
    </w:p>
    <w:p>
      <w:pPr>
        <w:spacing w:after="100"/>
      </w:pPr>
      <w:r>
        <w:rPr>
          <w:b/>
        </w:rPr>
        <w:t xml:space="preserve">Sector y ciclo.</w:t>
      </w:r>
      <w:r>
        <w:t xml:space="preserve"> El crecimiento depende de la regulación. Polonia arrancó en octubre de 2025 y Tomra tiene unas 7.000 de sus 13.000 máquinas. El Reino Unido arranca el 1-oct-2027, con dos cadenas ya adjudicadas (~3.900 máquinas) [4, 11]. El PPWR obliga a implantar el depósito en la UE desde 2029 [13]. Pero cada pico de instalación es temporal: tras el de 2024, Collection cayó un 4 % en 2025 [13].</w:t>
      </w:r>
    </w:p>
    <w:p>
      <w:pPr>
        <w:spacing w:after="100"/>
      </w:pPr>
      <w:r>
        <w:rPr>
          <w:b/>
        </w:rPr>
        <w:t xml:space="preserve">Finanzas.</w:t>
      </w:r>
      <w:r>
        <w:t xml:space="preserve"> La guía de 2026 deja unos ingresos de 1.477 M (+12,1 %), en línea con el consenso, pero con un margen EBITDA del 17,6 % por la mezcla y 13 M de reestructuración en Recycling [4]. La deuda neta ajustada es de 680 M, 2,5 veces el EBITDA según la empresa. Scope rebajó el rating a BBB+ en junio [4, 8]. El flujo libre fue negativo en 2025 (−19 M) por el capex y las existencias.</w:t>
      </w:r>
    </w:p>
    <w:p>
      <w:pPr>
        <w:spacing w:after="100"/>
      </w:pPr>
      <w:r>
        <w:rPr>
          <w:b/>
        </w:rPr>
        <w:t xml:space="preserve">Equipo y gobierno.</w:t>
      </w:r>
      <w:r>
        <w:t xml:space="preserve"> Resta. Investment AB Latour (21,08 %) preside el consejo. La remuneración sacó un 36-42 % de votos en contra en tres juntas seguidas, el 53 % del capital libre presente, y el incentivo a largo plazo solo mide el BPA [1, 25, 26]. Los objetivos de 2030 del Capital Markets Day de 2024 (+15 % anual y EBITA del 18 %) están lejos [34].</w:t>
      </w:r>
    </w:p>
    <w:p>
      <w:pPr>
        <w:spacing w:after="100"/>
      </w:pPr>
      <w:r>
        <w:rPr>
          <w:b/>
        </w:rPr>
        <w:t xml:space="preserve">Valoración.</w:t>
      </w:r>
      <w:r>
        <w:t xml:space="preserve"> El DCF da 8,70 EUR, los escenarios 8,60 y la suma de partes 8,86. Los comparables dan 13,72, pero mezclan compañías de calidad con fabricantes de equipo. El DCF inverso dice que el precio descuenta nuestro caso base casi exacto: un crecimiento del 5,3 % anual, un margen EBITDA del 22,9 % y una rentabilidad del 8,3 %. Ese caso base está un 11,2 % por debajo del consenso en el EBITDA de 2027. No discrepamos del mercado en los beneficios, sino en la tasa: con la prima implícita del mercado, el DCF sube a 11,53 EUR.</w:t>
      </w:r>
    </w:p>
    <w:p>
      <w:pPr>
        <w:spacing w:after="100"/>
      </w:pPr>
      <w:r>
        <w:rPr>
          <w:b/>
        </w:rPr>
        <w:t xml:space="preserve">Riesgos y catalizadores.</w:t>
      </w:r>
      <w:r>
        <w:t xml:space="preserve"> Primero, el hueco tras el pico británico: el bajista suma una caída en 2029 y vale 5,74 EUR. Segundo, el margen de producto en los mercados nuevos, donde cada punto de margen EBITDA resta un 9,7 % al valor. Tercero, Food: volver al 5 % costaría un 19 %. Los catalizadores tienen fecha: resultados del 3T26 el 23-oct y Capital Markets Day el 24-nov, con nuevos objetivos [67].</w:t>
      </w:r>
    </w:p>
    <w:p>
      <w:pPr>
        <w:spacing w:after="100"/>
      </w:pPr>
      <w:r>
        <w:rPr>
          <w:b/>
        </w:rPr>
        <w:t xml:space="preserve">Qué cambiaría la decisión.</w:t>
      </w:r>
      <w:r>
        <w:t xml:space="preserve"> Compraríamos por debajo de 9,19 EUR (98,39 NOK) y venderíamos por encima de 12,54 EUR (134,33 NOK). Pasaríamos a Mantener si el margen bruto de Collection del 2S26 queda por debajo del 40 % o si el Capital Markets Day vuelve a prometer un EBITA del 18 % sin explicar cómo baja la deuda.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9,45 EUR (101,23 NOK)</w:t>
      </w:r>
      <w:r>
        <w:t xml:space="preserve"> (+8,9 % sobre 8,68; rentabilidad total esperada +11,2 %) · con la prima implícita del mercado: 11,42 (122,33 NOK) (+31,6 %)</w:t>
      </w:r>
    </w:p>
    <w:p>
      <w:pPr>
        <w:spacing w:after="100"/>
      </w:pPr>
      <w:r>
        <w:t xml:space="preserve">Tomra es el líder mundial en máquinas de devolución de envases: 91.900 instaladas, siete veces las de Envipco, su único rival cotizado [13, 14]. Collection gana un EBITA del 17 % y factura el 61 % en servicio, throughput y material, y la regulación le abre mercados nuevos cada año: Polonia en 2025, Portugal y Singapur en 2026, el Reino Unido en 2027 y la UE entera con el PPWR desde 2029 [4, 13]. Recycling y Food, clasificadoras por sensores, aportan tecnología y ciclo.</w:t>
      </w:r>
    </w:p>
    <w:p>
      <w:pPr>
        <w:spacing w:after="100"/>
      </w:pPr>
      <w:r>
        <w:t xml:space="preserve">El precio, 8,68 EUR, descuenta exactamente nuestro caso base. Según el DCF inverso, supone un crecimiento del 5,3 % anual hasta 2035 y un margen EBITDA del 22,9 %, con una rentabilidad implícita del 8,3 %, igual a nuestro WACC. Cotiza a 12,3 veces el EBITDA de los últimos 12 meses, un 22 % menos que su media de cinco años, y a 9,0 veces el de los próximos 12 meses. Tras caer un 29,0 % en el año, el mercado ha dejado de pagar la historia de crecimiento del 15 % anual que la dirección prometió en 2024 [34, 46].</w:t>
      </w:r>
    </w:p>
    <w:p>
      <w:pPr>
        <w:spacing w:after="100"/>
      </w:pPr>
      <w:r>
        <w:t xml:space="preserve">El mercado acierta en lo esencial: el ROIC bajó del 15,0 % al 9,8 % mientras el capital invertido crecía un 48 %, y la deuda subió a 2,5 veces el EBITDA [1, 4]. Para invertir hay que creer dos cosas. Primero, que el Reino Unido y la segunda fase de Polonia llenan 2027-2028 sin destrozar el margen de producto. Segundo, que el capital invertido en 2024-2025 empieza a rendir. La rentabilidad esperada solo supera el umbral si se acepta la prima de riesgo que hoy pide el mercado.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 EUR (101,23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(NOK al tipo de 0,0934 EUR por NOK)</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EUR (92,95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 / -33,8 %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8,3 %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 EUR (122,33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 frente a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(6,1 % anual proyectado; financiable al ROIC actual: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9,19 (98,39 NOK)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9,19 y 12,54 (98,39 y 134,33 NOK)</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12,54 (134,33 NOK)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12,54 EUR (134,33 NOK), pasaríamos a Vender o reducir; por encima de 9,19 EUR (98,39 NOK), a Mantener.</w:t>
      </w:r>
    </w:p>
    <w:p>
      <w:pPr>
        <w:pStyle w:val="ListParagraph"/>
        <w:numPr>
          <w:ilvl w:val="0"/>
          <w:numId w:val="2"/>
        </w:numPr>
        <w:spacing w:after="60"/>
      </w:pPr>
      <w:r>
        <w:t xml:space="preserve">Si el margen bruto de Collection del 2S26 queda por debajo del 40 % (38,6 % en el 2T26), pasaríamos a Mantener.</w:t>
      </w:r>
    </w:p>
    <w:p>
      <w:pPr>
        <w:pStyle w:val="ListParagraph"/>
        <w:numPr>
          <w:ilvl w:val="0"/>
          <w:numId w:val="2"/>
        </w:numPr>
        <w:spacing w:after="60"/>
      </w:pPr>
      <w:r>
        <w:t xml:space="preserve">Si la deuda neta supera 2,8 veces el EBITDA o el patrimonio baja del 32 % del activo, pasaríamos a Mantener.</w:t>
      </w:r>
    </w:p>
    <w:p>
      <w:pPr>
        <w:pStyle w:val="ListParagraph"/>
        <w:numPr>
          <w:ilvl w:val="0"/>
          <w:numId w:val="2"/>
        </w:numPr>
        <w:spacing w:after="60"/>
      </w:pPr>
      <w:r>
        <w:t xml:space="preserve">Si Tomra gana cadenas británicas por encima de las ~3.900 máquinas ya adjudicadas y renueva Nueva Gales del Sur, subiríamos la convicción.</w:t>
      </w:r>
    </w:p>
    <w:p>
      <w:pPr>
        <w:pStyle w:val="ListParagraph"/>
        <w:numPr>
          <w:ilvl w:val="0"/>
          <w:numId w:val="2"/>
        </w:numPr>
        <w:spacing w:after="60"/>
      </w:pPr>
      <w:r>
        <w:t xml:space="preserve">Si el Capital Markets Day del 24-nov cambia el incentivo a largo plazo a ROCE y fija objetivos por división creíbles,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5,3 % anual y un margen EBITDA del 22,9 %, con una rentabilidad del 8,3 %. Es nuestro caso base, que ya queda un 11,2 % por debajo del EBITDA del consenso para 2027. El mercado no se cree ni la ambición de 2030 de la dirección (EBITA del 18 %) ni el consenso de los seis analistas, todos con recomendación de compra y un precio objetivo medio de 11,81 EUR [49].</w:t>
      </w:r>
    </w:p>
    <w:p>
      <w:pPr>
        <w:keepNext/>
        <w:spacing w:after="100"/>
      </w:pPr>
      <w:r>
        <w:rPr>
          <w:b/>
          <w:bCs/>
        </w:rPr>
        <w:t xml:space="preserve">Lo que creemos nosotros.</w:t>
      </w:r>
    </w:p>
    <w:p>
      <w:pPr>
        <w:spacing w:after="100"/>
      </w:pPr>
      <w:r>
        <w:t xml:space="preserve">Compartimos el escepticismo sobre los objetivos de la dirección: el EBITA llega al 16,5 % y no al 18 %, y el bajista recoge un hueco tras el pico británico como el de 2025. Pero el negocio de Collection, con un 61 % de ingresos recurrentes y siete veces la base instalada de su rival, merece una tasa más cercana a la del mercado que a la de un fabricante cíclico.</w:t>
      </w:r>
    </w:p>
    <w:p>
      <w:pPr>
        <w:keepNext/>
        <w:spacing w:after="100"/>
      </w:pPr>
      <w:r>
        <w:rPr>
          <w:b/>
          <w:bCs/>
        </w:rPr>
        <w:t xml:space="preserve">Por qué podemos tener razón.</w:t>
      </w:r>
    </w:p>
    <w:p>
      <w:pPr>
        <w:spacing w:after="100"/>
      </w:pPr>
      <w:r>
        <w:t xml:space="preserve">Porque la parte recurrente de Collection crece sola: los mercados existentes subieron un 15 % en el 2T26 sin leyes nuevas [4]. Porque Tomra ya tiene adjudicadas las primeras cadenas británicas [11]. Y porque la regulación europea fija fechas (2029) que no dependen del ciclo. Lo que no podemos defender es un valor muy por encima del precio con nuestra propia tasa: la diferencia es de rentabilidad exigida, no de beneficios.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Base instalada dominante</w:t>
      </w:r>
      <w:r>
        <w:t xml:space="preserve">: 91.900 máquinas frente a 13.000 de Envipco, con un margen bruto 8 puntos mayor (41,7 % frente a 33,4 %) [13, 14].</w:t>
      </w:r>
    </w:p>
    <w:p>
      <w:pPr>
        <w:pStyle w:val="ListParagraph"/>
        <w:numPr>
          <w:ilvl w:val="0"/>
          <w:numId w:val="2"/>
        </w:numPr>
        <w:spacing w:after="60"/>
      </w:pPr>
      <w:r>
        <w:rPr>
          <w:b/>
        </w:rPr>
        <w:t xml:space="preserve">Ingresos recurrentes</w:t>
      </w:r>
      <w:r>
        <w:t xml:space="preserve">: el 61 % de Collection es servicio, arrendamiento, throughput y material, y los mercados existentes crecieron un 15 % en el 2T26 [4, 13].</w:t>
      </w:r>
    </w:p>
    <w:p>
      <w:pPr>
        <w:pStyle w:val="ListParagraph"/>
        <w:numPr>
          <w:ilvl w:val="0"/>
          <w:numId w:val="2"/>
        </w:numPr>
        <w:spacing w:after="60"/>
      </w:pPr>
      <w:r>
        <w:rPr>
          <w:b/>
        </w:rPr>
        <w:t xml:space="preserve">Calendario regulatorio con fechas</w:t>
      </w:r>
      <w:r>
        <w:t xml:space="preserve">: Reino Unido el 1-oct-2027, España obligada desde 2024 y el PPWR en toda la UE desde 2029 [4, 13].</w:t>
      </w:r>
    </w:p>
    <w:p>
      <w:pPr>
        <w:pStyle w:val="ListParagraph"/>
        <w:numPr>
          <w:ilvl w:val="0"/>
          <w:numId w:val="2"/>
        </w:numPr>
        <w:spacing w:after="60"/>
      </w:pPr>
      <w:r>
        <w:rPr>
          <w:b/>
        </w:rPr>
        <w:t xml:space="preserve">Valoración baja frente a su historia</w:t>
      </w:r>
      <w:r>
        <w:t xml:space="preserve">: 12,3 veces el EBITDA de los últimos 12 meses frente a una media de 15,7 veces en cinco años.</w:t>
      </w:r>
    </w:p>
    <w:p>
      <w:pPr>
        <w:pStyle w:val="ListParagraph"/>
        <w:numPr>
          <w:ilvl w:val="0"/>
          <w:numId w:val="2"/>
        </w:numPr>
        <w:spacing w:after="60"/>
      </w:pPr>
      <w:r>
        <w:rPr>
          <w:b/>
        </w:rPr>
        <w:t xml:space="preserve">Palancas propias</w:t>
      </w:r>
      <w:r>
        <w:t xml:space="preserve">: 16 M de ahorros en Recycling con efecto pleno en 2027 y una posible venta de TOMRA Mining [4, 11].</w:t>
      </w:r>
    </w:p>
    <w:p>
      <w:pPr>
        <w:pStyle w:val="Heading2"/>
      </w:pPr>
      <w:r>
        <w:t xml:space="preserve">En contra</w:t>
      </w:r>
    </w:p>
    <w:p>
      <w:pPr>
        <w:pStyle w:val="ListParagraph"/>
        <w:numPr>
          <w:ilvl w:val="0"/>
          <w:numId w:val="2"/>
        </w:numPr>
        <w:spacing w:after="60"/>
      </w:pPr>
      <w:r>
        <w:rPr>
          <w:b/>
        </w:rPr>
        <w:t xml:space="preserve">El ROIC se acerca al WACC</w:t>
      </w:r>
      <w:r>
        <w:t xml:space="preserve">: del 15,0 % en 2021 al 9,8 % en 2025, con un ROIC incremental del −1,1 %.</w:t>
      </w:r>
    </w:p>
    <w:p>
      <w:pPr>
        <w:pStyle w:val="ListParagraph"/>
        <w:numPr>
          <w:ilvl w:val="0"/>
          <w:numId w:val="2"/>
        </w:numPr>
        <w:spacing w:after="60"/>
      </w:pPr>
      <w:r>
        <w:rPr>
          <w:b/>
        </w:rPr>
        <w:t xml:space="preserve">Picos temporales</w:t>
      </w:r>
      <w:r>
        <w:t xml:space="preserve">: tras las entregas de 2024, Collection cayó un 4 % en 2025; el Reino Unido crea otro pico en 2027-2028 [13].</w:t>
      </w:r>
    </w:p>
    <w:p>
      <w:pPr>
        <w:pStyle w:val="ListParagraph"/>
        <w:numPr>
          <w:ilvl w:val="0"/>
          <w:numId w:val="2"/>
        </w:numPr>
        <w:spacing w:after="60"/>
      </w:pPr>
      <w:r>
        <w:rPr>
          <w:b/>
        </w:rPr>
        <w:t xml:space="preserve">Deuda al alza</w:t>
      </w:r>
      <w:r>
        <w:t xml:space="preserve">: 2,5 veces el EBITDA, rating rebajado a BBB+ y covenant de patrimonio con 4 puntos de holgura [4, 8].</w:t>
      </w:r>
    </w:p>
    <w:p>
      <w:pPr>
        <w:pStyle w:val="ListParagraph"/>
        <w:numPr>
          <w:ilvl w:val="0"/>
          <w:numId w:val="2"/>
        </w:numPr>
        <w:spacing w:after="60"/>
      </w:pPr>
      <w:r>
        <w:rPr>
          <w:b/>
        </w:rPr>
        <w:t xml:space="preserve">Gobierno débil</w:t>
      </w:r>
      <w:r>
        <w:t xml:space="preserve">: Latour preside el consejo con el 21,08 % y el 53 % del capital libre votó contra la remuneración en 2025-2026 [1, 25, 26].</w:t>
      </w:r>
    </w:p>
    <w:p>
      <w:pPr>
        <w:pStyle w:val="ListParagraph"/>
        <w:numPr>
          <w:ilvl w:val="0"/>
          <w:numId w:val="2"/>
        </w:numPr>
        <w:spacing w:after="60"/>
      </w:pPr>
      <w:r>
        <w:rPr>
          <w:b/>
        </w:rPr>
        <w:t xml:space="preserve">Credibilidad</w:t>
      </w:r>
      <w:r>
        <w:t xml:space="preserve">: los objetivos de 2024 (+15 % anual, EBITA del 18 %) se alejan y el BPA de 2026 del consenso bajó un 31 % entre abril y julio [34, 51, 52].</w:t>
      </w:r>
    </w:p>
    <w:p>
      <w:pPr>
        <w:pStyle w:val="ListParagraph"/>
        <w:numPr>
          <w:ilvl w:val="0"/>
          <w:numId w:val="2"/>
        </w:numPr>
        <w:spacing w:after="60"/>
      </w:pPr>
      <w:r>
        <w:rPr>
          <w:b/>
        </w:rPr>
        <w:t xml:space="preserve">Bajistas en el capital</w:t>
      </w:r>
      <w:r>
        <w:t xml:space="preserve">: las posiciones cortas subieron del 0,69 % al 3,59 % en un año [43].</w:t>
      </w:r>
    </w:p>
    <w:p>
      <w:pPr>
        <w:pStyle w:val="Heading2"/>
      </w:pPr>
      <w:r>
        <w:t xml:space="preserve">Qué tiene que pasar para que la tesis funcione</w:t>
      </w:r>
    </w:p>
    <w:p>
      <w:pPr>
        <w:spacing w:after="100"/>
      </w:pPr>
      <w:r>
        <w:t xml:space="preserve">La tesis depende de que el Reino Unido llene 2027 sin hundir el margen de producto y de que Recycling recupere los dos dígitos con sus ahorros. La señal de que no se cumple sería un margen bruto de Collection por debajo del 40 % en el 2S26, que señalaría precios de entrada como en Polonia, o un Capital Markets Day que repita objetivos sin un plan para el capital invertido y la deuda.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Collection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de las máquinas en los mercados nuevos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nuevos mercados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M por trimestre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Reino Unido llena el hueco tras Polonia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Recycling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los ingresos de dos o tres trimestres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Food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340-360 M depende de convertir la cartera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2,8x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BBB+ y covenant de patrimonio del 30 % [4,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corta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 (6-oct-26)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apuesta por más rebajas de estimaciones [43].</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 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32,1x / 16,2x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TOMRA nace en 1972 en Noruega, fundada por la familia Planke, con la primera máquina de devolución de envases (RVM): a final de ese año tenía 29 instaladas [23]. Sale a bolsa en Oslo en 1985 y casi quiebra en su primera expansión en EE. UU. (pérdida antes de impuestos de 129,6 M NOK en 1986, beneficio de 10,3 M NOK en 1987) [23]. El sistema alemán de depósito para envases de un solo uso (2003) la convierte en un negocio de escala. Desde 2004 (TiTech) diversifica hacia la clasificación por sensores: reciclaje y minería primero, alimentos después con Odenberg (2011), BEST (2012), Compac (2016) y BBC Technologies (2018) [23]. Con Tove Andersen como consejera delegada desde agosto de 2021 [23], vuelve a reforzar la recogida: c-trace (80 %, octubre de 2024), los minoritarios de TOMRA Collection Australia y CLYNK (septiembre de 2025) [13], y en 2026 estudia vender TOMRA Mining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la familia Planke e invención de la primera RVM para botellas reutilizables en Noruega; 29 máquinas instaladas a final de año [13,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RVM autoprogramable (Tomra SP), que dispara el crecimiento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Oslo; la expansión en EE. UU. lleva a una pérdida antes de impuestos de 129,6 M NOK en 1986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NEROC (manipulación de material): entrada en la cadena de valor posterior a la recogida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TiTech: entrada en la clasificación por sensores, origen de TOMRA Recycling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Commodas; Alemania implanta el depósito para envases de un solo uso (en vigor desde enero de 2003 según Reloop), el gran hito de la década [15,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Odenberg (2011) y BEST (2012): entrada en la clasificación de alimentos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Compac (2016) y BBC Technologies (2018): calibrado de fruta fresca, base de TOMRA Food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Tove Andersen, consejera delegada desde el 16 de agosto de 2021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80 % de c-trace (gestión digital de residuos, Alemania), dentro de TOMRA Horizon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CLYNK (devolución por bolsas en EE. UU.) y de los minoritarios de TOMRA Collection Australia; apertura de la planta de TOMRA Feedstock en Områ (Noruega); arranque del depósito en Austria y Polonia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reducción de costes en Recycling; estudia vender TOMRA Mining; Polonia se convierte en su segundo mercado de depósito de Europa [11, 12, 13].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TOMRA vende tecnología de sensores para recoger, clasificar y aprovechar recursos. </w:t>
      </w:r>
      <w:r>
        <w:rPr>
          <w:b/>
        </w:rPr>
        <w:t xml:space="preserve">Collection</w:t>
      </w:r>
      <w:r>
        <w:t xml:space="preserve"> (741 M EUR en 2025, el 56 % del grupo) diseña, fabrica, vende o alquila y mantiene máquinas de devolución de envases (RVM) en mercados con depósito: más de 91.900 instalaciones en más de 60 mercados, que captan más de 53.000 M de envases al año; en algunos mercados también procesa el material y gestiona datos y compensación del sistema [4, 13]. </w:t>
      </w:r>
      <w:r>
        <w:rPr>
          <w:b/>
        </w:rPr>
        <w:t xml:space="preserve">Recycling</w:t>
      </w:r>
      <w:r>
        <w:t xml:space="preserve"> (218 M EUR) vende clasificadoras por sensores a recicladores, gestores de residuos y minas, con 11.900 máquinas instaladas en más de 100 países [13]. </w:t>
      </w:r>
      <w:r>
        <w:rPr>
          <w:b/>
        </w:rPr>
        <w:t xml:space="preserve">Food</w:t>
      </w:r>
      <w:r>
        <w:t xml:space="preserve"> (328 M EUR) vende clasificadoras y calibradoras a productores, centrales hortofrutícolas y procesadores, con ~16.100 unidades instaladas, centrada en nueve categorías (patata, frutos secos, arándanos, kiwi, cítricos, cerezas, manzanas, fruta y verdura procesadas) [4, 13]. </w:t>
      </w:r>
      <w:r>
        <w:rPr>
          <w:b/>
        </w:rPr>
        <w:t xml:space="preserve">Horizon</w:t>
      </w:r>
      <w:r>
        <w:t xml:space="preserve"> (32 M EUR) agrupa negocios nuevos: Feedstock, Reuse y c-trace [13]. Ingresos del grupo en 2025: 1.318 M EUR [13].</w:t>
      </w:r>
    </w:p>
    <w:p>
      <w:pPr>
        <w:pStyle w:val="Heading2"/>
      </w:pPr>
      <w:r>
        <w:t xml:space="preserve">Cómo gana dinero</w:t>
      </w:r>
    </w:p>
    <w:p>
      <w:pPr>
        <w:spacing w:after="100"/>
      </w:pPr>
      <w:r>
        <w:t xml:space="preserve">En Collection, el 39 % de los ingresos de 2025 fue venta de equipos y el 61 % servicios: servicio y mantenimiento (22 %), arrendamiento y </w:t>
      </w:r>
      <w:r>
        <w:rPr>
          <w:i/>
        </w:rPr>
        <w:t xml:space="preserve">throughput</w:t>
      </w:r>
      <w:r>
        <w:t xml:space="preserve"> (22 %; TOMRA conserva la máquina y cobra una tarifa por envase recogido) y recuperación de material (17 %) [13]. Los mercados ya establecidos dieron el 87 % de los ingresos de la división y crecen con la reposición y el servicio (servicio +11 % en 2025); los nuevos mercados dan picos de venta de equipos con menos margen (margen bruto del 38,6 % en el 2T26 frente al 41,8 % por la venta en Polonia) [4, 13]. Collection ganó un EBITA de 126 M EUR (17,0 %) en 2025 [13]. Recycling y Food venden bienes de equipo con cartera de pedidos (94 M y 136 M EUR a final de 2025): el margen depende del volumen y la mezcla (Recycling bajó del 23 % al 11 % de EBITA ajustado al caer las ventas un 18 %) [13].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n.d.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En Collection, el cliente tipo es la cadena de alimentación: la propia TOMRA describe ese negocio como de «alta cuota de mercado» y servicio recurrente, líder mundial desde hace más de 50 años [13]. En los mercados nuevos, las compras las hacen pocas cadenas grandes por concurso: en Reino Unido, TOMRA ha sido elegida por dos grandes cadenas para ~3.900 RVM, y en Polonia la primera fase fue de grandes cadenas, con independientes después [4, 11]. En los modelos de </w:t>
      </w:r>
      <w:r>
        <w:rPr>
          <w:i/>
        </w:rPr>
        <w:t xml:space="preserve">throughput</w:t>
      </w:r>
      <w:r>
        <w:t xml:space="preserve"> (Australia, Estonia, Letonia, Lituania, centros grandes de Quebec), el cliente es el sistema o el operador, y los ingresos varían con el volumen [4, 13]. No publica concentración de clientes. Poder de precios: el margen bruto de Collection subió 1,1 puntos en 2025, hasta el 41,7 %, por mejoras y más servicio, pero los mercados nuevos con competencia se venden con menos margen (Polonia) [4,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de RVM (Collection)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60 mercados y 53.000 M de envases al año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Instalaciones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Collection, Recycling (11.900) y Food (16.100)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 peso de mercados existentes / nuevos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 20 %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 13 %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 nuevos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nuevos mercados 69 M de 246 M (Polonia, Portugal, Singapur, Rumanía)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 venta de equipos / servicios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 55 % (2024, cálculo propio con la nota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 61 %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p.p. equipos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 software y servicio, arrendamiento y throughput, y recuperación de material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 entrada de pedidos / cartera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2T25: 41 M / 107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58 M / 105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 −2 %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2025: 205 M (−25 %); cartera a cierre de 2025: 94 M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Food: entrada de pedidos / cartera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2T25: 106 M / 137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2T26: 83 M / 121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 / −11 %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de 2025: 356 M (+12 %); cartera a cierre de 2025: 136 M (+26 %) [4,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sistemas de devolución de envases con depósito (DRS)</w:t>
      </w:r>
      <w:r>
        <w:t xml:space="preserve">: venta, servicio, arrendamiento y </w:t>
      </w:r>
      <w:r>
        <w:rPr>
          <w:i/>
        </w:rPr>
        <w:t xml:space="preserve">throughput</w:t>
      </w:r>
      <w:r>
        <w:t xml:space="preserve"> de RVM a cadenas de distribución y operadores de sistema. Es el negocio que más pesa en el beneficio de TOMRA (126 de 192 M EUR de EBITA de las divisiones en 2025). Lo mueve la regulación: de los 2 billones de envases de bebida vendidos cada año en el mundo, el 11 % se vende en mercados con DRS y otro 11 % en mercados que lo van a implantar, sobre todo en Europa [13]. Los estudios de mercado (Credence, Market Research Future) estiman ~450-460 M USD en 2024 [16, 17], menos que los ingresos de TOMRA Collection (741 M EUR) [13]: miden solo la venta de máquinas. Se usa como suelo la suma de los dos actores cotizados. Los otros dos mercados: clasificadoras ópticas (~3.122 M USD en 2024, el 40 % alimentos)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 831 M EUR en 2025 sumando TOMRA Collection (741 M EUR) y Envipco (90,3 M EUR), los dos actores que publican cuentas, con servicio y recuperación de material [13, 14]. Solo venta de máquinas: 446,5 M USD en 2024 según Market Research Future [17] y 461,2 M USD según Credence Research [16]. Clasificadoras ópticas (reciclaje, alimentos, minería): 3.121,9 M USD en 2024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 de RVM según Market Research Future; 2030e interpolado con su TCAC del 5,52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la UE (SUP y PPWR) y leyes nacionales de depósito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PPWR obliga a recoger por separado el 90 % de las botellas de plástico y latas de hasta 3 l desde el 1 de enero de 2029 mediante DRS, salvo que el país haya recogido el 80 % en 2026 [15]; 14 de los 27 países de la UE tenían DRS en 2024 [15]; el 11 % de los envases del mundo se vende en mercados que lo van a implantar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Calendario de los nuevos mercados (picos de instalación)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nuevos mercados pasaron del 20 % de los ingresos de Collection en 2024 al 13 % en 2025 (≈155 M y ≈96 M EUR, estimación propia sobre 773 y 741 M EUR); en el 2T26 dieron 69 M EUR en un trimestre (15 M EUR un año antes), y TOMRA espera que se frenen en el 2S26 hasta las entregas en Reino Unido de 2027 [4, 11,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 y reposición en mercados establecidos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+11 % en 2025; mercados existentes +15 % en el 2T26 (con CLYNK); TOMRA espera crecimiento de un dígito medio en ellos [4, 11,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plásticos vírgenes y reciclados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años de plástico virgen barato hundieron la inversión de los recicladores: ingresos de Recycling −18 % en 2025 (Norteamérica −59 %) y pedidos de 205 M EUR frente a 274 M [13]. También rebaja la recuperación de material: los servicios de Envipco en Norteamérica cayeron un 5 % por el precio de los plásticos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de productores de alimentos (cosechas, mano de obra, exportación)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años flojos, Food creció un 5 % en 2025 y sus pedidos un 12 % (356 M EUR) [13]; en el 2T26 los pedidos cayeron un 22 % por menos proyectos grandes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un duopolio en mercados nuevos: Envipco se fija más del 30 % de cuota en cada mercado nuevo y dice estar cumpliéndolo [14]; en Polonia TOMRA tiene ~7.000 de ~13.000 RVM [11]. Envipco pierde dinero (EBIT de −7,6 M EUR en 2025) [14], lo que sugiere precios agresivos en los concursos.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cadenas grandes compran por concurso en cada lanzamiento (Reino Unido: dos cadenas, ~3.900 RVM) [11]; el margen bruto de Collection cayó al 38,6 % en el 2T26 por el precio en Polonia [4]. Un solo cliente dio a Envipco 19,7 M EUR, más del 10 % de sus ingresos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industriales y electrónicos; TOMRA fabrica las máquinas y comparte con un fabricante externo el diseño de los compactadores [13]. No hay indicios de proveedores críticos únicos.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homologación por el operador (Irlanda publica su especificación de RVM) [15], red de servicio en cada país y capital circulante para los picos de instalación. Envipco necesitó 54 M EUR de ampliación de capital para seguir el ritmo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recogida manual sigue siendo el 15 % del volumen en Polonia [11] y el 28 % en Eslovaquia [15]; los sistemas por bolsas (que TOMRA compró con CLYNK) y los países que alcancen el 80 % sin DRS pueden evitar la RVM [13, 15].</w:t>
            </w:r>
          </w:p>
        </w:tc>
      </w:tr>
    </w:tbl>
    <w:p>
      <w:pPr>
        <w:spacing w:after="160" w:before="0"/>
      </w:pPr>
    </w:p>
    <w:p>
      <w:pPr>
        <w:pStyle w:val="Heading2"/>
      </w:pPr>
      <w:r>
        <w:t xml:space="preserve">Ciclo</w:t>
      </w:r>
    </w:p>
    <w:p>
      <w:pPr>
        <w:spacing w:after="100"/>
      </w:pPr>
      <w:r>
        <w:t xml:space="preserve">En Collection, el ciclo lo marca el calendario regulatorio, no la economía: ingresos récord en el 2T26 (+45 %) por Polonia, Portugal, Singapur y Rumanía, y Reino Unido en 2027 [4, 11]. La señal de que el pico de un mercado ya pasó es la caída de los ingresos de nuevos mercados (20 % → 13 % de Collection entre 2024 y 2025) [13]. Recycling está en contracción: ingresos −18 % en 2025, pero los pedidos subieron un 40 % en el 2T26 por minería y metales [4, 13]. Food se recupera tras 2023-24 [13]. No se han buscado datos de 2008-09 y 2020.</w:t>
      </w:r>
    </w:p>
    <w:p>
      <w:pPr>
        <w:pStyle w:val="Heading2"/>
      </w:pPr>
      <w:r>
        <w:t xml:space="preserve">Regulación</w:t>
      </w:r>
    </w:p>
    <w:p>
      <w:pPr>
        <w:spacing w:after="100"/>
      </w:pPr>
      <w:r>
        <w:t xml:space="preserve">La Directiva de plásticos de un solo uso (SUP) exige recoger por separado el 90 % de las botellas de plástico en 2029. El Reglamento de Envases (PPWR), en vigor desde el 11 de febrero de 2025, obliga a implantar el DRS para botellas de plástico y latas de hasta 3 l el 1 de enero de 2029, salvo que el país haya recogido el 80 % en 2026 y tenga un plan creíble para llegar al 90 % [13, 15]. Exige además un 25 % de contenido reciclado en botellas PET desde 2025 y un 30 % en 2030 [15], lo que tira de Recycling. España quedó obligada a implantar el DRS tras recoger el 41 % en 2023 (el umbral era el 70 %), con el operador aún por asignar [4, 11]. Reino Unido arranca el 1 de octubre de 2027 [4].</w:t>
      </w:r>
    </w:p>
    <w:p>
      <w:pPr>
        <w:pStyle w:val="Heading2"/>
      </w:pPr>
      <w:r>
        <w:t xml:space="preserve">Tendencias y disrupción</w:t>
      </w:r>
    </w:p>
    <w:p>
      <w:pPr>
        <w:spacing w:after="100"/>
      </w:pPr>
      <w:r>
        <w:t xml:space="preserve">Hay tres tendencias. La primera, máquinas multienvase y para vidrio: el TOMRA R2 ya acepta vidrio, y se pasaron las 1.000 instalaciones de R1 y R2 [13]. La segunda, máquinas pequeñas y baratas para tiendas independientes en mercados nuevos: TOMRA B7 y S2 en Polonia [13]. La tercera, devolución por bolsas en Norteamérica (CLYNK) [13]. En Collection, la competencia de Envipco crece en mercados nuevos (Rumanía es su mayor mercado europeo) [14], así que TOMRA gana el volumen pero con menos cuota que en su base histórica. En Recycling, el PPWR y la responsabilidad ampliada del productor empujan la demanda, y la IA (GAINnext) y el láser (LIBS) abren el clasificado fino. Pero la inversión depende del diferencial entre el material virgen y el reciclado [13].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RVM: 91.900 instalaciones frente a 13.000 de Envipco, el segundo que publica cuentas [13, 14]. En el mayor mercado nuevo, Polonia, tiene ~7.000 de ~13.000 RVM (≈54 %, estimación propia) y el 58 % de los envases recogidos por máquina [11]. En Recycling dice tener posición de liderazgo mundial (11.900 máquinas) y en Food una de las bases tecnológicas más amplias, sin cuota publicada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Envipco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 (cotiza en Oslo)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ENVIP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puro de RVM que cotiza: ~13.000 RVM instaladas en 17 mercados; venta de RVM de 54,0 M EUR y servicios de 36,4 M EUR en 2025 (−21 %); EBIT de −7,6 M EUR y margen bruto del 33,4 % (TOMRA Collection: 41,7 %). Rumanía y Hungría son sus mayores mercados europeos; objetivo de más del 30 % de cuota en cada mercado nuevo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Bühler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clasificación óptica de alimentos (Sortex) dentro de un grupo de maquinaria alimentaria: ventas de ~2.800 M CHF en 2025 (−7,8 % en CHF), EBIT de 220,3 M CHF [19]. Convertido a EUR al tipo de cierre de 2025 (0,9314 CHF/EUR) [24]. No desglosa la clasificación.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JBTM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Maquinaria de proceso de alimentos y bebidas, rival de TOMRA Food en clasificación y procesado de fruta y verdura: ingresos de 3.798,2 M USD en 2025 y beneficio operativo de 189,4 M USD; el 50 % de los ingresos es recurrente [20]. Convertido a 1,175 USD/EUR (cierre de 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STEINERT GmbH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directo de TOMRA Recycling en metales, residuos y minería (sensores y magnetismo), empresa familiar. Datos de 2024 de la sociedad matriz (HGB, incluye la línea ANOFOL): 122,6 M EUR de ventas. El margen es una estimación propia: resultado antes de impuestos (18,2 M EUR), menos dividendos de filiales (4,0 M) y resultado financiero neto (0,3 M) [21]. En 2023, 123,2 M EUR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densidad de servicio y datos (91.900 máquinas en más de 60 mercados, compensación y datos del sistema en algunos mercados) [4], pero el consumidor no elige la marca de la máquina: el efecto de red es débil.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61 % de los ingresos de Collection es servicio, *throughput* o recuperación de material, con contratos plurianuales [4]. En *throughput* la máquina sigue siendo de TOMRA. La reposición va al proveedor instalado: los mercados existentes crecen un 15 % en el 2T26 sin nuevas leyes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50 años de liderazgo, seis líneas de producto, más de 1.000 multienvase R1/R2 [4]; la homologación por cada operador favorece a quien ya está aprobado. No cuantifica patentes.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Collection del 41,7 % en 2025 frente al 33,4 % de Envipco; EBITA del 17,0 % frente a un EBIT de −8,4 % [4, 5]. Pero en Polonia TOMRA también tuvo que bajar su margen de producto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pequeño y regulado: ~450 M USD de venta de máquinas al año [8], con dos actores relevantes. Cada lanzamiento admite pocos proveedores: en Singapur, tres operadores de red [4].</w:t>
            </w:r>
          </w:p>
        </w:tc>
      </w:tr>
    </w:tbl>
    <w:p>
      <w:pPr>
        <w:spacing w:after="160" w:before="0"/>
      </w:pPr>
    </w:p>
    <w:p>
      <w:pPr>
        <w:pStyle w:val="Heading2"/>
      </w:pPr>
      <w:r>
        <w:t xml:space="preserve">Amenazas</w:t>
      </w:r>
    </w:p>
    <w:p>
      <w:pPr>
        <w:spacing w:after="100"/>
      </w:pPr>
      <w:r>
        <w:t xml:space="preserve">La amenaza principal es la cuota en los mercados nuevos. Envipco se fija más del 30 % en cada uno y Rumanía ya es su mayor mercado europeo [14]; en Polonia TOMRA tiene ~54 % de las máquinas, muy por debajo del peso de su base histórica [11, 14]. Probabilidad alta de que la cuota en mercados nuevos siga por debajo de la histórica. Segunda amenaza: precios a la baja en los concursos de grandes cadenas (Reino Unido 2027), con el margen bruto de Collection ya en el 38,6 % en el 2T26 [4]. Tercera: retrasos regulatorios (Grecia, Uruguay, España sin fecha) [4]. El riesgo de que un país evite el DRS alcanzando el 80 % por otras vías es bajo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5,3 %</w:t>
      </w:r>
      <w:r>
        <w:t xml:space="preserve">, EBITDA </w:t>
      </w:r>
      <w:r>
        <w:rPr>
          <w:b/>
          <w:bCs/>
        </w:rPr>
        <w:t xml:space="preserve">2,3 %</w:t>
      </w:r>
      <w:r>
        <w:t xml:space="preserve">, BPA </w:t>
      </w:r>
      <w:r>
        <w:rPr>
          <w:b/>
          <w:bCs/>
        </w:rPr>
        <w:t xml:space="preserve">-3,9 %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1.206 M en 2022 a 1.318 M en 2025 (TCAC ~3 %), con un 2025 a la baja (−2,2 %; en línea a tipo de cambio constante) porque Collection cayó un 4 % al dejar atrás las grandes entregas de 2024 a nuevos mercados (Austria, Hungría, Irlanda) y Recycling un 18 % [1, 5]. El EBITDA (EBIT + amortizaciones, incluidos los derechos de uso) sube de 198 M en 2023 a 262 M en 2025; 2023 está deprimido por 43 M de partidas especiales (ciberataque y reestructuración de Food) [2, 3]. El margen bruto mejora de 43,3 % a 44,4 % en 2025 por más servicio y throughput en Collection y la recuperación de Food, pero las amortizaciones suben de 99,6 M a 114,4 M por el capex en Feedstock y máquinas propias [1]. En el 1S26 los ingresos crecen un 17 % (739 M) por Polonia y Portugal, pero el margen bruto cae a 40,8 % por la mezcla de venta de máquinas y el beneficio neto atribuido baja a 25 M por 13 M de reestructuración de Recycling [4]. 2021 y 2022 son conversiones propias desde NOK (informes anuales 2022 y 2023 con los tipos del BCE) [3, 9, 10].</w:t>
      </w:r>
    </w:p>
    <w:p>
      <w:pPr>
        <w:pStyle w:val="Heading2"/>
      </w:pPr>
      <w:r>
        <w:t xml:space="preserve">Ajustes y partidas no recurrentes</w:t>
      </w:r>
    </w:p>
    <w:p>
      <w:pPr>
        <w:spacing w:after="100"/>
      </w:pPr>
      <w:r>
        <w:t xml:space="preserve">TOMRA publica EBITA y EBITA ajustado por «special items» (dentro del EBITDA, en gastos operativos). Importes: 2023, ~43 M de coste (EBITA 119 M frente a 162 M ajustado: ciberataque y reestructuración de Food); 2024, 5,3 M de coste (reestructuración de Food); 2025, +2,5 M de ingreso neto (ahorros únicos del programa de Food menos 1,3 M de reestructuración de Recycling en el 4T25); 1S26, 13 M de coste (programa de 16 M de ahorro en Recycling) [1, 2, 4, 5]. Se devuelven al EBITDA para calcular márgenes comparables (en 2025 restan, porque fueron un ingreso neto). El dividendo se declara en NOK; el DPA en EUR es el pagado en mayo del año siguiente según el equivalente en MEUR del flujo de caja entre ~295,4 M de acciones (estimación propia). Los gastos financieros incluyen los intereses de arrendamientos (7,0 M en 2025).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w:t>
      </w:r>
      <w:r>
        <w:rPr>
          <w:b/>
        </w:rPr>
        <w:t xml:space="preserve">1T26</w:t>
      </w:r>
      <w:r>
        <w:t xml:space="preserve"> (24-abr-26) la dirección defendió que el trimestre «confirma que vamos por buen camino»: Collection +12 % (+15 % a tipo constante), con los mercados existentes creciendo un 5 % y Polonia por encima de 4.000 máquinas; Food +13 %; Recycling −19 % con un pedido de 41 M, y un programa de ahorro de 16 M que costó 13 M de partidas especiales. Atribuyó la caída del margen bruto a 40,2 % a la mezcla a corto plazo [6, 7].</w:t>
      </w:r>
    </w:p>
    <w:p>
      <w:pPr>
        <w:spacing w:after="100"/>
      </w:pPr>
      <w:r>
        <w:t xml:space="preserve">En el </w:t>
      </w:r>
      <w:r>
        <w:rPr>
          <w:b/>
        </w:rPr>
        <w:t xml:space="preserve">2T26</w:t>
      </w:r>
      <w:r>
        <w:t xml:space="preserve"> (17-jul-26) el mensaje pasó a volumen: ingresos +25 % a 405 M, nuevos mercados con 69 M (Polonia, Portugal, Singapur y Rumanía), EBITA ajustado de 57 M (14,1 %). Pero el margen de Collection bajó a 38,6 % por los menores márgenes de producto en Polonia, y la deuda neta/EBITDA subió a 2,5x. La guía cambió de tono: Collection espera 400-440 M en el 2S26 porque las entregas a nuevos mercados frenan, el Reino Unido se va a 2027, Recycling 200-215 M en el año y Food 340-360 M [4]. Entre trimestres, Scope rebajó el rating a BBB+ por apalancamiento y caja más débil [8]. No hemos tenido acceso a la transcripción del turno de preguntas.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pasa de 283 M en 2023 a 517 M en 2025, y con arrendamientos (156 M) la deuda neta de la empresa llega a 608 M (2,3x EBITDA), frente a 1,6x en 2024. El salto se debe a CLYNK (39,6 M en caja), a la compra del 20 % restante de Tomra Collection Australia y el 30 % de Francia (53,9 M) y al capex de Feedstock [1]. En jun-26 la deuda neta/EBITDA sube a 2,5x [4]. El circulante absorbe caja: las existencias suben 29 M en 2025 (a 254,6 M) para preparar las entregas a nuevos mercados, y los cobros pendientes saltan de 401 M a 463 M en el 1S26 con Polonia [1, 4]. Los vencimientos se concentran en 2028 (RCF de 121,8 M) y a partir de 2030 (bonos verdes en NOK) [1].</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119</w:t>
      </w:r>
      <w:r>
        <w:t xml:space="preserve">, conversión </w:t>
      </w:r>
      <w:r>
        <w:rPr>
          <w:b/>
          <w:bCs/>
        </w:rPr>
        <w:t xml:space="preserve">26 %</w:t>
      </w:r>
      <w:r>
        <w:t xml:space="preserve"> del beneficio neto; adquisiciones 200, dividendos 281, recompras 20.</w:t>
      </w:r>
    </w:p>
    <w:p>
      <w:pPr>
        <w:spacing w:after="100"/>
      </w:pPr>
      <w:r>
        <w:t xml:space="preserve">El flujo operativo se presenta antes de intereses (los intereses, incluidos los de arrendamientos, van en financiación y aquí se recogen netos de los cobros por swaps). Pasa de 114 M en 2022 a 235 M en 2024 y cae a 171 M en 2025 por el aumento de existencias (−33,9 M) para los nuevos mercados de depósito [1]. El capex sube de 82 M (2022) a 131,5 M (2025) e incluye las máquinas propias de throughput y de arrendamiento operativo, que no van aparte: 78,1 M de las inversiones de 2025 fueron de Collection y 25,4 M de Horizon, sobre todo Feedstock [1]. Para 2026 la empresa planea 90-100 M de capex, unos 10 M en Horizon [4]. No publica el reparto entre mantenimiento y crecimiento; como estimación propia, el mantenimiento rondaría la amortización material sin derechos de uso (~61 M en 2025: 102,6 M de amortización material menos 41,2 M de derechos de uso). Las adquisiciones de 2024-2025 incluyen la compra de minoritarios por opciones, que la empresa clasifica en financiación (25,5 M y 54,9 M).</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AS (PwC)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desde el ejercicio 2020, elegido en la junta del 4-may-20, y emitió una opinión sin salvedades sobre 2025 [1]. Puntos a vigilar: (1) el cambio de moneda de presentación de NOK a EUR en 2024, con 2020-2023 reexpresados; las series anteriores salen de cuentas en NOK. (2) Las partidas especiales son recurrentes en la práctica: ~43 M en 2023, 5,3 M en 2024, +2,5 M en 2025 y 13 M en el 1S26. (3) Se capitalizan costes de desarrollo (59,4 M de activo en 2025, frente a 34,3 M en 2023). (4) Los ingresos por venta de máquinas se reconocen en la instalación y los de arrendamientos financieros también de una vez, lo que concentra ingresos en las implantaciones de nuevos mercados. (5) Las opciones de venta de minoritarios se valoran contra patrimonio (−30,8 M en 2024 y −10,7 M en 2025), no contra la cuenta. (6) El resultado financiero mueve más de 100 M brutos de diferencias de cambio. El tipo efectivo es estable (24,2 % en 2024 y 2025)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casi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 M en 2023, 5,3 M en 2024, +2,5 M en 2025 y 13 M en el 1S26 (reestructuraciones de Food y Recycling, ciberataque) [1,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Aumento de la capitalización de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por desarrollo pasa de 34,3 M (2023) a 59,4 M (2025)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en descenso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de 171 M frente a 262 M de EBITDA en 2025 por las existencias; en el 1S26 los cobros pendientes suben 62 M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Pasivos por opciones sobre minoritarios contra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−30,8 M (2024) y −10,7 M (2025) de cambios de estimación llevados a reservas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-1,1 % · </w:t>
      </w:r>
      <w:r>
        <w:rPr>
          <w:b/>
          <w:bCs/>
        </w:rPr>
        <w:t xml:space="preserve">WACC</w:t>
      </w:r>
      <w:r>
        <w:t xml:space="preserve">: 8,3 %.</w:t>
      </w:r>
    </w:p>
    <w:p>
      <w:pPr>
        <w:spacing w:after="100"/>
      </w:pPr>
      <w:r>
        <w:rPr>
          <w:b/>
        </w:rPr>
        <w:t xml:space="preserve">Tomra crea valor, pero cada vez menos.</w:t>
      </w:r>
      <w:r>
        <w:t xml:space="preserve"> El ROIC después de impuestos cae del 15,0 % de 2021 al 13,3 % en 2022, el 12,0 % en 2023, el 12,5 % en 2024 y el 9,8 % en 2025, ya muy cerca del WACC del 8,26 %. El ROIC incremental de 2021-2025 es del −1,1 %: el beneficio operativo después de impuestos se quedó en torno a 110 M mientras el capital invertido subía de 756 a 1.121 M. Lo que lo hunde es la rotación, no el margen: los ingresos por euro de activo bajan de 0,93 a 0,77 porque Tomra se llenó de capital en esos años (máquinas propias de throughput, la planta de Feedstock en Områ, existencias para los nuevos mercados y las compras de c-trace, CLYNK y los minoritarios de Australia) [1]. La propia empresa da el mismo diagnóstico con su ROCE: del 22,9 % en 2021 al 15,4 % en 2025 [1]. El único rival puro que cotiza, Envipco, pierde dinero (margen EBIT del −8,4 %) [14]. El objetivo de 2030 del Capital Markets Day de 2024 era un ROCE de más del 18 % [34]; recuperarlo exige que el capital invertido de 2024-2025 empiece a dar ingresos en 2026-2027.</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 31-dic-25: caja de 87,4 M y 54,1 M de líneas no dispuestas (de un total de 209 M entre Eksfin, descubierto del cash pool y RCF de 150 M que vence en dic-28) [1]. Al 30-jun-26: caja de 69 M y 112 M de líneas no dispuestas; vida media de la deuda de 3,7 años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Scope Ratings: BBB+, perspectiva estable; rebaja de un escalón desde A- anunciada por TOMRA el 3-jun-26 (comunicado original en Cision, leído en texto literal) por mayor apalancamiento tras adquisiciones financiadas con deuda y caja más débil. Antes, A-/estable, confirmado en 2025 [1, 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 el RCF y la financiación de Eksfin exigen patrimonio de al menos el 30 % del activo cada trimestre; el ratio era del 35 % a cierre de 2025 y del 34 % en jun-26, con poca holgura [1, 4]. Pensiones: 21,1 M de pasivo (con 16,3 M de seguro de vida corporativo en activo). Provisiones a corto plazo: 35,1 M. CLYNK lleva un earn-out de 9,6 M hasta 2027. Opciones de venta y compra sobre minoritarios registradas como pasivo financiero (método de adquisición anticipada): c-trace (20 %, ejercitable tras las cuentas de 2026) y AKR (49 %, tras 2028); en 2025 el cambio de estimación restó 10,7 M de patrimonio (30,8 M en 2024) [1]. La deuda neta de la empresa incluye 21,6 M de derivados (swaps de divisa): 607,8 M a cierre de 2025, 2,3x el EBITDA [1].</w:t>
      </w:r>
    </w:p>
    <w:p>
      <w:pPr>
        <w:pStyle w:val="Heading1"/>
      </w:pPr>
      <w:r>
        <w:t xml:space="preserve">12. Asignación de capital</w:t>
      </w:r>
    </w:p>
    <w:p>
      <w:pPr>
        <w:pStyle w:val="Confianza"/>
        <w:spacing w:after="100"/>
      </w:pPr>
      <w:r>
        <w:t xml:space="preserve">Confianza: Media</w:t>
      </w:r>
    </w:p>
    <w:p>
      <w:pPr>
        <w:spacing w:after="100"/>
      </w:pPr>
      <w:r>
        <w:t xml:space="preserve">TOMRA reparte entre el 40 % y el 60 % del BPA como dividendo, manteniendo un rating de grado de inversión [1]. Propuso NOK 2,15 por acción con cargo a 2025 (payout del 58 %, igual que en 2024), pagado en mayo de 2026 por un equivalente de 59 M [1, 4]. No hay recompras para retribuir: la junta autoriza adquirir hasta 1.000.000 de acciones propias para el plan de acciones de los empleados (650.000 compradas en 2025 por 7,6 M) [1]. La prioridad declarada es el crecimiento en nuevos mercados de depósito y Horizon; el capex planeado para 2026 es de 90-100 M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c-trace GmbH (80 %, gestión digital de residuos,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(58,9 M en caja + opción sobre el 20 % restante)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54,5 M; aportó 6,3 M de ingresos en 2024 y en 2025 ganó su mayor contrato (Bratislava); sin deterioro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Tomra Holding OÜ (Bálticos) y 49 % de Tomra Recycling Technology (Xiamen)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(ejercicio de opciones)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del 100 % de las filiales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CLYNK (bag drop en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39,6 M en caja + 9,6 M de earn-out</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 M de ingresos y −1,5 M de EBITA en el 4T25; 24,4 M de ingresos y −0,5 M de EBITA pro forma anual; 7 M de ingresos en el 2T26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 restante de Tomra Collection Australia, 30 % de Tomra Collection France y 40 % de Bottlecycler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(ejercicio de opciones de compra y venta)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tiene ahora el 100 %; reduce los minoritarios de la cuenta, pero sube la deuda neta/EBITDA a 2,3x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 Kunststoffrecycling (51 %, Feedstock) y Smartsquare (100 %, software)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Fondos de comercio de 6,1 M y 2,2 M [1].</w:t>
            </w:r>
          </w:p>
        </w:tc>
      </w:tr>
    </w:tbl>
    <w:p>
      <w:pPr>
        <w:spacing w:after="160" w:before="0"/>
      </w:pPr>
    </w:p>
    <w:p>
      <w:pPr>
        <w:spacing w:after="100"/>
      </w:pPr>
      <w:r>
        <w:t xml:space="preserve">Entre 2022 y 2025, TOMRA dedicó ~425 M a capex y ~198 M a adquisiciones y compras de minoritarios (casi todo en 2024-2025), frente a ~238 M de dividendos (cifras de los flujos). El crecimiento de 2022-2025 fue modesto (TCAC de ingresos ~3 %) para el aumento del capital empleado: el ROCE de la empresa bajó de 22,9 % en 2021 a 15,4 % en 2025 [1]. Las compras recientes son pequeñas y estratégicas (bag drop, minoritarios en mercados de throughput), pero se financiaron con deuda y llevaron a la rebaja del rating [8]. No hay dilución: las acciones emitidas siguen en 296,04 M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Tove Andersen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 (President &amp; CEO); no forma parte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Ingeniera (NTNU) y MBA (BI); 24 años en Yara (1997-2021), donde fue EVP Europa, Producción y Cadena de suministro; CEO de Tomra desde el 16-ago-2021 [1, 25]. Con ella los ingresos crecieron un 15,9 % en 2021 y un 12,1 % en 2022, pero se frenaron (+6,9 % y +4,6 %) y cayeron un 2,2 % en 2025 (1.318 MEUR); el BPA fue de 0,36 EUR en 2021 y de 0,31 EUR en 2025, y el margen EBITA de 2025 (13,2 %) queda lejos del 18 % fijado para 2030 [25]. Tiene 75.548 acciones tras el programa de mayo de 2026 y 8.000 más a través de personas vinculadas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 Sagemo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Promoción interna: en Tomra desde 2012 como Group Controller de Tomra Sorting y del grupo (2018-2022); antes, BDO, Aibel y Fugro; CFO desde el 1-mar-2022 [1, 25]. Consejera de Akastor y Hexagon Composites [1]. 18.988 acciones tras mayo de 2026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Hjertonsson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 preside las comisiones de Remuneración y de Horizon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Investment AB Latour (21,08 % de Tomra) desde 2019; antes, CEO de Fagerhult (2009-2018) y de Lammhults Design, y directivo de Electrolux [1, 29]. Preside Alimak y ASSA ABLOY y es consejero de Sweco, todas participadas de Latour [1]. Tiene 20.000 acciones a título personal (10.000 compradas en noviembre de 2025) y figuran como vinculadas suyas las 62,4 millones de Latour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Harald Henriksen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responsable de TOMRA Food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Tomra desde 2004 (CEO de Tomra North America 2011-2016 y responsable de Collection 2016-2023); al frente de Food desde 2023 [1]. Con el programa de ahorro de ~30 MEUR anuales lanzado en 2024, el margen EBITA de Food pasó del 5 % en 2024 al 14 % en 2025 con ingresos +5 % (328 MEUR) [30, 32]; en el 2T26 bajó al 14,9 % ajustado desde el 17,6 % [4]. Es el directivo con más acciones (114.382)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Marius Fraurud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responsable de TOMRA Collection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(NTNU); en Tomra desde 2016 (I+D, tecnología RVM, responsable de EMEA) y antes en Aker Solutions; responsable de Collection desde octubre de 2023 [1, 25]. Collection facturó 741 MEUR en 2025 (−4 %, por el calendario de los nuevos mercados de depósito) y 246 MEUR en el 2T26 (+46 %) con el despliegue de Polonia [4,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Lars Kversøy Enge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EVP, responsable de TOMRA Recycling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Ex-CFO de Yara Europe; en Tomra desde 2022 como EVP de Estrategia, creó TOMRA Horizon (Feedstock, Reuse, compra de c-trace) [1, 36]. Nombrado el 3-sep-2025 tras la salida de Katrin Fricke, que solo duró tres meses en el cargo [25, 36]. Recycling cerró 2025 con margen EBITA del 10 % (23 % en 2024) y lanzó en febrero de 2026 un ajuste de 16 MEUR brutos y ~175 empleos para volver a más del 20 % [30, 35].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 crecimiento de ingresos que «puede alcanzar un dígito medio» (informe 2T25) [31]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Food 328 MEUR frente a 311 MEUR (+5 %) [30]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 margen EBITA del 10-11 % en 2025 tras el programa de ahorro de 2024 (informes 2T25 y 3T25) [31]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de Food 47 MEUR sobre 328 MEUR: 14 % [30]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Horizon: capex de 40 MEUR en 2025, sobre todo en las plantas de Feedstock (informes 4T24 y 2T25) [31, 32]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Rebajado a 30 MEUR en el 3T25; en el 4T25 se congelaron los ~25 MEUR pendientes de la planta alemana [30]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Collection: margen bruto del año por encima del 40 % (informe 1T26)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se rebaja a «en torno al 40 %» para el año, tras un 38,6 % en el trimestre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del grupo de ~100 MEUR (informes 4T25 y 1T26) [30,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Rebajado a 90-100 MEUR en el 2T26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CMD 2024: crecer un 15 % anual a lo largo del ciclo, margen EBITA del 18 % y ROCE &gt;18 % en 2030; dividendo del 40-60 % del BPA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1.288 MEUR (2023) → 1.348 (2024) → 1.318 (2025): ~1 % anual; margen EBITA del 13,2 % en 2025 [25]. Desde el 2T25 los informes ya no repiten el objetivo de grupo y solo dan ambiciones por división; el CMD del 24-nov-2026 lo revisará [31,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en la cúpula: Andersen es CEO desde 2021 y Sagemo CFO desde 2022, y no hubo cambios de presidente ni de CEO en 24 meses [1, 25]. La rotación está en las divisiones. Recycling ha tenido tres responsables en 2025 (Rehrmann se jubiló, Fricke se fue a los tres meses y entró Enge) [25, 36, 37], y el puesto de relaciones con inversores está en interinidad desde agosto de 2026 [44]. La credibilidad es mixta. Food cumplió con holgura su margen de 2025, pero el objetivo de grupo del CMD 2024 (15 % de crecimiento y 18 % de margen EBITA en 2030) está muy lejos, con ingresos que caen en 2025. Las guías de capex y de Horizon se han rebajado. Tomra no publica un plan de sucesión; la Comisión de Remuneración tiene encomendado vigilarlo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Hjertonsson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Desarrollo Organizativo (presidente); Horizon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Bodil Sonesson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 Couderc</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Erik Osmundsen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Horizon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Kathleen Wantz-O'Rourke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asignación publicada (nombrada en la junta del 23-abr-2026)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Pauline Bergan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Kjell Korneliussen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Desarrollo Organizativo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Edward Palm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Horizon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Bodil Sonesson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0,75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Investment AB Latour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(sociedad de inversión sueca); su CEO preside el consejo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(62,4 millones de acciones)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Folketrygdfondet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público noruego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6,01 % al cierre de 2025; aviso del 10-mar-2026: neto 4,94 % tras prestar 800.000 acciones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APG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pensiones (Países Bajos)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5,38 % al cierre de 2025; aviso de 13-feb-2026: baja al 4,98 % en derechos de voto directos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 Long Term Capital 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inversión (Luxemburgo)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5 % el 4-abr-2025 (5,06 %); 5,21 % al cierre de 2025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DNB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(Noruega)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4,88 % al cierre de 2025; 5,01 % el 12-feb-2026; 4,96 % el 29-sep-2026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Nordea Funds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(Finlandia)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KIRKBI Invest 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Family office (familia propietaria de LEGO)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(4,99 %) el 10-jul-2025 y al 3,82 % a fin de 2025; tiene un miembro en el comité de nombramientos [1, 29,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PGGM Vermogensbeheer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pensiones (Países Bajos)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(EE. UU.)</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339.778 acciones a 30-jun-2026; se recompran solo para el plan de acciones de los empleados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Pierre Couderc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Tove Andersen (CEO), plan de acciones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Harald Henriksen (EVP Food), plan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Johan Hjertonsson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Bodil Sonesson (consejera), vía Sonesson Advisory AB</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Hege Skryseth (consejera hasta abr-2026)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Erik Osmundsen (consejero), vía Creo Foundation 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Tove Andersen (CEO), plan de remuneración en acciones y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Eva Sagemo (CFO),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Harald Henriksen (EVP Food),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Marius Fraurud (EVP Collection),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Stefan Schrahe (EVP Personas),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Lars Kversøy Enge (EVP Recycling),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Bodil Sonesson (consejera), vía Sonesson Advisory AB</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Kathleen Wantz-O'Rourke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Pierre Couderc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CEO devengó 11,84 MNOK en 2025 (1,01 MEUR al cambio medio del BCE de 11,72 NOK/EUR, estimación propia), un 16 % menos que en 2024: 5,96 MNOK de fijo, 1,18 de pensión, 1,48 de bonus anual, 2,63 de incentivo a largo y 0,60 de otros; fijo 65 % y variable 35 % [10, 25]. El bonus anual tiene un tope del 50 % del salario y mide BPA del grupo, EBITA de la división, pedidos, ingresos, circulante y objetivos de personas y planeta. El incentivo a largo, con tope del 100 % del salario, depende </w:t>
      </w:r>
      <w:r>
        <w:rPr>
          <w:b/>
        </w:rPr>
        <w:t xml:space="preserve">solo del BPA acumulado de tres años</w:t>
      </w:r>
      <w:r>
        <w:t xml:space="preserve"> (ajustado por costes de arranque y extraordinarios) y pagó el 44,5 % del máximo en 2025 (84,5 % en 2024). Obliga a invertir el 25 % en acciones durante tres años y tiene </w:t>
      </w:r>
      <w:r>
        <w:rPr>
          <w:i/>
        </w:rPr>
        <w:t xml:space="preserve">clawback</w:t>
      </w:r>
      <w:r>
        <w:t xml:space="preserve">. La indemnización es de seis meses para la CEO, la CFO y el responsable de Recycling [25]. </w:t>
      </w:r>
      <w:r>
        <w:rPr>
          <w:b/>
        </w:rPr>
        <w:t xml:space="preserve">El voto en contra es alto y repetido</w:t>
      </w:r>
      <w:r>
        <w:t xml:space="preserve">: el informe de 2023 sacó un 36,61 % en contra, el de 2024 un 42,01 % y el de 2025 un 38,10 % [26, 27, 28]. Descontando a Latour, que suponemos a favor, se opuso el 52-53 % del capital libre presente en 2025 y 2026 (estimación propia). La empresa no explica en los documentos revisados qué cambió tras esas votaciones.</w:t>
      </w:r>
    </w:p>
    <w:p>
      <w:pPr>
        <w:pStyle w:val="Heading2"/>
      </w:pPr>
      <w:r>
        <w:t xml:space="preserve">Operaciones vinculadas, estructura de control y defensas</w:t>
      </w:r>
    </w:p>
    <w:p>
      <w:pPr>
        <w:spacing w:after="100"/>
      </w:pPr>
      <w:r>
        <w:t xml:space="preserve">Una sola clase de acciones, sin límites de voto ni blindajes estatutarios [1]. El control efectivo lo tiene </w:t>
      </w:r>
      <w:r>
        <w:rPr>
          <w:b/>
        </w:rPr>
        <w:t xml:space="preserve">Investment AB Latour</w:t>
      </w:r>
      <w:r>
        <w:t xml:space="preserve">, con el 21,08 %. Su consejero delegado preside el consejo y la Comisión de Remuneración, y su representante (Rune Selmar) preside el comité de nombramientos, que propone a los consejeros [1, 29]. Con una asistencia del 74-83 % del capital, Latour pesa entre el 26 % y el 28 % de los votos de cada junta [26, 27, 28]. El comité considera no independientes de Latour al presidente y a Bodil Sonesson, que es CEO de Fagerhult, participada de Latour [29]. El consejo se vota en bloque, no por candidato, en contra de la recomendación del código noruego NUES; el propio comité reconoce las quejas de accionistas por el exceso de cargos del presidente [1, 29]. En 2024 se opuso a la lista del consejo el 35,10 % de los votos, casi la mitad del capital libre presente (47,6 %, estimación propia sin Latour). En 2026 se opuso el 15,78 % [26, 28]. No hubo operaciones vinculadas relevantes en 2025 [1].</w:t>
      </w:r>
    </w:p>
    <w:p>
      <w:pPr>
        <w:pStyle w:val="Heading2"/>
      </w:pPr>
      <w:r>
        <w:t xml:space="preserve">Señales de alerta</w:t>
      </w:r>
    </w:p>
    <w:p>
      <w:pPr>
        <w:pStyle w:val="ListParagraph"/>
        <w:numPr>
          <w:ilvl w:val="0"/>
          <w:numId w:val="2"/>
        </w:numPr>
        <w:spacing w:after="60"/>
      </w:pPr>
      <w:r>
        <w:t xml:space="preserve">Voto en contra del informe de remuneraciones del 36-42 % tres años seguidos (2024-2026) y, descontando a Latour, rechazo de la mayoría del capital libre presente en 2025 y 2026 (52-53 %, estimación propia) [26, 27, 28].</w:t>
      </w:r>
    </w:p>
    <w:p>
      <w:pPr>
        <w:pStyle w:val="ListParagraph"/>
        <w:numPr>
          <w:ilvl w:val="0"/>
          <w:numId w:val="2"/>
        </w:numPr>
        <w:spacing w:after="60"/>
      </w:pPr>
      <w:r>
        <w:t xml:space="preserve">Rotación en Recycling: tres responsables en 2025. Katrin Fricke dejó el cargo a los tres meses, con indemnización y baja retribuida hasta marzo de 2026, y el anterior responsable cobra hasta junio de 2026 en baja retribuida [25, 36, 37].</w:t>
      </w:r>
    </w:p>
    <w:p>
      <w:pPr>
        <w:pStyle w:val="ListParagraph"/>
        <w:numPr>
          <w:ilvl w:val="0"/>
          <w:numId w:val="2"/>
        </w:numPr>
        <w:spacing w:after="60"/>
      </w:pPr>
      <w:r>
        <w:t xml:space="preserve">Scope bajó la calificación de Tomra de A- a BBB+ el 3-jun-2026 por el mayor apalancamiento (compras con deuda) y el menor flujo de caja [8].</w:t>
      </w:r>
    </w:p>
    <w:p>
      <w:pPr>
        <w:pStyle w:val="ListParagraph"/>
        <w:numPr>
          <w:ilvl w:val="0"/>
          <w:numId w:val="2"/>
        </w:numPr>
        <w:spacing w:after="60"/>
      </w:pPr>
      <w:r>
        <w:t xml:space="preserve">Las posiciones cortas declaradas en Finanstilsynet subieron del 0,69 % (oct-2025) al 3,59 % (6-oct-2026), con un máximo del 3,7 % en mayo de 2026; las mayores son JPMorgan AM (1,59 %), Alamut, Capital Fund Management y AQR [43].</w:t>
      </w:r>
    </w:p>
    <w:p>
      <w:pPr>
        <w:pStyle w:val="ListParagraph"/>
        <w:numPr>
          <w:ilvl w:val="0"/>
          <w:numId w:val="2"/>
        </w:numPr>
        <w:spacing w:after="60"/>
      </w:pPr>
      <w:r>
        <w:t xml:space="preserve">Interinidad en relaciones con inversores: desde agosto de 2026 los comunicados los firma un responsable interino, Bing Zhao [44].</w:t>
      </w:r>
    </w:p>
    <w:p>
      <w:pPr>
        <w:pStyle w:val="ListParagraph"/>
        <w:numPr>
          <w:ilvl w:val="0"/>
          <w:numId w:val="2"/>
        </w:numPr>
        <w:spacing w:after="60"/>
      </w:pPr>
      <w:r>
        <w:t xml:space="preserve">En julio de 2025 Tomra dejó de hacer llamadas previas al cierre con analistas y empezó a publicar guías numéricas por división, tras el debate en el mercado sobre esas llamadas [38].</w:t>
      </w:r>
    </w:p>
    <w:p>
      <w:pPr>
        <w:pStyle w:val="ListParagraph"/>
        <w:numPr>
          <w:ilvl w:val="0"/>
          <w:numId w:val="2"/>
        </w:numPr>
        <w:spacing w:after="60"/>
      </w:pPr>
      <w:r>
        <w:t xml:space="preserve">Auditor: PwC desde 2020 (seis años); sin rotación ni salvedades detectadas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Tomra no da objetivo de grupo: guía por división en cada trimestre. En el 2T26 (17-jul-2026) [4]: Collection, 400-440 MEUR de ingresos en el segundo semestre (las entregas a mercados nuevos se frenan y el Reino Unido pasa a 2027), margen bruto en torno al 40 % en el año y gastos de unos 52 MEUR por trimestre, con 20 MEUR anuales de costes de arranque en mercados nuevos; Recycling, 200-215 MEUR en 2026 y un plan de ahorro de ~16 MEUR brutos con efecto pleno en 2027; Food, 340-360 MEUR en 2026 y margen bruto del 43-47 % en el semestre; Horizon, ~45-50 MEUR; inversión de 90-100 MEUR. Ambiciones hacia 2030 «a lo largo del ciclo»: Collection, crecimiento de dos dígitos y margen EBITA en la parte alta de la decena (high teens); Recycling, dos dígitos y EBITA del 20-25 % (low-to-mid twenties); Food, crecimiento de un dígito medio-alto y EBITA hacia el 15 % [4]. Capital Markets Day el 24-nov-2026.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 analistas, 8-oct-2026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 analistas, 8-oct-2026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 analistas, 8-oct-2026 [49]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9,56 – 12,99</w:t>
            </w:r>
          </w:p>
        </w:tc>
      </w:tr>
    </w:tbl>
    <w:p>
      <w:pPr>
        <w:spacing w:after="160" w:before="0"/>
      </w:pPr>
    </w:p>
    <w:p>
      <w:pPr>
        <w:pStyle w:val="Heading2"/>
      </w:pPr>
      <w:r>
        <w:t xml:space="preserve">Revisiones de estimaciones</w:t>
      </w:r>
    </w:p>
    <w:p>
      <w:pPr>
        <w:spacing w:after="100"/>
      </w:pPr>
      <w:r>
        <w:t xml:space="preserve">MarketScreener no da en texto las revisiones de 3 y 12 meses (solo gráficos) [49]; se miden con el consenso que recoge la propia Tomra entre 9-13 casas [51, 52]. Del consenso previo al 1T26 (17-abr-2026) al posterior al 2T26 (31-jul-2026): ingresos de 2026 de 1.538 a 1.485 MEUR (−3,4 %) y de 2027 de 1.913 a 1.807 (−5,5 %); EBITA ajustado de 2026 de 232 a 189 MEUR (−19 %) y de 2027 de 344 a 313 (−9 %); BPA de 2026 de 0,44 a 0,30 EUR (−31 %) y de 2027 de 0,74 a 0,65 (−11 %). La causa es el 1T26 (EBITA de 13 MEUR, −25,6 % en bolsa el 24-abr) y Recycling, cuyo EBITA ajustado de 2026 se espera en 18 MEUR (8,7 % de margen) [4, 51]. Contraste: MarketScreener e Investing coinciden en 6 analistas, todos de compra; precio objetivo medio 126,67 NOK (102,53-139,31) en Investing [50] frente a 11,81 EUR (126,5 NOK al tipo del corte) en MarketScreener. No hay serie de hace 12 meses: la web de inversores solo conserva los archivos de 2026.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bl>
    <w:p>
      <w:pPr>
        <w:spacing w:after="160" w:before="0"/>
      </w:pPr>
    </w:p>
    <w:p>
      <w:pPr>
        <w:spacing w:after="100"/>
      </w:pPr>
      <w:r>
        <w:t xml:space="preserve">Tomra pierde un 29,0 % en el año (con dividendos, hasta el 6-oct) frente al +21,1 % del OSEBX y el +9,8 % del sectorial europeo de bienes industriales, y un 15,2 % anual en cinco años frente al +11,9 % del índice [46]. Cotiza a 92,95 NOK, cerca del mínimo de 52 semanas (89,80 NOK, 28-abr) y un 37 % bajo el máximo de octubre de 2025 (146,90) [45, 46]. Las caídas tienen fecha y causa: −25,6 % el 24-abr-2026 con el 1T26 (EBITA de 13 M con 13 M de partidas especiales en Recycling), −12,9 % el 17-oct-2025 con el 3T25 y −8,7 % el 13-feb-2026 con el 4T25 [5, 6, 46]. La posición corta declarada subió del 0,69 % en octubre de 2025 al 3,59 % el 6-oct-2026, con JPMorgan AM, Alamut, CFM y AQR [43]. La caída máxima de cinco años es del −73,4 % (dic-2021 a oct-2023), cuando el múltiplo de 40 veces el EBITDA se deshizo [46]. Beta de 0,94 frente al OSEBX (mensual, cinco años) y volatilidad del 47 % [46].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12,3 veces el EBITDA de los últimos 12 meses, Tomra cotiza un 22 % por debajo de su media de cinco años (15,7x) y por debajo del mínimo de esos cierres (14,9x); el PER (32,1x) está un 30 % por debajo de su media (45,8x). El descuento es en buena parte estructural. La media incluye el cierre de 2021, a 40 veces, cuando el mercado pagaba un crecimiento del 12 % anual y un ROIC del 15 %; hoy el crecimiento de 2022-2025 es del 3 % anual, el ROIC del 9,8 % y la deuda neta de 2,4 veces el EBITDA frente a menos de una vez entonces [1]. Además, el Bund ha pasado de tipos negativos al 3,55 % [47]. Lo que no es estructural es el EBITDA de los próximos 12 meses: con el del consenso, el múltiplo baja a 9,0 veces porque 2027 incluye el arranque del Reino Unido [49].</w:t>
      </w:r>
    </w:p>
    <w:p>
      <w:pPr>
        <w:pStyle w:val="Heading1"/>
      </w:pPr>
      <w:r>
        <w:t xml:space="preserve">18. Comparables cotizados</w:t>
      </w:r>
    </w:p>
    <w:p>
      <w:pPr>
        <w:pStyle w:val="Confianza"/>
        <w:spacing w:after="100"/>
      </w:pPr>
      <w:r>
        <w:t xml:space="preserve">Confianza: Media</w:t>
      </w:r>
    </w:p>
    <w:p>
      <w:pPr>
        <w:spacing w:after="100"/>
      </w:pPr>
      <w:r>
        <w:t xml:space="preserve">Ocho cotizadas que cubren los tres negocios de Tomra con un único proveedor (MarketScreener) [53, 54, 55, 56, 57, 58, 59, 60]. Reverse vending: Envipco, único rival cotizado en máquinas de retorno de envases. Food: JBT Marel (procesado y clasificación de alimentos) y Krones (maquinaria de envasado y bebidas, cliente y vecino de la cadena del envase). Sorting por visión e inspección: Cognex (visión artificial) y Mettler-Toledo (inspección de producto). Tecnología industrial de nicho con márgenes altos: Halma, Alfa Laval y Kardex. Fuera: Steinert, Pellenc ST, Sesotec o Key Technology no cotizan; Kongsberg y Electrolux no comparten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Envipco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Krones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Kardex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14,4x / 19,0x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17,5x / 22,9x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22,6x / 28,7x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2,9x / 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16,4 + -0,11 × crecimiento; R² = 0,16. El crecimiento explica poco los múltiplos de estos comparables (R² &lt; 0,3): la regresión no se usa en la valoración.</w:t>
      </w:r>
    </w:p>
    <w:p>
      <w:pPr>
        <w:spacing w:after="100"/>
      </w:pPr>
      <w:r>
        <w:t xml:space="preserve">Tomra cotiza a 9,0 veces el EBITDA de los próximos 12 meses y a 16,2 veces el beneficio, frente a una mediana de la muestra en torno a 15 y 22 veces [53, 54, 55, 56, 57, 58, 59, 60]. La mediana de EV/EBITDA da 15,30 EUR por acción y la de PER, 12,14 EUR; la regresión múltiplo-crecimiento no explica nada (R² de 0,16). Las cifras exageran el descuento por dos motivos. Primero, la muestra mezcla empresas de calidad con ROIC muy superiores y poca deuda (Mettler-Toledo a 23,4x, Cognex a 25,3x, Halma a 17,5x) con fabricantes de equipo que cotizan a 4-10 veces (Krones 4,4x, Envipco 5,5x, JBT Marel 9,5x). Segundo, el EBITDA de los próximos 12 meses de Tomra lleva el salto del consenso en 2027 (393 M frente a 269 M en 2026) [49], que en nuestro caso base es un 11,2 % menor. El comparable más directo, Envipco, cotiza a 5,5 veces con un margen EBITDA del 1,4 % [53]. Con ROIC del 9,8 % y deuda de 2,4 veces, Tomra se parece más al grupo barato que al caro: los comparables pesan solo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Marel hf. (procesado de alimentos)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Bean Technologies (JBT Marel)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2-ene-2025: 97,5 % de Marel por 4.272,3 MUSD (acciones de JBT 2.436,3, caja 959,3, deuda de Marel liquidada 867,8, swaps 3,3, opciones 5,6) [61]. Valor empresa al 100 % = (2.436,3+959,3+5,6)/0,975 + 867,8 + 3,3 − 90,0 de caja adquirida = 4269.5 MUSD = 4137 MEUR al tipo del BCE del 2-ene-2025 (1,0321) [10] (sin arrendamientos de Marel, no publicados). Múltiplos sobre las ventas de Marel de 2024 (1.643 MEUR) y su EBITDA ajustado NIIF (200 MEUR) [62]: EBITDA de un año flojo (ventas −5 %), por eso el múltiplo es alto. Prima sobre la cotización no recalculada.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 Technology (clasificación óptica de alimentos,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Duravant (capital privado: Warburg Pincus)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26,75 USD por acción en efectivo, cerrada el 20-mar-2018 [63]. Valor empresa = 26,75 × 6,465 M acciones (31-ene-2018) + deuda 4,5 − caja 9,3 (30-sep-2017) = 168.1 MUSD = 137 MEUR al tipo del BCE del 20-mar-2018 (1,2276) [10, 64]. Múltiplos sobre el ejercicio a sep-2017: ventas 139,9 MUSD, EBIT 7,05 + amortizaciones 4,07 = EBITDA 11,1 MUSD [64]. Es el comparable más directo de Tomra Food.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CLYNK (C&amp;C Consolidated Holdings, bag-drop de envases,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activos el 30-sep-2025: 39,6 MEUR en caja + earn-out de 9,6 MEUR a valor razonable (hitos hasta 2027) = 49,2 MEUR; fondo de comercio 27,5 [1]. Ventas pro forma de 2025 de 24,4 MEUR y EBITA de −0,5 MEUR: el EBITDA no es significativo y no se publica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c-trace GmbH (software y hardware para gestión de residuos,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 el 24-oct-2024 por 58,9 MEUR en caja más una opción de venta/compra sobre el 20 % restante valorada en 21,5 MEUR = 80,4 MEUR por el 100 % (precio de las acciones; caja adquirida 3,8 y arrendamientos 4,3) [1]. Ventas pro forma de 2024 de 21,5 MEUR y EBITA de 3,8 MEUR: EV/EBITA ≈ 21x; el EBITDA no se publica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de Tomra Collection Australia y Tomra Collection France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de opciones de venta/compra por 53,9 MEUR en 2025, junto con el 40 % restante de Bottlecycler Australia (1,0 MEUR) [1]. No se publica el porcentaje comprado de cada filial ni su EBITDA: sin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 – 11,23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dos operaciones del sector publican un múltiplo de EBITDA: JBT pagó 20,7 veces el EBITDA de un mal año de Marel (2,52 veces las ventas) y Duravant, 15,1 veces por Key Technology, el rival más directo de Tomra Food [61, 62, 63, 64]. Las compras de Tomra se hicieron a 2,02 veces las ventas (CLYNK) y 3,74 veces (c-trace) [1]. Con EV/ventas, la mediana da 8,55 EUR por acción. No pesan en el valor objetivo: Tomra es compradora, no objetivo, e Investment AB Latour (21,08 %) preside el consejo y controla el comité de nombramientos [1], así que una opa necesita su acuerdo. La única operación con fecha posible es la venta de TOMRA Mining, que la dirección está estudiando [11].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Se proyecta por división. 2026e queda fijado por la guía del 2T26 [4]: Collection 874 M (1S26 de 454 M y centro de los 400-440 M del segundo semestre), Recycling 207 M (200-215 M), Food 350 M (340-360 M) y Horizon 47 M; en total 1.477 M (+12,1 %), a −0,3 % del consenso [49]. En 2027e, +11,3 %: Collection +13 % con el Reino Unido (dos cadenas han elegido a Tomra para ~3.900 máquinas y el sistema arranca el 1-oct-2027) y la segunda fase de Polonia [4, 11]; Recycling +10 % tras unos pedidos un 40 % más altos en el 2T26 [4]. En 2029e el crecimiento se frena al 4,6 % (Collection +3 %): es el hueco tras el pico, como en 2025 [13]. En 2030e vuelve al 6,2 % con los países de la UE que el PPWR obliga a implantar el depósito [13]. Después baja al 3 % en 2035e. Quedamos un 6,3 % y un 5,5 % por debajo del consenso de ingresos de 2027-2028 [49].</w:t>
      </w:r>
    </w:p>
    <w:p>
      <w:pPr>
        <w:keepNext/>
        <w:spacing w:after="100"/>
      </w:pPr>
      <w:r>
        <w:rPr>
          <w:b/>
          <w:bCs/>
        </w:rPr>
        <w:t xml:space="preserve">Márgenes.</w:t>
      </w:r>
    </w:p>
    <w:p>
      <w:pPr>
        <w:spacing w:after="100"/>
      </w:pPr>
      <w:r>
        <w:t xml:space="preserve">El margen se construye por división con el EBITA, que es la cifra que publica Tomra. Collection pasa del 16,6 % en 2026e (mezcla de máquinas en Polonia) al 19 % desde 2028e, en línea con la ambición de la «parte alta de la decena» (17,0 % en 2025) [1, 4]. Recycling sube del 8,7 % de 2026e (el consenso de Tomra espera 18 M) [51] al 14,5 % en 2027e con 16 M de ahorros [4] y al 18,5 % a largo plazo, por debajo del 22,7 % de 2024 y de la ambición del 20-25 %. Food baja al 10,5 % en 2026e por la mezcla y vuelve al 14 % (14,4 % en 2025) [1]. El EBITA del grupo va del 11,0 % al 16,5 %, por debajo del 18 % de 2030 que prometió el Capital Markets Day de 2024 [34]. Más una depreciación del 6,5 % de las ventas, el margen EBITDA pasa del 17,6 % al 23,0 % (19,7 % en 2025). El EBITDA queda a −2,3 %, −11,2 % y −5,7 % del consenso en 2026-2028 [49].</w:t>
      </w:r>
    </w:p>
    <w:p>
      <w:pPr>
        <w:keepNext/>
        <w:spacing w:after="100"/>
      </w:pPr>
      <w:r>
        <w:rPr>
          <w:b/>
          <w:bCs/>
        </w:rPr>
        <w:t xml:space="preserve">Inversión y circulante.</w:t>
      </w:r>
    </w:p>
    <w:p>
      <w:pPr>
        <w:spacing w:after="100"/>
      </w:pPr>
      <w:r>
        <w:t xml:space="preserve">Con NIIF 16 el capex incluye las altas de derechos de uso: 9,3 % de las ventas en 2026e (guía de 90-100 M más ~40 M de arrendamientos) [1, 4], frente al 10,0 % de 2025 y el 8,8 % de 2024, que llevaban la planta de Feedstock y máquinas de throughput. Baja al 7,8 % a largo plazo al terminar el capex de Horizon (la segunda planta se congeló en el 4T25) [30]. La amortización baja del 8,7 % al 7,2 % al agotarse la de intangibles de compras (~26 M en 2025). El circulante es el 30 % de las ventas (30,4 % en 2025, 26,6-29,7 % antes): las existencias para nuevos mercados y los cobros de Polonia (de 401 a 463 M en el 1S26) lo mantienen alto [1, 4]. Impuestos del 25 % en 2026e y del 24 % después (24,2 % en 2025) [1].</w:t>
      </w:r>
    </w:p>
    <w:p>
      <w:pPr>
        <w:keepNext/>
        <w:spacing w:after="100"/>
      </w:pPr>
      <w:r>
        <w:rPr>
          <w:b/>
          <w:bCs/>
        </w:rPr>
        <w:t xml:space="preserve">Coste del capital.</w:t>
      </w:r>
    </w:p>
    <w:p>
      <w:pPr>
        <w:spacing w:after="100"/>
      </w:pPr>
      <w:r>
        <w:t xml:space="preserve">Tasa libre del 3,55 %: el Bund a 10 años del 7-oct-2026, porque los flujos están en euros [47]; el bono noruego (4,68 %) no se usa porque mediría la corona [48]. </w:t>
      </w:r>
      <w:r>
        <w:rPr>
          <w:b/>
        </w:rPr>
        <w:t xml:space="preserve">Beta de 1,10</w:t>
      </w:r>
      <w:r>
        <w:t xml:space="preserve"> tras comparar tres índices: frente al OSEBX sale 0,94 mensual a cinco años (0,96 ajustada) y frente al OBX 0,91, pero son índices de energía y banca; frente al STOXX 600 Industrial, con la acción en euros, 1,29 (1,20 ajustada); frente al STOXX 600 amplio en euros, 1,42 ajustada, inflada por la corona, que cae cuando cae la bolsa europea [46]. Tomamos el punto medio entre la beta local ajustada (0,96) y la europea sectorial ajustada (1,20), porque el accionista marginal es a la vez noruego e internacional (Latour, APG, Vanguard) [1]. Prima del 5,5 %, sin prima adicional (Noruega AAA, cuentas en euros). Deuda al 4,5 % antes de impuestos (Bund más un punto por el BBB+ de Scope; coste contable del 3,3 %) [1, 8], con un 21,7 % de peso. WACC del 8,26 %; con la beta de 1,20 rondaría el 8,8 % y el DCF bajaría a 7,76 EUR.</w:t>
      </w:r>
    </w:p>
    <w:p>
      <w:pPr>
        <w:keepNext/>
        <w:spacing w:after="100"/>
      </w:pPr>
      <w:r>
        <w:rPr>
          <w:b/>
          <w:bCs/>
        </w:rPr>
        <w:t xml:space="preserve">Valor terminal.</w:t>
      </w:r>
    </w:p>
    <w:p>
      <w:pPr>
        <w:spacing w:after="100"/>
      </w:pPr>
      <w:r>
        <w:t xml:space="preserve">Gordon con un crecimiento del 2,5 %: inflación esperada del euro del 2 % y medio punto real por la regulación de envases, por debajo del techo de coherencia del Bund menos medio punto (3,05 %). El valor terminal pesa el 65 % y equivale a 8,1 veces el EBITDA de 2035e, por debajo de las 12,3 veces actuales y de la media de cinco años (15,7x): el caso base no cuenta con que el mercado vuelva a pagar el múltiplo del pasado. La reinversión del último año (capex 0,6 puntos por encima de la amortización y circulante del 30 %) es coherente con crecer al 2,5 %.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M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(ROIC 9,8 %)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 (histórico: -1,1 %)</w:t>
            </w:r>
          </w:p>
        </w:tc>
      </w:tr>
    </w:tbl>
    <w:p>
      <w:pPr>
        <w:spacing w:after="160" w:before="0"/>
      </w:pPr>
    </w:p>
    <w:p>
      <w:pPr>
        <w:spacing w:after="100"/>
      </w:pPr>
      <w:r>
        <w:t xml:space="preserve">La proyección reinvierte el 20 % del NOPAT. Con el ROIC del último ejercicio (9,8 %), eso financia un crecimiento del 2,0 % anual, frente al 6,1 % de ingresos proyectado. Supone que el capital nuevo rinde un 39,3 %, frente a un ROIC incremental histórico del -1,1 %.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por división del 2T26: Polonia y los mercados nuevos (Portugal, Singapur) llevan Collection a 874 M, y Recycling y Food quedan en el centro de sus rangos [4]. Divisa: en el 1T26 Collection creció un 12 %, un 15 % a tipo constante [4].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el Reino Unido arranca el 1-oct-2027 con ~3.900 máquinas adjudicadas y la segunda fase de Polonia; los pedidos de Recycling suben un 40 % en el 2T26 [4,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 instalación británica; servicio y throughput crecen con la base instalada (el servicio, +11 % en 2025)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Hueco tras el pico, como el −4 % de Collection en 2025 tras las entregas de 2024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de la UE que el PPWR obliga a implantar el depósito desde 2029 [13].</w:t>
            </w:r>
          </w:p>
        </w:tc>
      </w:tr>
    </w:tbl>
    <w:p>
      <w:pPr>
        <w:spacing w:after="160" w:before="0"/>
      </w:pPr>
    </w:p>
    <w:p>
      <w:pPr>
        <w:spacing w:after="100"/>
      </w:pPr>
      <w:r>
        <w:t xml:space="preserve">En parte. Collection tiene un foso amplio: 91.900 máquinas frente a 13.000 de Envipco y un 61 % de ingresos de servicio, throughput y material [4, 13, 14]. Pero se estrecha: los mercados nuevos se ganan en concurso con menos margen de producto (margen bruto de Collection del 38,6 % en el 2T26) [1, 4], y Recycling y Food son cíclicos. Las ventas crecieron un 5,3 % anual en 2021-2025 mientras el ROIC bajaba del 15,0 % al 9,8 %. La proyección reinvierte el 20 % del NOPAT, que al ROIC actual financia un 2,0 % de crecimiento frente al 6,1 % proyectado: supone un ROIC del 18 % en 2035e, por encima de cualquier año de la serie. Sin una cuota publicada con perímetro comparable, no hay prueba de cuota.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 (base: 5,4 %)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 (base: 23,0 %)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8,3 %)</w:t>
            </w:r>
          </w:p>
        </w:tc>
      </w:tr>
    </w:tbl>
    <w:p>
      <w:pPr>
        <w:spacing w:after="160" w:before="0"/>
      </w:pPr>
    </w:p>
    <w:p>
      <w:pPr>
        <w:spacing w:after="100"/>
      </w:pPr>
      <w:r>
        <w:t xml:space="preserve">El DCF da </w:t>
      </w:r>
      <w:r>
        <w:rPr>
          <w:b/>
        </w:rPr>
        <w:t xml:space="preserve">8,70 EUR por acción (93,2 NOK)</w:t>
      </w:r>
      <w:r>
        <w:t xml:space="preserve">, un 0,3 % sobre el cierre de 8,68 EUR, con un valor terminal que pesa el 65 %. El DCF inverso es la clave: </w:t>
      </w:r>
      <w:r>
        <w:rPr>
          <w:b/>
        </w:rPr>
        <w:t xml:space="preserve">al precio actual, el mercado descuenta un crecimiento de los ingresos del 5,3 % anual en 2027e-2035e</w:t>
      </w:r>
      <w:r>
        <w:t xml:space="preserve">, casi el 5,4 % de nuestro caso base, </w:t>
      </w:r>
      <w:r>
        <w:rPr>
          <w:b/>
        </w:rPr>
        <w:t xml:space="preserve">o un margen EBITDA del 22,9 %</w:t>
      </w:r>
      <w:r>
        <w:t xml:space="preserve"> frente al 23,0 %, y una rentabilidad implícita del 8,3 %, igual a nuestro WACC del 8,26 %. Es decir, el precio paga exactamente nuestro caso base, que ya está un 11,2 % por debajo del consenso en el EBITDA de 2027. No es una exigencia extrema: supone un EBITA del 16,5 % y no el 18 % que prometió la dirección, y una cuota en los mercados nuevos menor que la histórica. Pero tampoco hay margen de seguridad con nuestra tasa. La diferencia está en la tasa que se exige: con la prima implícita del mercado (4,20 %) el WACC baja al 7,14 % y el DCF sube a 11,53 EUR. Con la beta europea (1,20), el valor caería hacia los 7,76 EUR de la tabla de sensibilidad (WACC del 8,8 %).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lo que ya pasó por separado: tras el pico de Polonia y el Reino Unido, Collection cae como en 2025 (−4 %) y Envipco gana cuota en los concursos con precios bajos; Recycling no sale del margen del 10 % de 2025 y Food vuelve hacia el 5 % de 2024. El margen EBITDA queda dos puntos por debajo del base y 2029 trae una caída de un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el Reino Unido llega en 2027 con la cuota ya adjudicada y algo más, Recycling recupera su margen con los ahorros y Food se queda en el 14 %. El EBITA sube al 16,5 %, por debajo de la ambición de la dirección.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cumple sus ambiciones de 2030 por división (Collection en la parte alta de la decena, Recycling 20-25 %, Food hacia el 15 %) y el PPWR abre depósito en varios países grandes de la UE desde 2029 (Francia, Italia, España), con un crecimiento 1,5 puntos mayor cada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8,60 EUR (-0,9 %).</w:t>
      </w:r>
    </w:p>
    <w:p>
      <w:pPr>
        <w:spacing w:after="100"/>
      </w:pPr>
      <w:r>
        <w:t xml:space="preserve">El reparto no compensa con nuestro coste de capital: el alcista vale 11,27 EUR (+29,9 %) y el bajista 5,74 EUR (−33,8 %), una asimetría de 0,88 veces; el valor ponderado (25/50/25) es de 8,60 EUR. El bajista no es cosmético: suma tres cosas que Tomra ya ha vivido por separado, el hueco tras un pico de instalación (Collection −4 % en 2025), un Recycling hundido (margen del 22,7 % al 10,2 % entre 2024 y 2025) y un Food en el 5 % (2024) [1, 13]. El alcista solo exige las ambiciones que la propia dirección publica [4]. Con la prima que hoy pide el mercado el cuadro cambia: el bajista queda en 7,61 EUR (−12,3 %) y el alcista en 15,00 EUR (+72,9 %), una asimetría de 5,93 veces.</w:t>
      </w:r>
    </w:p>
    <w:p>
      <w:pPr>
        <w:pStyle w:val="Heading1"/>
      </w:pPr>
      <w:r>
        <w:t xml:space="preserve">22. Suma de partes</w:t>
      </w:r>
    </w:p>
    <w:p>
      <w:pPr>
        <w:pStyle w:val="Confianza"/>
        <w:spacing w:after="100"/>
      </w:pPr>
      <w:r>
        <w:t xml:space="preserve">Confianza: Media</w:t>
      </w:r>
    </w:p>
    <w:p>
      <w:pPr>
        <w:spacing w:after="100"/>
      </w:pPr>
      <w:r>
        <w:t xml:space="preserve">Tomra son tres negocios con perfiles distintos y la suma de partes lo hace visible. Collection aporta 2.562 M de los 3.328 M de valor empresa (77 %): es una empresa de máquinas de devolución con un 61 % de ingresos recurrentes [13]. Recycling vale 429 M en el fondo de su ciclo (ventas −18 % en 2025, pedidos +40 % en el 2T26) [1, 4] y Food 506 M; Horizon, en pérdidas, se lleva a una vez sus ingresos. La suma da 8,86 EUR por acción, un 2,1 % por encima del precio: el mercado no descuenta el conjunto con un descuento de conglomerado, pero tampoco paga una prima por Collection. La dirección explora vender TOMRA Mining, dentro de Recycling [11]; una venta por encima de 13 veces su beneficio liberaría valor y reduciría deuda, pero no hay cifras de Mining por separado. No aplicamos descuento de holding: las tres divisiones comparten tecnología de sensores, pero no clientes, y se gestionan por separado.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Máquinas de devolución con el 61 % de los ingresos en servicio, throughput y material [13]. 14 veces el EBITA (≈10,5 veces el EBITDA), por debajo de Halma (17,5x EBITDA) y Alfa Laval (14,9x) [58, 59], porque 2027e lleva el pico del Reino Unido.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Bienes de equipo cíclicos cerca del fondo: margen EBITA del 14,5 % en 2027e frente al 22,7 % de 2024 [1]. 13 veces un beneficio deprimido equivale a unas 9 veces el de mitad de ciclo.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JBT Marel cotiza a 9,5 veces el EBITDA de los próximos 12 meses y Duravant pagó 15,1 veces por Key Technology [54, 63]; 11 veces el EBITA por un historial irregular (5 % de margen en 2024)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negocios en pérdidas (Feedstock, Reuse y c-trace): una vez los ingresos de 2026e, frente a las 3,74 veces las ventas que se pagaron por c-trace, la única parte rentable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capitalizados al múltiplo medio de las divisiones.</w:t>
            </w:r>
          </w:p>
        </w:tc>
      </w:tr>
    </w:tbl>
    <w:p>
      <w:pPr>
        <w:spacing w:after="160" w:before="0"/>
      </w:pPr>
    </w:p>
    <w:p>
      <w:pPr>
        <w:spacing w:after="100"/>
      </w:pPr>
      <w:r>
        <w:rPr>
          <w:b/>
          <w:bCs/>
        </w:rPr>
        <w:t xml:space="preserve">Valor por acción por suma de partes:</w:t>
      </w:r>
      <w:r>
        <w:t xml:space="preserve"> 8,86 (+2,1 %); con ±1x en los múltiplos, 7,17 – 10,55.</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9,45 EUR (+8,9 % sobre 8,68).</w:t>
      </w:r>
    </w:p>
    <w:p>
      <w:pPr>
        <w:spacing w:after="100"/>
      </w:pPr>
      <w:r>
        <w:t xml:space="preserve">El valor objetivo es de </w:t>
      </w:r>
      <w:r>
        <w:rPr>
          <w:b/>
        </w:rPr>
        <w:t xml:space="preserve">9,45 EUR</w:t>
      </w:r>
      <w:r>
        <w:t xml:space="preserve"> (101,23 NOK; +8,9 %): DCF 40 %, escenarios ponderados 30 %, suma de partes 15 % y comparables 15 %. El DCF y los escenarios mandan porque Tomra está a mitad de una ola de instalaciones que cambia sus ingresos año a año y ningún múltiplo actual la recoge. La suma de partes (8,86 EUR) sirve de control porque las tres divisiones tienen perfiles muy distintos. Los comparables pesan poco: la mediana da 13,72 EUR, pero mezcla empresas de calidad a 17-25 veces el EBITDA con fabricantes de equipo a 4-10 veces. Las transacciones (8,55 EUR por EV/ventas) no pesan: Tomra es compradora y Latour controla de hecho la junta. La dispersión es baja salvo por los comparables: DCF, escenarios y suma de partes quedan entre 8,60 y 8,86 EUR. El puente resta la deuda financiera (560 M), los arrendamientos (149 M), los minoritarios a valor contable (40 M), las pensiones netas (3,6 M) y 36 M de opciones sobre minoritarios y el earn-out de CLYNK, y suma la caja (69 M) y las asociadas (10,9 M), todo del 30-jun-2026 [1, 4]: deuda neta ajustada de 680 M. Con la prima del mercado (4,20 %) el objetivo sube a 11,42 EUR (122,33 NOK); el consenso de seis analistas está en 11,81 EUR (126,5 NOK) [49].</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tras el pico de Polonia. La guía pide a Collection 400-440 M en el semestre, cargados al 4T, con margen bruto por encima del 40 %; Recycling debe convertir la mitad de su cartera (105 M) y Food el 65 % (121 M) [4,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Markets Day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objetivos a 2030. Los de 2024 (crecer un 15 % anual, EBITA del 18 %, ROCE de más del 18 %) quedaron lejos: ingresos de 2025 un 2,2 % más bajos y EBITA del 13,2 % [34, 44, 67]. Unos objetivos creíbles por división podrían cerrar parte del descuento; otros inalcanzables, ampliarlo.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de las cadenas del Reino Unido y primeras instalaciones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ya tiene dos grandes cadenas (~3.900 máquinas); el sistema arranca el 1-oct-2027 y las primeras máquinas se instalan a finales de 2026 [4, 11]. Cada cadena adicional mueve los ingresos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venta de TOMRA Mining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explora venderla [11]. Reduciría la deuda (2,5 veces el EBITDA) y la exposición a minería, pero no hay cifras separadas para valorarla.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del contrato de Nueva Gales del Sur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ha presentado oferta en el concurso de renovación de la red de devolución del estado [11]. Oceanía pesa el 9,5 % de los ingresos del grupo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Operador del sistema de depósito en España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está obligada a implantarlo tras recoger el 41 % de las botellas en 2023; la designación del operador está en fase de aprobación estatal [4,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dentro de la política del 40-60 % del BPA (2,15 NOK en los dos últimos años) y primera guía de 2027 con el Reino Unido [40,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Hueco tras el pico de instalación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por cada punto menos de crecimiento anual; el bajista suma una caída de un año en 2029 (−33,8 %)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Cola de servicio, reposición y throughput (61 % de Collection) y nuevos mercados por el PPWR desde 2029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nuevos mercados por trimestre (69 M en el 2T26) y número de cadenas adjudicadas en el Reino Unido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producto en los mercados nuevos y competencia de Envipco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−9,7 %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recoge el 58 % de los envases en Polonia y su margen bruto supera en 8 puntos al de Envipco [11,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Collection por debajo del 40 % en el 2S26 (38,6 % en el 2T26)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 vuelve a márgenes de un dígito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−19 % si el margen EBITA de Food vuelve al 5 % de 2024 (−2 puntos del grupo)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ahorro de 2024 cumplido: 14,4 % de margen en 2025 [1, 32].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Food por debajo de 80 M por trimestre (83 M en el 2T26) y margen bruto fuera del 43-47 % guiado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 se queda en el fondo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−12 % si su margen se queda en el 10 % (−1,3 puntos del grupo)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del 2T26 un 40 % más altos y 16 M de ahorros con efecto pleno en 2027 [4,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trimestrales por debajo de 50 M y cartera por debajo de 100 M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rating y covenant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−10,8 % por cada 0,5 puntos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repartidos hasta 2034 y 112 M de líneas sin disponer [1,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 veces el EBITDA o patrimonio por debajo del 32 % del activo (covenant del 30 %; 34 % en jun-26) [1, 4,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y alineación de la dirección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en el DCF; una prima adicional de 0,5 puntos restaría un 10,8 %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acción, un voto; Latour es un accionista estable desde hace años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voto en contra de la remuneración por encima del 35 % o cambios en el incentivo a largo plazo (hoy solo BPA) [25, 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contrato de Nueva Gales del Sur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Contractual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−5 % (estimación propia: la mitad de los ingresos de Oceanía, 9,5 % del grupo, con margen medio)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es el operador histórico de la red y ya ha presentado oferta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del concurso de renovación [11].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y aranceles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del EBITA por cada 10 % de apreciación del euro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Fábricas en Europa y precios en divisa local; solo el 15 % de los ingresos son ventas en EE. UU. [4,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por encima de 1,25 dólares o aranceles a la maquinaria europea [4].</w:t>
            </w:r>
          </w:p>
        </w:tc>
      </w:tr>
    </w:tbl>
    <w:p>
      <w:pPr>
        <w:spacing w:after="160" w:before="0"/>
      </w:pPr>
    </w:p>
    <w:p>
      <w:pPr>
        <w:pStyle w:val="Heading2"/>
      </w:pPr>
      <w:r>
        <w:t xml:space="preserve">Pre-mortem</w:t>
      </w:r>
    </w:p>
    <w:p>
      <w:pPr>
        <w:spacing w:after="100"/>
      </w:pPr>
      <w:r>
        <w:t xml:space="preserve">Octubre de 2029: la acción vale unos 5,2 EUR (56 NOK), un 40 % menos. La historia empezó en el Reino Unido. Las dos cadenas que eligieron a Tomra en 2026 se quedaron en eso: el resto de los concursos lo ganó Envipco, que pujó con precios de entrada como en Rumanía, y Tomra tuvo que igualar en los siguientes [14]. El margen bruto de Collection, que ya bajó al 38,6 % con Polonia, no volvió al 41,7 % de 2025. Después de las instalaciones de 2027, 2028 trajo el hueco: como en 2025, los ingresos de nuevos mercados cayeron a la mitad y la cola de servicio no llenó el vacío [13]. Mientras, Recycling no se recuperó porque el diferencial entre plástico virgen y reciclado siguió estrecho, y Food volvió a perder margen con los grandes proyectos de patata. Con el EBITA en el 12 % y la deuda en tres veces el EBITDA, Scope bajó otro escalón y Tomra tuvo que recortar el dividendo para respetar el covenant de patrimonio del 30 %. El Capital Markets Day de 2026 había prometido de nuevo un 18 % de EBITA en 2030; nadie lo creyó. Las señales estaban en 2026: un margen bruto de Collection por debajo del 40 % en el 2S26, pocas cadenas británicas adjudicadas en el 4T26 y unos pedidos de Recycling que no pasaban de 60 M por trimestre.</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Ratings (opinión de segunda parte sobre el Green Financing Framework)</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Dark Green</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negocio de TOMRA es el propio motor ESG: la regulación de envases (SUP, PPWR) le da la demanda de Collection y de Recycling [13, 15]. El 98 % de sus emisiones es de alcance 3, sobre todo la electricidad que consumen las máquinas vendidas (categoría 11). Con base en 2022, le falta un 30 % para sus objetivos de 2033 y un 19 % para los de 2050 [13]. Sus objetivos los validó la SBTi (cero neto en 2050) [13]. El modelo de </w:t>
      </w:r>
      <w:r>
        <w:rPr>
          <w:i/>
        </w:rPr>
        <w:t xml:space="preserve">throughput</w:t>
      </w:r>
      <w:r>
        <w:t xml:space="preserve">, en que TOMRA conserva la máquina, es también su vía de reducción de emisiones y de financiación verde: los bonos verdes financian la flota arrendada en Australia, Letonia, Estonia, Canadá y EE. UU. [13].</w:t>
      </w:r>
    </w:p>
    <w:p>
      <w:pPr>
        <w:pStyle w:val="Heading2"/>
      </w:pPr>
      <w:r>
        <w:t xml:space="preserve">Controversias</w:t>
      </w:r>
    </w:p>
    <w:p>
      <w:pPr>
        <w:spacing w:after="100"/>
      </w:pPr>
      <w:r>
        <w:t xml:space="preserve">En el informe anual de 2025 no figuran sanciones, litigios relevantes ni incidentes graves [13]. No se ha hecho una búsqueda exhaustiva en prensa de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máquinas necesita el sistema británico en total, cuántas tiene adjudicadas Tomra además de las ~3.900 de dos cadenas y con qué margen de producto frente a Polonia?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caso base y el consenso de 2027 (EBITDA 11,2 % menor); el margen bruto de Collection cayó al 38,6 % con Polonia [4, 49].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Después del pico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servicio y reposición deja cada máquina instalada en un mercado nuevo en los cinco años siguientes, y cuánto cayeron los ingresos de Austria, Hungría e Irlanda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nuevos mercados pasaron del 20 % al 13 % de Collection en 2025 y la división cayó un 4 % [13]; es el riesgo de 2029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Throughput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164,9 M de «arrendamiento y throughput» de Collection es throughput puro, con qué rentabilidad sobre el capital y con qué duración de contratos (Nueva Gales del Sur, Quebec, Bálticos)?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más recurrente y el que más capital consume; Tomra no lo separa del arrendamiento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 Gales del Sur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resuelve el concurso de renovación, qué ingresos y EBITA aporta hoy ese contrato y en qué condiciones se ha presentado la oferta?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Oceanía pesa el 9,5 % de los ingresos y la oferta ya está presentada [1,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TOMRA Mining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EBITA y capital empleado tiene Mining, y la venta se haría para reducir deuda o para reinvertir en Collection?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explora venderla [11]; podría bajar la deuda neta de 2,5 veces el EBITDA, pero no hay cifras separadas.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y 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nivel máximo de deuda neta sobre EBITDA que acepta el consejo tras la rebaja de Scope a BBB+, y qué prioridad tiene el dividendo frente al capex si hay que elegir?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pasó de 1,6 a 2,5 veces el EBITDA en 18 meses y el covenant de patrimonio tiene 4 puntos de holgura [1, 4,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incentivo a largo plazo depende solo del BPA y no del ROCE, después de tres juntas con un 36-42 % de votos en contra?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ROCE cayó del 22,9 % al 15,4 % entre 2021 y 2025 sin que el incentivo lo recoja [1, 25, 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Food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bruto tienen los grandes proyectos de centrales hortofrutícolas con equipo periférico de terceros, y cuánto pesarán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Rebajaron el margen bruto de Food al 43,1 % en el 2T26 y explican nuestra rebaja del 14,4 % al 10,5 % en 2026e [4].</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15 de 19 controles correctos y 4 explicados. Fuentes: 67 (42 primarias); citas distintas en el texto: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39,3 % frente a un ROIC de 9,8 % y un incremental histórico de -1,1 %: crecimiento que la empresa no ha demostrado poder comprar. Explicación: La subida del NOPAT (de 110 M a 284 M en 2035e) sale sobre todo del margen (EBIT del 11,0 % al 15,8 %) sobre el capital ya invertido en 2024-2025, no del capital nuevo: Feedstock (congelado en el 4T25), la flota de throughput, las existencias para mercados nuevos y los cobros de Polonia aún no rinden [1, 4, 30]. Aun así, el ROIC de 2035e (18 %) supera el máximo histórico (15,0 %); con el ROIC en el 15 % el DCF sería de 6,48 EUR. Veredicto de sostenibilidad «En parte», explicado en la síntesis.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30,0 % frente a 30,4 % real: genera una variación de circulante de 43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98 M de flujo libre medio en sus tres primeros años, frente a 13 M de media real en los tres últimos: justifica el salto (circulante, inversión, márgenes) o ajusta los supuestos. Explicación: El flujo libre de 2023-2025 (13 M de media) lo deprimieron el capex de Horizon (Feedstock, 25 M en 2025, congelado en el 4T25), las máquinas de throughput y la acumulación de existencias para nuevos mercados; la guía de capex de 2026 baja a 90-100 M y la proyección mantiene el circulante en el 30 % de las ventas [1, 4, 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0,16: el crecimiento no explica los múltiplos de estos comparables; no uses el valor de la regresión. Explicación: No se usa: el R² es de 0,16 y la muestra mezcla empresas de calidad con múltiplos de 17-25 veces y fabricantes de equipo a 4-10 veces.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(35,6x → 25,3x): el salto implica un crecimiento del EBITDA que no cuadra con el de las ventas. ¿EBITDA de proveedores distintos, o un cambio de perímetro? Explicación: Cognex pasa de 35,6x a 25,3x porque su EBITDA de MarketScreener se recupera tras un ejercicio deprimido; mismo proveedor para los dos múltiplos [57]. No mueve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fuentes (42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39,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en EUR y 2016-2020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en NOK [9]; 2) cifras clave en EUR del informe anual 2025 (solo partidas resumidas); 3) conversión propia con el tipo medio del BCE de 2021 (10,1633) para cuenta y flujos y el de cierre (9,9888) para balance [9, 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(2021 cuadra con la empresa: ingresos 1.073 frente a 1.074, EBIT 153 frente a 153, activo 1.160 frente a 1.160); 2016-2020 omitidos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2022 en 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2024 (solo reexpresa 2023); 2) cifras clave del informe anual 2025 (solo partidas resumidas); 3) conversión propia de las cuentas en NOK del informe anual 2023 con el tipo medio del BCE (10,1026 NOK/EUR) para la cuenta y los flujos y el de cierre (10,5138) para el balance [3, 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(cuadra con las cifras clave en EUR de la empresa: ingresos 1.206 frente a 1.205, activo 1.325 frente a 1.325, flujo operativo 114 frente a 114)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3T24 (ingresos, EBITDA, BPA)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3T25 en la web de TOMRA (JavaScript, sin PDF); 2) Cision y MFN: el comunicado del 3T25 sin adjuntos accesibles; 3) derivar de las cifras anuales: falta el 1S24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(7 trimestres)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frente al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trimestrales (no lo publican); 2) comunicados de resultados; 3) búsqueda de consenso previo: no localizado en fuentes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los analistas en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Webcast de qcnl.tv (vídeo, sin transcripción); 2) Seeking Alpha (de pago); 3) Quartr (resumen sin texto literal)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resume el mensaje de la dirección en los informes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con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(2025-2024); 2) informe anual 2024 (2023, con Horizon reexpresado); 3) informe anual 2023 en NOK con otra segmentación (sin Horizon)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2023-2025; el EBIT de 2023 por segmento no se publica (solo el EBITA, citado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throughput separados del arrendamiento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 del informe anual 2025 (los junta en «Lease of equipment»); 2) nota 9 de arrendamientos; 3) informes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agregado de arrendamiento y throughput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mundial de Tomra en máquinas de devolución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TOMRA: solo dice «alta cuota de mercado» y líder mundial desde hace más de 50 años, sin porcentaje; 2) búsqueda de presentaciones del día del inversor: la de 2013 hablaría del 55-65 %, pero solo lo da el resumen del buscador, sin abrir el documento, y está desfasada; 3) derivación: no hay base instalada mundial publicada (solo TOMRA 91.900 y Envipco 13.000); en Polonia, ~54 % (7.000 de ~13.000)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Pellenc ST (ventas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Pappers (registro mercantil francés): 403; 2) prensa regional (echodumardi): 503; 3) solo el resumen del buscador (75,7 M EUR en 2024), no usable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Sielaff, RVM Systems, Kansmacker, Diebold Nixdorf (RVM), Redwave, Key Technology, Satake, Machinex, AMP Robotics, Unitec, Aweta, MAF Roda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por presupuesto de tiempo y de búsquedas;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 mercado de clasificación por sensores (reciclaje/minería) y de clasificación de alimentos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P&amp;S Intelligence: clasificadoras ópticas 3.121,9 M USD en 2024, alimentos el 40 % (leído); 2) GM Insights y Market Research Future para minería: 121,1 M USD frente a 1.400 M USD, cifras incompatibles y solo del resumen del buscador; 3) otros informes de clasificadoras ópticas (2.830 M y 3.410 M USD) solo del resumen del buscador, no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los cinco primeros y crecimiento histórico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mercado de RVM (Credence, MRFR): sin cuotas por empresa; 2) informe anual de TOMRA: sin cuota; 3) no derivable sin la base instalada mundial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sistemas de depósito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TOMRA en nuevos mercados en 2021-2023 (serie completa de la curva posterior al pico)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2022-2024 de TOMRA: la URL con el mismo patrón que la de 2025 devuelve HTML, no el PDF; 2) notas del 4T24 en Inderes: dan Collection (203 M EUR) sin desglose de nuevos mercados; 3) financialfilings.com: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2024 (20 %) y 2025 (13 %) del informe de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sistemas de depósito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Proyectos de ley de depósito en Nueva York (Bigger Better Bottle Bill), Massachusetts e Illinois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por presupuesto; 2) Reloop 2024 da solo los sistemas vigentes;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Sustainalytics, CDP e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2025: solo cita la opinión «Dark Green» de S&amp;P sobre el marco verde; 2) página de Sustainalytics (WebFetch y curl): se renderiza con JavaScript, sin la puntuación; MSCI: igual; 3) el resumen del buscador da 27,4 (riesgo medio) en Sustainalytics, no usable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Controversias de los últimos tres años (prensa)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2025: sin sanciones ni litigios relevantes; 2) no se buscó en prensa por presupuesto;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responsable en Food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Tomra en NewsWeb y Cision de oct-2024 a oct-2026: solo hay cambios en Recycling; 2) informes 4T25, 1T26 y 2T26 y avisos de operaciones de mayo de 2026: Harald Henriksen sigue como EVP de Food; 3) informe de remuneraciones 2025: sin altas ni bajas en Food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hay cambio que registrar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 Kathleen Wantz-O'Rourke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 de la junta de 2026: no asigna comisiones; 2) informe del 2T26 y comunicados posteriores: no lo mencionan; 3) el informe anual 2025 es anterior a su nombramiento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en contra sobre el capital libre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2024-2026: dan el recuento total, no por accionista; 2) acta de 2026: los 62.400.000 votos de Latour fueron como delegación con instrucciones al presidente; 3) cálculo propio suponiendo que Latour votó a favor de todos los puntos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legibles; 2) archivos de consenso de la web de inversores de Tomra: solo se conservan los de 2026 (los de 2025 dan 404 con tres nombres distintos); 3) Wayback Machine de MarketScreener: no accesible desde la herramienta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las revisiones de abr-jul 2026 con el consenso de Tomra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desglose de recomendaciones de MarketScreener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«BUY» y 6 analistas; 2) Investing: 6 compras, 0 mantener, 0 vender; 3) consenso de Tomra: no da recomendaciones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desglose de Investing, coherente en número de analistas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solo ROE; 2) no se consultó Stock Analysis por límite de llamadas; 3) cálculo propio: requiere balances de 8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Compac (2016) y BBC Technologies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Tomra sobre Compac (reproducido en PotatoPro): sin precio; 2) blog de Tomra: 404; 3) búsqueda de BBC Technologies cortada; la cifra de NZD 70 M de un resumen de buscador no se usa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valoracion.puente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opciones de minoritarios y earn-out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2T26: no desglosa otros pasivos; 2) informe anual 2025, nota 19: 36,0 MEUR a 31-dic-2025; 3) derivarlo de la caída de otros pasivos no corrientes (64 a 35): no separable de pensiones y reclasificaciones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se usa la cifra de 31-dic-2025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publicada por un proveedor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da la capitalización de Tomra en texto; 2) Euronext: sin capitalización en la descarga; 3) Investing: no la da en la página de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Annual Report 2025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https://mb.cision.com/Main/4659/4324262/3994762.pdf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Annual Report 2024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https://mb.cision.com/Main/4659/4122280/3335937.pdf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2023 (cuentas en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https://mb.cision.com/Main/4659/3950358/2688750.pdf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2nd quarter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https://mb.cision.com/Public/4659/4375609/90ae85da3cc47035.pdf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4th quarter 2025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https://mb.cision.com/Public/4659/4307254/b2ddd275a5c7fc81.pdf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First Quarter 2026 Results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https://mb.cision.com/Public/4659/4339633/82950f699ce17ff8.pdf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1st quarter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https://mb.cision.com/Public/4659/4339633/bf755228e9c6400d.pdf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Scope downgrades credit rating from A- to 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https://news.cision.com/tomra-systems-asa/r/tomra--scope-downgrades-credit-rating-from-a--to-bbb-,c4357020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2022 (cuentas en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https://mb.cision.com/Main/4659/3737269/1927965.pdf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(EUR/NOK)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2Q 2026 presentación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https://mb.cision.com/Public/4659/4375609/b475f54895650140.pdf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2Q 2026 nota de prensa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https://mb.cision.com/Public/4659/4375609/b26433a62f6ca5ba.pdf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2025 «Circular Foundations»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https://www.tomra.com/-/media/project/tomra/tomra/investor-relations/annual-reports/2025/tomra-annual-report-2025.pdf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 Annual Report 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https://filings.xbrl.org/7245009QH646WM76PR25/2025-12-31/ESEF/NL/0/envipcoholdingnv-2025-12-31-1-en/reports/envipcoholdingnv-2025-12-31-1-en.xhtml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Deposit Book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Reloop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https://www.reloopplatform.org/wp-content/uploads/2024/12/Reloop-Global-Deposit-Book-2024.pdf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Reverse Vending Machine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Credence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https://www.credenceresearch.com/report/reverse-vending-machine-market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Reverse Vending Machine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https://www.marketresearchfuture.com/reports/reverse-vending-machine-market-12194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Optical Sorter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P&amp;S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https://psmarketresearch.com/market-analysis/optical-sorter-market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Bühler loses sales in 2025, but increases profitability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(bluewin.ch)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https://www.bluewin.ch/en/news/buehler-loses-sales-in-2025-but-increases-profitability-3098492.html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Reports Fourth Quarter and Full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https://storage.mfn.se/4a7ee7d4-8955-4450-8c77-0b89d4cab2f2/2025-q4-and-fy-2025-press-release-final.pdf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 Jahresabschluss und Lagebericht 2024 (extracto del Unternehmensregister)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https://uploads4.craft.co/uploads/unified_record/source/document/2172316/4d4b4894ebc60475.pdf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 Jahresabschluss und Lagebericht 2023 (extracto del Unternehmensregister)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https://uploads3.craft.co/uploads/unified_record/source/document/2172305/866e80aabb2015aa.pdf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 (TOMRA 50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https://www.tomra.com/about-tomra/our-history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CHF,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https://mb.cision.com/Public/4659/4327824/a1c2de5dfdb642c0.pdf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2026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https://mb.cision.com/Public/4659/4339571/afbd45e3ed0436a6.pdf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2025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https://api3.oslo.oslobors.no/v1/newsreader/attachment?messageId=645441&amp;attachmentId=303757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2024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https://api3.oslo.oslobors.no/v1/newsreader/attachment?messageId=616917&amp;attachmentId=281433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2026 Information Pack (convocatoria y recomendación del comité de nombramientos)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https://mb.cision.com/Public/4659/4327824/b9e9d767de90cd03.pdf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cuarto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https://api3.oslo.oslobors.no/v1/newsreader/attachment?messageId=665757&amp;attachmentId=318991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segundo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https://api3.oslo.oslobors.no/v1/newsreader/attachment?messageId=651394&amp;attachmentId=308486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cuarto trimestre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https://api3.oslo.oslobors.no/v1/newsreader/attachment?messageId=638722&amp;attachmentId=297922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https://api3.oslo.oslobors.no/v1/newsreader/attachment?messageId=671383&amp;attachmentId=324013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Capital Markets Day 2024 (ambiciones a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https://newsweb.oslobors.no/message/627042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Recycling announces cost reduction program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https://news.cision.com/tomra-systems-asa/r/tomra--tomra-recycling-announces-cost-reduction-program,c4305681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Lars Enge appointed as EVP of TOMRA Recycling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https://newsweb.oslobors.no/message/654600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EVP TOMRA Recycling announces retirement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https://newsweb.oslobors.no/message/636443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adjusts practice for pre-close calls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https://newsweb.oslobors.no/message/650681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Share buyback program completed (programas de enero y octubre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https://newsweb.oslobors.no/message/657892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Key information relating to proposed cash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https://news.cision.com/tomra-systems-asa/r/tomra--key-information-relating-to-proposed-cash-dividend,c4307248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Avisos de operaciones de directivos (Managers' transactions) de Tomra Systems, oct-2025 a oct-2026 (mensajes 658614, 659004, 659246, 662249, 663199, 667277, 674958, 674963, 676098, 676255 y 678853)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https://newsweb.oslobors.no/search?category=1102&amp;issuer=2392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Avisos de participaciones significativas (flagging) de Tomra Systems, abr-2025 a sep-2026 (mensajes 643113, 651013, 665805, 665956, 667938 y 683297)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https://newsweb.oslobors.no/search?category=1005&amp;issuer=2392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(Short Sale Register), Tomra Systems NO0012470089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https://ssr.finanstilsynet.no/api/v2/instruments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Invitation to Capital Markets Day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https://news.cision.com/tomra-systems-asa/r/tomra--invitation-to-capital-markets-day-2026,c4387027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(NO0012470089, XOSL): precios históricos diarios,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(live.euronext.com)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https://live.euronext.com/en/ajax/AwlHistoricalPrice/getFullDownloadAjax/NO0012470089-XOSL?format=csv&amp;decimal_separator=.&amp;date_form=d/m/Y&amp;op=&amp;adjusted=Y&amp;base100=&amp;startdate=2025-10-01&amp;enddate=2026-10-08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TOM.OL, OSEBX.OL, OBXD.OL, ^STOXX, EXSA.DE y EXH4.DE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https://finance.yahoo.com/quote/TOM.OL/history/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 structure of interest rates on listed Federal securities (Svensson), vencimiento residual 10 años,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Government bond generic rates, 10 años (GOVT_GENERIC_RATES B.10Y.GBON)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https://data.norges-bank.no/api/data/GOVT_GENERIC_RATES/B.10Y.GBON?format=csv&amp;startPeriod=2026-09-01&amp;endPeriod=2026-10-08&amp;locale=en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previsiones financieras (finances) y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https://www.marketscreener.com/quote/stock/TOMRA-SYSTEMS-ASA-1413304/finances/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(TOM): consensus estimates,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https://www.investing.com/equities/tomra-systems-consensus-estimates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Q2 TOMRA consensus - post results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https://www.tomra.com/-/media/project/tomra/tomra/investor-relations/consensus/2026-q2-tomra-consensus---post-results.xlsx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Q1 TOMRA consensus - pre results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https://www.tomra.com/-/media/project/tomra/tomra/investor-relations/consensus/2026-q1-tomra-consensus---pre-results.xlsx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https://www.marketscreener.com/quote/stock/ENVIPCO-HOLDING-N-V-46512764/finances/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https://www.marketscreener.com/quote/stock/JBT-MAREL-CORPORATION-3860953/finances/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https://www.marketscreener.com/quote/stock/METTLER-TOLEDO-INTERNATIO-13627/finances/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Corporation: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https://www.marketscreener.com/quote/stock/COGNEX-CORPORATION-40246780/finances/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https://www.marketscreener.com/quote/stock/HALMA-PLC-9590130/finances/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https://www.marketscreener.com/quote/stock/ALFA-LAVAL-AB-6494532/finances/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Kardex Holding AG: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https://www.marketscreener.com/quote/stock/KARDEX-HOLDING-AG-5252517/finances/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 Form 10-Q del primer trimestre de 2025 (nota de la adquisición de Marel)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https://www.sec.gov/Archives/edgar/data/1433660/000143366025000026/jbt-20250331.htm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reports JBT standalone fourth quarter and full year 2024 results; highlights on Marel 2024 results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https://www.sec.gov/Archives/edgar/data/1433660/000143366025000002/a2024q4earningsexhibit9918k.htm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Duravant completes acquisition of Key Technology (SC TO-T/A, exhibit (a)(1)(P))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Duravant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https://www.sec.gov/Archives/edgar/data/0000906193/000119312518089214/d554357dex99a1p.htm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 Technology Inc., datos XBRL (10-K del ejercicio a sep-2017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(data.sec.gov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https://data.sec.gov/api/xbrl/companyfacts/CIK0000906193.json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acquires New Zealand sorting machine manufacturer Compac (comunicado de TOMRA reproducido)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PotatoPro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https://www.potatopro.com/nl/news/2016/tomra-acquires-new-zealand-sorting-machine-manufacturer-compac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(3T26 el 23-oct-2026, Capital Markets Day el 24-nov-2026, 4T26 el 12-feb-2027)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https://www.tomra.com/investor-relations/financial-calendar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sentimiento</w:t>
      </w:r>
      <w:r>
        <w:t xml:space="preserve"> · Generado el 13 oct 2026.</w:t>
      </w:r>
    </w:p>
    <w:p>
      <w:pPr>
        <w:pStyle w:val="Nota"/>
        <w:spacing w:after="100"/>
      </w:pPr>
      <w:r>
        <w:t xml:space="preserve">Una sola línea cotizada (Euronext Oslo Børs, TOM), en coronas noruegas; las cuentas se presentan en euros desde 2024, con 2023 reexpresado [1, 2]. Todo el informe va en euros; el precio, el valor objetivo y los niveles de compra y venta también se dan en NOK con el tipo del BCE del 7-oct-2026 (10,7120 NOK por euro) [10]. El precio es el cierre oficial del 7-oct-2026 (92,95 NOK): la sesión del 8 no había cerrado a la fecha de corte [45]. Rentabilidades, beta y volatilidad llegan al 6-oct [46]. </w:t>
      </w:r>
      <w:r>
        <w:rPr>
          <w:b/>
        </w:rPr>
        <w:t xml:space="preserve">2021 y 2022 son conversiones propias</w:t>
      </w:r>
      <w:r>
        <w:t xml:space="preserve"> de las cuentas en NOK con los tipos del BCE (medio del año para cuenta y flujos, cierre para balance); cuadran con las cifras clave en euros que publica la empresa [1, 3, 9]. Los segmentos actuales (Collection, Recycling, Food, Horizon) solo están publicados desde 2023 [2]. Los precios y el BPA anteriores a 2023 van ajustados por el desdoblamiento 2:1 de ese año [46]. El puente y las acciones (295,70 M sin autocartera) son del 30-jun-2026 [4]; las opciones sobre minoritarios y el earn-out de CLYNK son de diciembre de 2025, porque el 2T26 no los desglosa [1]. No hay transcripción de las conferencias: el texto de resultados recientes resume los informes y las presentaciones. MarketScreener da el consenso completo (6 analistas); se contrasta con el consenso que recoge la propia Tomra (9 casas, sin EBITDA) [49, 51]. La cuota mundial de Tomra en máquinas de devolución no se publica.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TOMRA Systems ASA (TOM)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(7,26 – 10,72)</c:v>
                </c:pt>
                <c:pt idx="6">
                  <c:v>Escenarios (bajista – alcista) (5,74 – 11,27)</c:v>
                </c:pt>
                <c:pt idx="7">
                  <c:v>Suma de partes (7,17 – 10,55)</c:v>
                </c:pt>
                <c:pt idx="8">
                  <c:v>DCF con la prima implícita del mercado (4,2 %)</c:v>
                </c:pt>
                <c:pt idx="9">
                  <c:v>Precio actual (8,68)</c:v>
                </c:pt>
              </c:strCache>
            </c:strRef>
          </c:cat>
          <c:val>
            <c:numRef>
              <c:f>Hoja1!$B$2:$B$11</c:f>
              <c:numCache>
                <c:formatCode>#,##0.0</c:formatCode>
                <c:ptCount val="10"/>
                <c:pt idx="0">
                  <c:v>8.38</c:v>
                </c:pt>
                <c:pt idx="1">
                  <c:v>9.56</c:v>
                </c:pt>
                <c:pt idx="2">
                  <c:v>8.08</c:v>
                </c:pt>
                <c:pt idx="3">
                  <c:v>8.21</c:v>
                </c:pt>
                <c:pt idx="4">
                  <c:v>6.36</c:v>
                </c:pt>
                <c:pt idx="5">
                  <c:v>7.26</c:v>
                </c:pt>
                <c:pt idx="6">
                  <c:v>5.74</c:v>
                </c:pt>
                <c:pt idx="7">
                  <c:v>7.17</c:v>
                </c:pt>
                <c:pt idx="8">
                  <c:v>10.11</c:v>
                </c:pt>
                <c:pt idx="9">
                  <c:v>8.63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(7,26 – 10,72)</c:v>
                </c:pt>
                <c:pt idx="6">
                  <c:v>Escenarios (bajista – alcista) (5,74 – 11,27)</c:v>
                </c:pt>
                <c:pt idx="7">
                  <c:v>Suma de partes (7,17 – 10,55)</c:v>
                </c:pt>
                <c:pt idx="8">
                  <c:v>DCF con la prima implícita del mercado (4,2 %)</c:v>
                </c:pt>
                <c:pt idx="9">
                  <c:v>Precio actual (8,68)</c:v>
                </c:pt>
              </c:strCache>
            </c:strRef>
          </c:cat>
          <c:val>
            <c:numRef>
              <c:f>Hoja1!$C$2:$C$11</c:f>
              <c:numCache>
                <c:formatCode>#,##0.0</c:formatCode>
                <c:ptCount val="10"/>
                <c:pt idx="0">
                  <c:v>5.33</c:v>
                </c:pt>
                <c:pt idx="1">
                  <c:v>3.4299999999999997</c:v>
                </c:pt>
                <c:pt idx="2">
                  <c:v>12.92</c:v>
                </c:pt>
                <c:pt idx="3">
                  <c:v>7.149999999999999</c:v>
                </c:pt>
                <c:pt idx="4">
                  <c:v>4.87</c:v>
                </c:pt>
                <c:pt idx="5">
                  <c:v>3.460000000000001</c:v>
                </c:pt>
                <c:pt idx="6">
                  <c:v>5.529999999999999</c:v>
                </c:pt>
                <c:pt idx="7">
                  <c:v>3.380000000000001</c:v>
                </c:pt>
                <c:pt idx="8">
                  <c:v>3.1900000000000013</c:v>
                </c:pt>
                <c:pt idx="9">
                  <c:v>0.08999999999999986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Collection</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697.4</c:v>
                </c:pt>
                <c:pt idx="1">
                  <c:v>773.1</c:v>
                </c:pt>
                <c:pt idx="2">
                  <c:v>740.5</c:v>
                </c:pt>
              </c:numCache>
            </c:numRef>
          </c:val>
        </c:ser>
        <c:ser>
          <c:idx val="1"/>
          <c:order val="1"/>
          <c:tx>
            <c:strRef>
              <c:f>Hoja1!$C$1</c:f>
              <c:strCache>
                <c:ptCount val="1"/>
                <c:pt idx="0">
                  <c:v>Recycling</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270.1</c:v>
                </c:pt>
                <c:pt idx="1">
                  <c:v>265.8</c:v>
                </c:pt>
                <c:pt idx="2">
                  <c:v>218.2</c:v>
                </c:pt>
              </c:numCache>
            </c:numRef>
          </c:val>
        </c:ser>
        <c:ser>
          <c:idx val="2"/>
          <c:order val="2"/>
          <c:tx>
            <c:strRef>
              <c:f>Hoja1!$D$1</c:f>
              <c:strCache>
                <c:ptCount val="1"/>
                <c:pt idx="0">
                  <c:v>Food</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319.6</c:v>
                </c:pt>
                <c:pt idx="1">
                  <c:v>310.9</c:v>
                </c:pt>
                <c:pt idx="2">
                  <c:v>328</c:v>
                </c:pt>
              </c:numCache>
            </c:numRef>
          </c:val>
        </c:ser>
        <c:ser>
          <c:idx val="3"/>
          <c:order val="3"/>
          <c:tx>
            <c:strRef>
              <c:f>Hoja1!$E$1</c:f>
              <c:strCache>
                <c:ptCount val="1"/>
                <c:pt idx="0">
                  <c:v>Horizon</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0.8</c:v>
                </c:pt>
                <c:pt idx="1">
                  <c:v>7.4</c:v>
                </c:pt>
                <c:pt idx="2">
                  <c:v>32.2</c:v>
                </c:pt>
              </c:numCache>
            </c:numRef>
          </c:val>
        </c:ser>
        <c:ser>
          <c:idx val="4"/>
          <c:order val="4"/>
          <c:tx>
            <c:strRef>
              <c:f>Hoja1!$F$1</c:f>
              <c:strCache>
                <c:ptCount val="1"/>
                <c:pt idx="0">
                  <c:v>Funciones de grupo y eliminaciones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Collection</c:v>
                </c:pt>
                <c:pt idx="1">
                  <c:v>Recycling</c:v>
                </c:pt>
                <c:pt idx="2">
                  <c:v>Food</c:v>
                </c:pt>
                <c:pt idx="3">
                  <c:v>Horizon</c:v>
                </c:pt>
                <c:pt idx="4">
                  <c:v>Funciones de grupo y eliminaciones</c:v>
                </c:pt>
              </c:strCache>
            </c:strRef>
          </c:cat>
          <c:val>
            <c:numRef>
              <c:f>Hoja1!$B$2:$B$6</c:f>
              <c:numCache>
                <c:formatCode>General</c:formatCode>
                <c:ptCount val="5"/>
                <c:pt idx="0">
                  <c:v>56.1</c:v>
                </c:pt>
                <c:pt idx="1">
                  <c:v>16.5</c:v>
                </c:pt>
                <c:pt idx="2">
                  <c:v>24.9</c:v>
                </c:pt>
                <c:pt idx="3">
                  <c:v>2.4</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n.d.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Resto de Europa</c:v>
                </c:pt>
                <c:pt idx="1">
                  <c:v>Norteamérica</c:v>
                </c:pt>
                <c:pt idx="2">
                  <c:v>Oceanía</c:v>
                </c:pt>
                <c:pt idx="3">
                  <c:v>Norte de Europa</c:v>
                </c:pt>
                <c:pt idx="4">
                  <c:v>Asia</c:v>
                </c:pt>
                <c:pt idx="5">
                  <c:v>Sudamérica</c:v>
                </c:pt>
                <c:pt idx="6">
                  <c:v>África</c:v>
                </c:pt>
              </c:strCache>
            </c:strRef>
          </c:cat>
          <c:val>
            <c:numRef>
              <c:f>Hoja1!$B$2:$B$8</c:f>
              <c:numCache>
                <c:formatCode>0"%"</c:formatCode>
                <c:ptCount val="7"/>
                <c:pt idx="0">
                  <c:v>43.4</c:v>
                </c:pt>
                <c:pt idx="1">
                  <c:v>25.6</c:v>
                </c:pt>
                <c:pt idx="2">
                  <c:v>9.5</c:v>
                </c:pt>
                <c:pt idx="3">
                  <c:v>9.3</c:v>
                </c:pt>
                <c:pt idx="4">
                  <c:v>6.8</c:v>
                </c:pt>
                <c:pt idx="5">
                  <c:v>3.6</c:v>
                </c:pt>
                <c:pt idx="6">
                  <c:v>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 de RVM según Market Research Future; 2030e interpolado con su TCAC del 5,52 %))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2024</c:v>
                </c:pt>
                <c:pt idx="1">
                  <c:v>2025</c:v>
                </c:pt>
                <c:pt idx="2">
                  <c:v>2030e</c:v>
                </c:pt>
                <c:pt idx="3">
                  <c:v>2035e</c:v>
                </c:pt>
              </c:strCache>
            </c:strRef>
          </c:cat>
          <c:val>
            <c:numRef>
              <c:f>Hoja1!$B$2:$B$5</c:f>
              <c:numCache>
                <c:formatCode>#,##0</c:formatCode>
                <c:ptCount val="4"/>
                <c:pt idx="0">
                  <c:v>446.5</c:v>
                </c:pt>
                <c:pt idx="1">
                  <c:v>471.1</c:v>
                </c:pt>
                <c:pt idx="2">
                  <c:v>616</c:v>
                </c:pt>
                <c:pt idx="3">
                  <c:v>806.3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Tomra</c:v>
                </c:pt>
                <c:pt idx="1">
                  <c:v>Envipco Holding</c:v>
                </c:pt>
                <c:pt idx="2">
                  <c:v>Bühler Group</c:v>
                </c:pt>
                <c:pt idx="3">
                  <c:v>JBT Marel</c:v>
                </c:pt>
                <c:pt idx="4">
                  <c:v>STEINERT GmbH</c:v>
                </c:pt>
              </c:strCache>
            </c:strRef>
          </c:cat>
          <c:val>
            <c:numRef>
              <c:f>Hoja1!$B$2:$B$6</c:f>
              <c:numCache>
                <c:formatCode>0.0"%"</c:formatCode>
                <c:ptCount val="5"/>
                <c:pt idx="0">
                  <c:v>11</c:v>
                </c:pt>
                <c:pt idx="1">
                  <c:v>-8.4</c:v>
                </c:pt>
                <c:pt idx="2">
                  <c:v>8</c:v>
                </c:pt>
                <c:pt idx="3">
                  <c:v>5</c:v>
                </c:pt>
                <c:pt idx="4">
                  <c:v>11.3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1073.3</c:v>
                </c:pt>
                <c:pt idx="1">
                  <c:v>1206.4</c:v>
                </c:pt>
                <c:pt idx="2">
                  <c:v>1287.9</c:v>
                </c:pt>
                <c:pt idx="3">
                  <c:v>1347.6</c:v>
                </c:pt>
                <c:pt idx="4">
                  <c:v>1318.3</c:v>
                </c:pt>
                <c:pt idx="5">
                  <c:v>1477</c:v>
                </c:pt>
                <c:pt idx="6">
                  <c:v>1644</c:v>
                </c:pt>
                <c:pt idx="7">
                  <c:v>1744</c:v>
                </c:pt>
                <c:pt idx="8">
                  <c:v>1824</c:v>
                </c:pt>
                <c:pt idx="9">
                  <c:v>1938</c:v>
                </c:pt>
                <c:pt idx="10">
                  <c:v>2039</c:v>
                </c:pt>
                <c:pt idx="11">
                  <c:v>2132</c:v>
                </c:pt>
                <c:pt idx="12">
                  <c:v>2218</c:v>
                </c:pt>
                <c:pt idx="13">
                  <c:v>2296</c:v>
                </c:pt>
                <c:pt idx="14">
                  <c:v>2364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236.9</c:v>
                </c:pt>
                <c:pt idx="1">
                  <c:v>233.7</c:v>
                </c:pt>
                <c:pt idx="2">
                  <c:v>240.9</c:v>
                </c:pt>
                <c:pt idx="3">
                  <c:v>261.40000000000003</c:v>
                </c:pt>
                <c:pt idx="4">
                  <c:v>259.9</c:v>
                </c:pt>
                <c:pt idx="5">
                  <c:v>259</c:v>
                </c:pt>
                <c:pt idx="6">
                  <c:v>349</c:v>
                </c:pt>
                <c:pt idx="7">
                  <c:v>389</c:v>
                </c:pt>
                <c:pt idx="8">
                  <c:v>413</c:v>
                </c:pt>
                <c:pt idx="9">
                  <c:v>442</c:v>
                </c:pt>
                <c:pt idx="10">
                  <c:v>466</c:v>
                </c:pt>
                <c:pt idx="11">
                  <c:v>489</c:v>
                </c:pt>
                <c:pt idx="12">
                  <c:v>509</c:v>
                </c:pt>
                <c:pt idx="13">
                  <c:v>527</c:v>
                </c:pt>
                <c:pt idx="14">
                  <c:v>543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60.2</c:v>
                </c:pt>
                <c:pt idx="1">
                  <c:v>58.5</c:v>
                </c:pt>
                <c:pt idx="2">
                  <c:v>59.4</c:v>
                </c:pt>
                <c:pt idx="3">
                  <c:v>59.7</c:v>
                </c:pt>
                <c:pt idx="4">
                  <c:v>63.2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22.1</c:v>
                </c:pt>
                <c:pt idx="1">
                  <c:v>19.4</c:v>
                </c:pt>
                <c:pt idx="2">
                  <c:v>18.7</c:v>
                </c:pt>
                <c:pt idx="3">
                  <c:v>19.4</c:v>
                </c:pt>
                <c:pt idx="4">
                  <c:v>19.7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14.2</c:v>
                </c:pt>
                <c:pt idx="1">
                  <c:v>11.9</c:v>
                </c:pt>
                <c:pt idx="2">
                  <c:v>11.2</c:v>
                </c:pt>
                <c:pt idx="3">
                  <c:v>12</c:v>
                </c:pt>
                <c:pt idx="4">
                  <c:v>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10</c:v>
                </c:pt>
                <c:pt idx="1">
                  <c:v>8.4</c:v>
                </c:pt>
                <c:pt idx="2">
                  <c:v>4.6</c:v>
                </c:pt>
                <c:pt idx="3">
                  <c:v>7</c:v>
                </c:pt>
                <c:pt idx="4">
                  <c:v>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0">
                  <c:v>12</c:v>
                </c:pt>
                <c:pt idx="1">
                  <c:v>5</c:v>
                </c:pt>
                <c:pt idx="2">
                  <c:v>-2</c:v>
                </c:pt>
                <c:pt idx="3">
                  <c:v>-6</c:v>
                </c:pt>
                <c:pt idx="4">
                  <c:v>-4</c:v>
                </c:pt>
                <c:pt idx="5">
                  <c:v>9</c:v>
                </c:pt>
                <c:pt idx="6">
                  <c:v>25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Hoja1!$C$2:$C$8</c:f>
              <c:numCache>
                <c:formatCode>0.0"%"</c:formatCode>
                <c:ptCount val="7"/>
                <c:pt idx="5">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73</c:v>
                </c:pt>
                <c:pt idx="1">
                  <c:v>79</c:v>
                </c:pt>
                <c:pt idx="2">
                  <c:v>78</c:v>
                </c:pt>
                <c:pt idx="3">
                  <c:v>78</c:v>
                </c:pt>
                <c:pt idx="4">
                  <c:v>80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161</c:v>
                </c:pt>
                <c:pt idx="1">
                  <c:v>164</c:v>
                </c:pt>
                <c:pt idx="2">
                  <c:v>166</c:v>
                </c:pt>
                <c:pt idx="3">
                  <c:v>151</c:v>
                </c:pt>
                <c:pt idx="4">
                  <c:v>192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55</c:v>
                </c:pt>
                <c:pt idx="1">
                  <c:v>46</c:v>
                </c:pt>
                <c:pt idx="2">
                  <c:v>51</c:v>
                </c:pt>
                <c:pt idx="3">
                  <c:v>41</c:v>
                </c:pt>
                <c:pt idx="4">
                  <c:v>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85.39999999999999</c:v>
                </c:pt>
                <c:pt idx="1">
                  <c:v>-4.8</c:v>
                </c:pt>
                <c:pt idx="2">
                  <c:v>-3.1999999999999957</c:v>
                </c:pt>
                <c:pt idx="3">
                  <c:v>60.599999999999994</c:v>
                </c:pt>
                <c:pt idx="4">
                  <c:v>-19.099999999999994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107.4</c:v>
                </c:pt>
                <c:pt idx="1">
                  <c:v>101.8</c:v>
                </c:pt>
                <c:pt idx="2">
                  <c:v>59.5</c:v>
                </c:pt>
                <c:pt idx="3">
                  <c:v>93.8</c:v>
                </c:pt>
                <c:pt idx="4">
                  <c:v>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c:v>
                </c:pt>
                <c:pt idx="1">
                  <c:v>13.3</c:v>
                </c:pt>
                <c:pt idx="2">
                  <c:v>12</c:v>
                </c:pt>
                <c:pt idx="3">
                  <c:v>12.5</c:v>
                </c:pt>
                <c:pt idx="4">
                  <c:v>9.8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8.3</c:v>
                </c:pt>
                <c:pt idx="2">
                  <c:v>8.3</c:v>
                </c:pt>
                <c:pt idx="3">
                  <c:v>8.3</c:v>
                </c:pt>
                <c:pt idx="4">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17.9</c:v>
                </c:pt>
                <c:pt idx="1">
                  <c:v>16.9</c:v>
                </c:pt>
                <c:pt idx="2">
                  <c:v>9.9</c:v>
                </c:pt>
                <c:pt idx="3">
                  <c:v>15.7</c:v>
                </c:pt>
                <c:pt idx="4">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0.59</c:v>
                </c:pt>
                <c:pt idx="1">
                  <c:v>1.11</c:v>
                </c:pt>
                <c:pt idx="2">
                  <c:v>1.32</c:v>
                </c:pt>
                <c:pt idx="3">
                  <c:v>1.52</c:v>
                </c:pt>
                <c:pt idx="4">
                  <c:v>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7.3</c:v>
                </c:pt>
                <c:pt idx="1">
                  <c:v>49.4</c:v>
                </c:pt>
                <c:pt idx="2">
                  <c:v>162.4</c:v>
                </c:pt>
                <c:pt idx="3">
                  <c:v>72.5</c:v>
                </c:pt>
                <c:pt idx="4">
                  <c:v>225.7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c:v>
                </c:pt>
                <c:pt idx="1">
                  <c:v>0.3</c:v>
                </c:pt>
                <c:pt idx="2">
                  <c:v>12.4</c:v>
                </c:pt>
                <c:pt idx="3">
                  <c:v>81.6</c:v>
                </c:pt>
                <c:pt idx="4">
                  <c:v>104.1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43.6</c:v>
                </c:pt>
                <c:pt idx="1">
                  <c:v>87.7</c:v>
                </c:pt>
                <c:pt idx="2">
                  <c:v>45.4</c:v>
                </c:pt>
                <c:pt idx="3">
                  <c:v>49.8</c:v>
                </c:pt>
                <c:pt idx="4">
                  <c:v>54.8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12.7</c:v>
                </c:pt>
                <c:pt idx="2">
                  <c:v>0</c:v>
                </c:pt>
                <c:pt idx="3">
                  <c:v>0</c:v>
                </c:pt>
                <c:pt idx="4">
                  <c:v>7.6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Otro externo</c:v>
                </c:pt>
                <c:pt idx="2">
                  <c:v>Independiente</c:v>
                </c:pt>
              </c:strCache>
            </c:strRef>
          </c:cat>
          <c:val>
            <c:numRef>
              <c:f>Hoja1!$B$2:$B$4</c:f>
              <c:numCache>
                <c:formatCode>0</c:formatCode>
                <c:ptCount val="3"/>
                <c:pt idx="0">
                  <c:v>1</c:v>
                </c:pt>
                <c:pt idx="1">
                  <c:v>4</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Investment AB Latour</c:v>
                </c:pt>
                <c:pt idx="1">
                  <c:v>Folketrygdfondet</c:v>
                </c:pt>
                <c:pt idx="2">
                  <c:v>APG Asset Management</c:v>
                </c:pt>
                <c:pt idx="3">
                  <c:v>Inter Long Term Capital S.A.</c:v>
                </c:pt>
                <c:pt idx="4">
                  <c:v>DNB Asset Management</c:v>
                </c:pt>
                <c:pt idx="5">
                  <c:v>Nordea Funds</c:v>
                </c:pt>
                <c:pt idx="6">
                  <c:v>KIRKBI Invest A/S</c:v>
                </c:pt>
                <c:pt idx="7">
                  <c:v>PGGM Vermogensbeheer</c:v>
                </c:pt>
                <c:pt idx="8">
                  <c:v>The Vanguard Group</c:v>
                </c:pt>
                <c:pt idx="9">
                  <c:v>Autocartera</c:v>
                </c:pt>
              </c:strCache>
            </c:strRef>
          </c:cat>
          <c:val>
            <c:numRef>
              <c:f>Hoja1!$B$2:$B$11</c:f>
              <c:numCache>
                <c:formatCode>0.0"%"</c:formatCode>
                <c:ptCount val="10"/>
                <c:pt idx="0">
                  <c:v>21.08</c:v>
                </c:pt>
                <c:pt idx="1">
                  <c:v>4.94</c:v>
                </c:pt>
                <c:pt idx="2">
                  <c:v>4.98</c:v>
                </c:pt>
                <c:pt idx="3">
                  <c:v>5.21</c:v>
                </c:pt>
                <c:pt idx="4">
                  <c:v>4.96</c:v>
                </c:pt>
                <c:pt idx="5">
                  <c:v>3.9</c:v>
                </c:pt>
                <c:pt idx="6">
                  <c:v>3.82</c:v>
                </c:pt>
                <c:pt idx="7">
                  <c:v>3.44</c:v>
                </c:pt>
                <c:pt idx="8">
                  <c:v>3.38</c:v>
                </c:pt>
                <c:pt idx="9">
                  <c:v>0.11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c:v>
                </c:pt>
                <c:pt idx="1">
                  <c:v>48.4</c:v>
                </c:pt>
                <c:pt idx="2">
                  <c:v>50.4</c:v>
                </c:pt>
                <c:pt idx="3">
                  <c:v>45.5</c:v>
                </c:pt>
                <c:pt idx="4">
                  <c:v>52.9</c:v>
                </c:pt>
                <c:pt idx="5">
                  <c:v>50.4</c:v>
                </c:pt>
                <c:pt idx="6">
                  <c:v>-46.7</c:v>
                </c:pt>
                <c:pt idx="7">
                  <c:v>-24.6</c:v>
                </c:pt>
                <c:pt idx="8">
                  <c:v>20.4</c:v>
                </c:pt>
                <c:pt idx="9">
                  <c:v>-6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12.1</c:v>
                </c:pt>
                <c:pt idx="1">
                  <c:v>19.1</c:v>
                </c:pt>
                <c:pt idx="2">
                  <c:v>-1.8</c:v>
                </c:pt>
                <c:pt idx="3">
                  <c:v>16.5</c:v>
                </c:pt>
                <c:pt idx="4">
                  <c:v>4.6</c:v>
                </c:pt>
                <c:pt idx="5">
                  <c:v>23.4</c:v>
                </c:pt>
                <c:pt idx="6">
                  <c:v>-1</c:v>
                </c:pt>
                <c:pt idx="7">
                  <c:v>9.9</c:v>
                </c:pt>
                <c:pt idx="8">
                  <c:v>9.1</c:v>
                </c:pt>
                <c:pt idx="9">
                  <c:v>18.4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40</c:v>
                </c:pt>
                <c:pt idx="6">
                  <c:v>21.1</c:v>
                </c:pt>
                <c:pt idx="7">
                  <c:v>14.9</c:v>
                </c:pt>
                <c:pt idx="8">
                  <c:v>15.7</c:v>
                </c:pt>
                <c:pt idx="9">
                  <c:v>15.5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15.7</c:v>
                </c:pt>
                <c:pt idx="1">
                  <c:v>15.7</c:v>
                </c:pt>
                <c:pt idx="2">
                  <c:v>15.7</c:v>
                </c:pt>
                <c:pt idx="3">
                  <c:v>15.7</c:v>
                </c:pt>
                <c:pt idx="4">
                  <c:v>15.7</c:v>
                </c:pt>
                <c:pt idx="5">
                  <c:v>15.7</c:v>
                </c:pt>
                <c:pt idx="6">
                  <c:v>15.7</c:v>
                </c:pt>
                <c:pt idx="7">
                  <c:v>15.7</c:v>
                </c:pt>
                <c:pt idx="8">
                  <c:v>15.7</c:v>
                </c:pt>
                <c:pt idx="9">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Tomra</c:v>
                </c:pt>
                <c:pt idx="1">
                  <c:v>Envipco Holding</c:v>
                </c:pt>
                <c:pt idx="2">
                  <c:v>JBT Marel</c:v>
                </c:pt>
                <c:pt idx="3">
                  <c:v>Krones</c:v>
                </c:pt>
                <c:pt idx="4">
                  <c:v>Mettler-Toledo</c:v>
                </c:pt>
                <c:pt idx="5">
                  <c:v>Cognex</c:v>
                </c:pt>
                <c:pt idx="6">
                  <c:v>Halma</c:v>
                </c:pt>
                <c:pt idx="7">
                  <c:v>Alfa Laval</c:v>
                </c:pt>
                <c:pt idx="8">
                  <c:v>Kardex</c:v>
                </c:pt>
              </c:strCache>
            </c:strRef>
          </c:cat>
          <c:val>
            <c:numRef>
              <c:f>Hoja1!$B$2:$B$10</c:f>
              <c:numCache>
                <c:formatCode>0.0"x"</c:formatCode>
                <c:ptCount val="9"/>
                <c:pt idx="0">
                  <c:v>9</c:v>
                </c:pt>
                <c:pt idx="1">
                  <c:v>5.5</c:v>
                </c:pt>
                <c:pt idx="2">
                  <c:v>9.5</c:v>
                </c:pt>
                <c:pt idx="3">
                  <c:v>4.4</c:v>
                </c:pt>
                <c:pt idx="4">
                  <c:v>23.4</c:v>
                </c:pt>
                <c:pt idx="5">
                  <c:v>25.3</c:v>
                </c:pt>
                <c:pt idx="6">
                  <c:v>17.5</c:v>
                </c:pt>
                <c:pt idx="7">
                  <c:v>14.9</c:v>
                </c:pt>
                <c:pt idx="8">
                  <c:v>13.8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Tomra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14.4</c:v>
                </c:pt>
              </c:numCache>
            </c:numRef>
          </c:xVal>
          <c:yVal>
            <c:numRef>
              <c:f>Hoja1!$C$2</c:f>
              <c:numCache>
                <c:formatCode>0.0"x"</c:formatCode>
                <c:ptCount val="1"/>
                <c:pt idx="0">
                  <c:v>9</c:v>
                </c:pt>
              </c:numCache>
            </c:numRef>
          </c:yVal>
          <c:smooth val="0"/>
        </c:ser>
        <c:ser>
          <c:idx val="1"/>
          <c:order val="1"/>
          <c:tx>
            <c:strRef>
              <c:f>Hoja1!$A$3</c:f>
              <c:strCache>
                <c:ptCount val="1"/>
                <c:pt idx="0">
                  <c:v>Envipco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84.9</c:v>
                </c:pt>
              </c:numCache>
            </c:numRef>
          </c:xVal>
          <c:yVal>
            <c:numRef>
              <c:f>Hoja1!$C$3</c:f>
              <c:numCache>
                <c:formatCode>0.0"x"</c:formatCode>
                <c:ptCount val="1"/>
                <c:pt idx="0">
                  <c:v>5.5</c:v>
                </c:pt>
              </c:numCache>
            </c:numRef>
          </c:yVal>
          <c:smooth val="0"/>
        </c:ser>
        <c:ser>
          <c:idx val="2"/>
          <c:order val="2"/>
          <c:tx>
            <c:strRef>
              <c:f>Hoja1!$A$4</c:f>
              <c:strCache>
                <c:ptCount val="1"/>
                <c:pt idx="0">
                  <c:v>JBT Marel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5.4</c:v>
                </c:pt>
              </c:numCache>
            </c:numRef>
          </c:xVal>
          <c:yVal>
            <c:numRef>
              <c:f>Hoja1!$C$4</c:f>
              <c:numCache>
                <c:formatCode>0.0"x"</c:formatCode>
                <c:ptCount val="1"/>
                <c:pt idx="0">
                  <c:v>9.5</c:v>
                </c:pt>
              </c:numCache>
            </c:numRef>
          </c:yVal>
          <c:smooth val="0"/>
        </c:ser>
        <c:ser>
          <c:idx val="3"/>
          <c:order val="3"/>
          <c:tx>
            <c:strRef>
              <c:f>Hoja1!$A$5</c:f>
              <c:strCache>
                <c:ptCount val="1"/>
                <c:pt idx="0">
                  <c:v>Krones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4.4</c:v>
                </c:pt>
              </c:numCache>
            </c:numRef>
          </c:yVal>
          <c:smooth val="0"/>
        </c:ser>
        <c:ser>
          <c:idx val="4"/>
          <c:order val="4"/>
          <c:tx>
            <c:strRef>
              <c:f>Hoja1!$A$6</c:f>
              <c:strCache>
                <c:ptCount val="1"/>
                <c:pt idx="0">
                  <c:v>Mettler-Toledo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c:v>
                </c:pt>
              </c:numCache>
            </c:numRef>
          </c:xVal>
          <c:yVal>
            <c:numRef>
              <c:f>Hoja1!$C$6</c:f>
              <c:numCache>
                <c:formatCode>0.0"x"</c:formatCode>
                <c:ptCount val="1"/>
                <c:pt idx="0">
                  <c:v>23.4</c:v>
                </c:pt>
              </c:numCache>
            </c:numRef>
          </c:yVal>
          <c:smooth val="0"/>
        </c:ser>
        <c:ser>
          <c:idx val="5"/>
          <c:order val="5"/>
          <c:tx>
            <c:strRef>
              <c:f>Hoja1!$A$7</c:f>
              <c:strCache>
                <c:ptCount val="1"/>
                <c:pt idx="0">
                  <c:v>Cognex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12.7</c:v>
                </c:pt>
              </c:numCache>
            </c:numRef>
          </c:xVal>
          <c:yVal>
            <c:numRef>
              <c:f>Hoja1!$C$7</c:f>
              <c:numCache>
                <c:formatCode>0.0"x"</c:formatCode>
                <c:ptCount val="1"/>
                <c:pt idx="0">
                  <c:v>25.3</c:v>
                </c:pt>
              </c:numCache>
            </c:numRef>
          </c:yVal>
          <c:smooth val="0"/>
        </c:ser>
        <c:ser>
          <c:idx val="6"/>
          <c:order val="6"/>
          <c:tx>
            <c:strRef>
              <c:f>Hoja1!$A$8</c:f>
              <c:strCache>
                <c:ptCount val="1"/>
                <c:pt idx="0">
                  <c:v>Halma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12.8</c:v>
                </c:pt>
              </c:numCache>
            </c:numRef>
          </c:xVal>
          <c:yVal>
            <c:numRef>
              <c:f>Hoja1!$C$8</c:f>
              <c:numCache>
                <c:formatCode>0.0"x"</c:formatCode>
                <c:ptCount val="1"/>
                <c:pt idx="0">
                  <c:v>17.5</c:v>
                </c:pt>
              </c:numCache>
            </c:numRef>
          </c:yVal>
          <c:smooth val="0"/>
        </c:ser>
        <c:ser>
          <c:idx val="7"/>
          <c:order val="7"/>
          <c:tx>
            <c:strRef>
              <c:f>Hoja1!$A$9</c:f>
              <c:strCache>
                <c:ptCount val="1"/>
                <c:pt idx="0">
                  <c:v>Alfa Laval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9.2</c:v>
                </c:pt>
              </c:numCache>
            </c:numRef>
          </c:xVal>
          <c:yVal>
            <c:numRef>
              <c:f>Hoja1!$C$9</c:f>
              <c:numCache>
                <c:formatCode>0.0"x"</c:formatCode>
                <c:ptCount val="1"/>
                <c:pt idx="0">
                  <c:v>14.9</c:v>
                </c:pt>
              </c:numCache>
            </c:numRef>
          </c:yVal>
          <c:smooth val="0"/>
        </c:ser>
        <c:ser>
          <c:idx val="8"/>
          <c:order val="8"/>
          <c:tx>
            <c:strRef>
              <c:f>Hoja1!$A$10</c:f>
              <c:strCache>
                <c:ptCount val="1"/>
                <c:pt idx="0">
                  <c:v>Kardex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16</c:v>
                </c:pt>
              </c:numCache>
            </c:numRef>
          </c:xVal>
          <c:yVal>
            <c:numRef>
              <c:f>Hoja1!$C$10</c:f>
              <c:numCache>
                <c:formatCode>0.0"x"</c:formatCode>
                <c:ptCount val="1"/>
                <c:pt idx="0">
                  <c:v>13.8</c:v>
                </c:pt>
              </c:numCache>
            </c:numRef>
          </c:yVal>
          <c:smooth val="0"/>
        </c:ser>
        <c:axId val="10"/>
        <c:axId val="20"/>
      </c:scatterChart>
      <c:valAx>
        <c:axId val="10"/>
        <c:scaling>
          <c:orientation val="minMax"/>
          <c:max val="1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Marel hf. (procesado de alimentos)</c:v>
                </c:pt>
                <c:pt idx="1">
                  <c:v>Key Technology (clasificación óptica de alimentos, EE. UU.)</c:v>
                </c:pt>
                <c:pt idx="2">
                  <c:v>CLYNK (C&amp;C Consolidated Holdings, bag-drop de envases, EE. UU.)</c:v>
                </c:pt>
                <c:pt idx="3">
                  <c:v>c-trace GmbH (software y hardware para gestión de residuos, Alemania)</c:v>
                </c:pt>
                <c:pt idx="4">
                  <c:v>Minoritarios de Tomra Collection Australia y Tomra Collection France</c:v>
                </c:pt>
              </c:strCache>
            </c:strRef>
          </c:cat>
          <c:val>
            <c:numRef>
              <c:f>Hoja1!$B$2:$B$6</c:f>
              <c:numCache>
                <c:formatCode>0.0"x"</c:formatCode>
                <c:ptCount val="5"/>
                <c:pt idx="0">
                  <c:v>20.7</c:v>
                </c:pt>
                <c:pt idx="1">
                  <c:v>15.1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47</c:v>
                </c:pt>
                <c:pt idx="1">
                  <c:v>100</c:v>
                </c:pt>
                <c:pt idx="2">
                  <c:v>148</c:v>
                </c:pt>
                <c:pt idx="3">
                  <c:v>170</c:v>
                </c:pt>
                <c:pt idx="4">
                  <c:v>176</c:v>
                </c:pt>
                <c:pt idx="5">
                  <c:v>193</c:v>
                </c:pt>
                <c:pt idx="6">
                  <c:v>210</c:v>
                </c:pt>
                <c:pt idx="7">
                  <c:v>225</c:v>
                </c:pt>
                <c:pt idx="8">
                  <c:v>238</c:v>
                </c:pt>
                <c:pt idx="9">
                  <c:v>249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1152</c:v>
                </c:pt>
                <c:pt idx="1">
                  <c:v>2128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8,68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5.74</c:v>
                </c:pt>
                <c:pt idx="1">
                  <c:v>8.7</c:v>
                </c:pt>
                <c:pt idx="2">
                  <c:v>11.27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(7,26 – 10,72)</c:v>
                </c:pt>
                <c:pt idx="6">
                  <c:v>Escenarios (bajista – alcista) (5,74 – 11,27)</c:v>
                </c:pt>
                <c:pt idx="7">
                  <c:v>Suma de partes (7,17 – 10,55)</c:v>
                </c:pt>
                <c:pt idx="8">
                  <c:v>DCF con la prima implícita del mercado (4,2 %)</c:v>
                </c:pt>
                <c:pt idx="9">
                  <c:v>Precio actual (8,68)</c:v>
                </c:pt>
              </c:strCache>
            </c:strRef>
          </c:cat>
          <c:val>
            <c:numRef>
              <c:f>Hoja1!$B$2:$B$11</c:f>
              <c:numCache>
                <c:formatCode>#,##0.0</c:formatCode>
                <c:ptCount val="10"/>
                <c:pt idx="0">
                  <c:v>8.38</c:v>
                </c:pt>
                <c:pt idx="1">
                  <c:v>9.56</c:v>
                </c:pt>
                <c:pt idx="2">
                  <c:v>8.08</c:v>
                </c:pt>
                <c:pt idx="3">
                  <c:v>8.21</c:v>
                </c:pt>
                <c:pt idx="4">
                  <c:v>6.36</c:v>
                </c:pt>
                <c:pt idx="5">
                  <c:v>7.26</c:v>
                </c:pt>
                <c:pt idx="6">
                  <c:v>5.74</c:v>
                </c:pt>
                <c:pt idx="7">
                  <c:v>7.17</c:v>
                </c:pt>
                <c:pt idx="8">
                  <c:v>10.11</c:v>
                </c:pt>
                <c:pt idx="9">
                  <c:v>8.63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(7,26 – 10,72)</c:v>
                </c:pt>
                <c:pt idx="6">
                  <c:v>Escenarios (bajista – alcista) (5,74 – 11,27)</c:v>
                </c:pt>
                <c:pt idx="7">
                  <c:v>Suma de partes (7,17 – 10,55)</c:v>
                </c:pt>
                <c:pt idx="8">
                  <c:v>DCF con la prima implícita del mercado (4,2 %)</c:v>
                </c:pt>
                <c:pt idx="9">
                  <c:v>Precio actual (8,68)</c:v>
                </c:pt>
              </c:strCache>
            </c:strRef>
          </c:cat>
          <c:val>
            <c:numRef>
              <c:f>Hoja1!$C$2:$C$11</c:f>
              <c:numCache>
                <c:formatCode>#,##0.0</c:formatCode>
                <c:ptCount val="10"/>
                <c:pt idx="0">
                  <c:v>5.33</c:v>
                </c:pt>
                <c:pt idx="1">
                  <c:v>3.4299999999999997</c:v>
                </c:pt>
                <c:pt idx="2">
                  <c:v>12.92</c:v>
                </c:pt>
                <c:pt idx="3">
                  <c:v>7.149999999999999</c:v>
                </c:pt>
                <c:pt idx="4">
                  <c:v>4.87</c:v>
                </c:pt>
                <c:pt idx="5">
                  <c:v>3.460000000000001</c:v>
                </c:pt>
                <c:pt idx="6">
                  <c:v>5.529999999999999</c:v>
                </c:pt>
                <c:pt idx="7">
                  <c:v>3.380000000000001</c:v>
                </c:pt>
                <c:pt idx="8">
                  <c:v>3.1900000000000013</c:v>
                </c:pt>
                <c:pt idx="9">
                  <c:v>0.08999999999999986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