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Thermo Fisher Scientific Inc.</w:t>
      </w:r>
    </w:p>
    <w:p>
      <w:pPr>
        <w:spacing w:after="60"/>
        <w:rPr>
          <w:color w:val="52514E"/>
          <w:sz w:val="22"/>
          <w:szCs w:val="22"/>
        </w:rPr>
      </w:pPr>
      <w:r>
        <w:rPr>
          <w:color w:val="52514E"/>
          <w:sz w:val="22"/>
          <w:szCs w:val="22"/>
        </w:rPr>
        <w:t xml:space="preserve">TMO · NYSE · ISIN US8835561023 · Salud</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26 oct 2026</w:t>
      </w:r>
      <w:r>
        <w:rPr>
          <w:color w:val="52514E"/>
          <w:sz w:val="18"/>
          <w:szCs w:val="18"/>
        </w:rPr>
        <w:t xml:space="preserve"> · Divisa: </w:t>
      </w:r>
      <w:r>
        <w:rPr>
          <w:b/>
          <w:bCs/>
          <w:color w:val="52514E"/>
          <w:sz w:val="18"/>
          <w:szCs w:val="18"/>
        </w:rPr>
        <w:t xml:space="preserve">USD</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673,82 USD</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703,07 USD</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+4,6 % (base +8,6 %)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497,43 USD · mercado 549,25</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Media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249.987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n.d.</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3,1x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Thermo Fisher Scientific Inc.</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TMO / US8835561023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NYSE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S&amp;P 500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Salud / Herramientas y servicios de ciencias de la vida</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Waltham (Massachusetts) · 1956</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125.000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www.thermofisher.com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673,82 (23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435,27 – 705,79</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371,0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99,8 %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249.987 M USD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285.988 M USD</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≈1.361 M USD/día (3 meses)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 feb 2027</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Media · Objetivo a 12 meses </w:t>
      </w:r>
      <w:r>
        <w:rPr>
          <w:b/>
          <w:bCs/>
        </w:rPr>
        <w:t xml:space="preserve">703,07 USD</w:t>
      </w:r>
      <w:r>
        <w:t xml:space="preserve"> frente a 673,82 · Rentabilidad a 12 meses </w:t>
      </w:r>
      <w:r>
        <w:rPr>
          <w:b/>
          <w:bCs/>
        </w:rPr>
        <w:t xml:space="preserve">+4,6 % (base +8,6 %)</w:t>
      </w:r>
      <w:r>
        <w:t xml:space="preserve"> · Valor intrínseco 497,43 USD · con la prima implícita del mercado: 549,25 (-18,5 %) · Alcista / bajista -39,0 % / -59,5 %</w:t>
      </w:r>
    </w:p>
    <w:p>
      <w:pPr>
        <w:spacing w:after="100"/>
      </w:pPr>
      <w:r>
        <w:rPr>
          <w:b/>
        </w:rPr>
        <w:t xml:space="preserve">La recomendación y por qué.</w:t>
      </w:r>
      <w:r>
        <w:t xml:space="preserve"> Mantener, con convicción media. Con nuestro BPA ajustado de 2028e (29,80 USD) y el PER propio de la empresa, el objetivo a 12 meses es de 703,07 USD frente a 673,82 USD de cierre del 23 de octubre: +4,6 % con el dividendo y +8,6 % en el caso base, lejos del 15 % y el 12 % que pedimos para comprar. El objetivo medio de los analistas (750,92 USD) cae dentro de nuestro rango. El valor intrínseco (497,43 USD, −26,2 %) dice que no hay margen de seguridad. La convicción es media porque las dos reglas coinciden y la acción está lejos de los umbrales; subiría si la guía de 2027 supera los 27,74 USD de BPA del consenso y bajaría si el orgánico vuelve al 2-3 %.</w:t>
      </w:r>
    </w:p>
    <w:p>
      <w:pPr>
        <w:spacing w:after="100"/>
      </w:pPr>
      <w:r>
        <w:rPr>
          <w:b/>
        </w:rPr>
        <w:t xml:space="preserve">Qué ha cambiado desde el 14 de octubre.</w:t>
      </w:r>
      <w:r>
        <w:t xml:space="preserve"> El 3T26 fue bueno (6 % orgánico, BPA ajustado de 6,68 USD frente a 6,40 de consenso, guía de 2026 subida a 25,13-25,43 USD) [4] y nuestro BPA de 2028e sube de 28,85 a 29,80 USD. Aun así la rentabilidad a 12 meses baja del 15,9 % (ponderada) y el 14,9 % (base) al 4,6 % y el 8,6 %, por un error del informe anterior: su historia del PER adelantado usaba el BPA contable (mediana de 33,9x) frente a escenarios en BPA ajustado. En la misma base, la mediana de cinco años es de 24,3x y el PER de hoy, 24,7x: no hay múltiplo que recuperar. La señal (Mantener) no cambia; el nivel de venta baja de 888,47 a 783,28 USD y el de compra sube de 456,88 a 497,43 USD.</w:t>
      </w:r>
    </w:p>
    <w:p>
      <w:pPr>
        <w:spacing w:after="100"/>
      </w:pPr>
      <w:r>
        <w:rPr>
          <w:b/>
        </w:rPr>
        <w:t xml:space="preserve">El negocio.</w:t>
      </w:r>
      <w:r>
        <w:t xml:space="preserve"> Es el mayor proveedor mundial de herramientas y servicios para la ciencia (44.556 M USD de ingresos en 2025), con dos tercios de ventas recurrentes [1]. El foso es amplio, pero el capital comprado pesa: el ROIC es del 9,0 %, 0,2 puntos por debajo del WACC del 9,20 %, porque el 60 % del capital es fondo de comercio; sin él, rinde un 22,2 %. La calidad sostiene el crecimiento proyectado (veredicto «Sí»): un orgánico del 4,5-5 %, por debajo del mercado.</w:t>
      </w:r>
    </w:p>
    <w:p>
      <w:pPr>
        <w:spacing w:after="100"/>
      </w:pPr>
      <w:r>
        <w:rPr>
          <w:b/>
        </w:rPr>
        <w:t xml:space="preserve">Sector y ciclo.</w:t>
      </w:r>
      <w:r>
        <w:t xml:space="preserve"> Tras tres años malos, el orgánico pasó del 1 % en el 1T26 al 5 % y al 6 %; farma y biotecnología crecen a un dígito alto y académico sigue plano [12]. La acción sube un 54 % desde mayo [32].</w:t>
      </w:r>
    </w:p>
    <w:p>
      <w:pPr>
        <w:spacing w:after="100"/>
      </w:pPr>
      <w:r>
        <w:rPr>
          <w:b/>
        </w:rPr>
        <w:t xml:space="preserve">Finanzas.</w:t>
      </w:r>
      <w:r>
        <w:t xml:space="preserve"> Flujo libre de 7.596 M en doce meses; deuda bruta de 41.370 M tras Clario y 4.000 M de recompras (2,9 veces el EBITDA ajustado en neto) [4, 12].</w:t>
      </w:r>
    </w:p>
    <w:p>
      <w:pPr>
        <w:spacing w:after="100"/>
      </w:pPr>
      <w:r>
        <w:rPr>
          <w:b/>
        </w:rPr>
        <w:t xml:space="preserve">Equipo y gobierno.</w:t>
      </w:r>
      <w:r>
        <w:t xml:space="preserve"> Casper cumple la guía, pero los accionistas rechazaron su remuneración por segundo año (68 % en contra) y los directivos vendieron 158 M USD sin comprar [27, 31].</w:t>
      </w:r>
    </w:p>
    <w:p>
      <w:pPr>
        <w:spacing w:after="100"/>
      </w:pPr>
      <w:r>
        <w:rPr>
          <w:b/>
        </w:rPr>
        <w:t xml:space="preserve">Valoración.</w:t>
      </w:r>
      <w:r>
        <w:t xml:space="preserve"> El DCF da 358,04 USD con un WACC del 9,20 % y 445,40 USD con la prima del mercado; el PER de los comparables, 710,54 USD. El DCF inverso: el precio descuenta un crecimiento del 13,5 % anual en 2027e-2035e frente al 4,4 % de nuestro base, una rentabilidad del 6,7 %, por debajo del WACC. El sector entero cotiza a 23-26x; nuestro objetivo lo acepta, pero no pagaríamos más.</w:t>
      </w:r>
    </w:p>
    <w:p>
      <w:pPr>
        <w:spacing w:after="100"/>
      </w:pPr>
      <w:r>
        <w:rPr>
          <w:b/>
        </w:rPr>
        <w:t xml:space="preserve">Riesgos y catalizadores.</w:t>
      </w:r>
      <w:r>
        <w:t xml:space="preserve"> El primero es una recaída de farma y biotecnología (bajista: 537,24 USD, −20,0 %); el segundo, que el sector deje de cotizar a 25x con el bono al 5 %. El catalizador es la guía de 2027 del 2 de febrero (consenso: 27,74 USD de BPA). Foros eufóricos; las noticias recientes no cambian la decisión (regla 13).</w:t>
      </w:r>
    </w:p>
    <w:p>
      <w:pPr>
        <w:spacing w:after="100"/>
      </w:pPr>
      <w:r>
        <w:rPr>
          <w:b/>
        </w:rPr>
        <w:t xml:space="preserve">Qué cambiaría la decisión.</w:t>
      </w:r>
      <w:r>
        <w:t xml:space="preserve"> Compraríamos por debajo de 497,43 USD; venderíamos por encima de 783,28 USD. Pasaríamos a vender si el orgánico baja del 3 % en dos trimestres o si una compra nueva lleva la deuda neta por encima de 4 veces el EBITDA.</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Mantener</w:t>
      </w:r>
      <w:r>
        <w:t xml:space="preserve"> · Convicción: Media · Horizonte: 12 meses · Objetivo a 12 meses: </w:t>
      </w:r>
      <w:r>
        <w:rPr>
          <w:b/>
          <w:bCs/>
        </w:rPr>
        <w:t xml:space="preserve">703,07 USD</w:t>
      </w:r>
      <w:r>
        <w:t xml:space="preserve"> (rentabilidad +4,6 % (base +8,6 %)) · Valor intrínseco: 497,43 USD (-26,2 % sobre 673,82) · con la prima implícita del mercado: 549,25 (-18,5 %)</w:t>
      </w:r>
    </w:p>
    <w:p>
      <w:pPr>
        <w:spacing w:after="100"/>
      </w:pPr>
      <w:r>
        <w:t xml:space="preserve">Thermo Fisher es el mayor proveedor de herramientas y servicios para la ciencia: 44.556 M USD de ingresos, dos tercios recurrentes, un flujo libre de 6.300-7.600 M al año y un equipo que bate la guía [1, 4]. Su debilidad es el capital: el fondo de comercio es el 60 % del capital invertido y el ROIC (9,0 %) no cubre el WACC.</w:t>
      </w:r>
    </w:p>
    <w:p>
      <w:pPr>
        <w:spacing w:after="100"/>
      </w:pPr>
      <w:r>
        <w:t xml:space="preserve">El precio (673,82 USD, 24,7x nuestro BPA ajustado de 2027e) está en la mediana de su historia (24,3x) y del sector (26,0x), así que no está caro frente a sus múltiplos, sí frente a su flujo de caja: el DCF inverso pide un 13,5 % de crecimiento anual.</w:t>
      </w:r>
    </w:p>
    <w:p>
      <w:pPr>
        <w:spacing w:after="100"/>
      </w:pPr>
      <w:r>
        <w:t xml:space="preserve">El mercado acierta en la recuperación (6 % orgánico en el 3T26) [4], pero ya la ha pagado: la rentabilidad a 12 meses es la del crecimiento del beneficio (8-9 %), menos medio punto de PER. Para invertir hay que creer que el mercado seguirá pagando 24-25x con el bono al 5 %.</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703,07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19,6x × 27,41 = 537,24 · 24,5x × 29,80 = 730,10 · 26,0x × 31,34 = 814,84</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4,6 % / 8,6 %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adelantada, sin alejarse del actual más de ×1,1; bajista mín. 5 a (adelantado) o base × 0,80; alcista techo base × 1,35 (selector de método: sin marcas: decide la v3)</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750,92 (nuestro base -2,8 %)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497,43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-39,0 % / -59,5 %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-0,66x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6,7 % frente a 9,2 % y 8,2 %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8,2 %)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549,25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-0,48x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(2027e-2035e)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13,5 % frente a 6,7 %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 (4,8 %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(Mantener con las dos reglas de acuerdo y lejos de los umbrales)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Media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497,43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497,43 y 783,28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783,28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Precio por debajo de 497,43 USD: pasaríamos a Comprar (las tres condiciones se cumplen).</w:t>
      </w:r>
    </w:p>
    <w:p>
      <w:pPr>
        <w:pStyle w:val="ListParagraph"/>
        <w:numPr>
          <w:ilvl w:val="0"/>
          <w:numId w:val="2"/>
        </w:numPr>
        <w:spacing w:after="60"/>
      </w:pPr>
      <w:r>
        <w:t xml:space="preserve">Precio por encima de 783,28 USD: pasaríamos a Vender (ponderada ≤ −10 %).</w:t>
      </w:r>
    </w:p>
    <w:p>
      <w:pPr>
        <w:pStyle w:val="ListParagraph"/>
        <w:numPr>
          <w:ilvl w:val="0"/>
          <w:numId w:val="2"/>
        </w:numPr>
        <w:spacing w:after="60"/>
      </w:pPr>
      <w:r>
        <w:t xml:space="preserve">Orgánico por debajo del 3 % en dos trimestres seguidos: revisaríamos el base a la baja.</w:t>
      </w:r>
    </w:p>
    <w:p>
      <w:pPr>
        <w:pStyle w:val="ListParagraph"/>
        <w:numPr>
          <w:ilvl w:val="0"/>
          <w:numId w:val="2"/>
        </w:numPr>
        <w:spacing w:after="60"/>
      </w:pPr>
      <w:r>
        <w:t xml:space="preserve">Una compra nueva que lleve la deuda neta por encima de 4 veces el EBITDA.</w:t>
      </w:r>
    </w:p>
    <w:p>
      <w:pPr>
        <w:pStyle w:val="Heading2"/>
      </w:pPr>
      <w:r>
        <w:t xml:space="preserve">Dónde discrepamos del mercado</w:t>
      </w:r>
    </w:p>
    <w:p>
      <w:pPr>
        <w:keepNext/>
        <w:spacing w:after="100"/>
      </w:pPr>
      <w:r>
        <w:rPr>
          <w:b/>
          <w:bCs/>
        </w:rPr>
        <w:t xml:space="preserve">Lo que descuenta el precio.</w:t>
      </w:r>
    </w:p>
    <w:p>
      <w:pPr>
        <w:spacing w:after="100"/>
      </w:pPr>
      <w:r>
        <w:t xml:space="preserve">Que el ciclo de las herramientas de ciencias de la vida ha girado y Thermo Fisher vuelve a crecer al 6-7 % orgánico con mejora de márgenes durante años: 23 de 27 analistas recomiendan comprar y los objetivos suben hasta 830 USD [33].</w:t>
      </w:r>
    </w:p>
    <w:p>
      <w:pPr>
        <w:keepNext/>
        <w:spacing w:after="100"/>
      </w:pPr>
      <w:r>
        <w:rPr>
          <w:b/>
          <w:bCs/>
        </w:rPr>
        <w:t xml:space="preserve">Lo que creemos nosotros.</w:t>
      </w:r>
    </w:p>
    <w:p>
      <w:pPr>
        <w:spacing w:after="100"/>
      </w:pPr>
      <w:r>
        <w:t xml:space="preserve">Compartimos la recuperación, pero proyectamos un orgánico del 4,5-5 % y no contamos compras ni recompras nuevas. Con eso el BPA ajustado de 2028e es de 29,80 USD y, con un PER de 24,5x, la acción vale 730,10 USD en un año: un 8,6 % más, sin margen de seguridad frente al valor intrínseco.</w:t>
      </w:r>
    </w:p>
    <w:p>
      <w:pPr>
        <w:keepNext/>
        <w:spacing w:after="100"/>
      </w:pPr>
      <w:r>
        <w:rPr>
          <w:b/>
          <w:bCs/>
        </w:rPr>
        <w:t xml:space="preserve">Por qué podemos tener razón.</w:t>
      </w:r>
    </w:p>
    <w:p>
      <w:pPr>
        <w:spacing w:after="100"/>
      </w:pPr>
      <w:r>
        <w:t xml:space="preserve">Porque la guía del 4T26 vuelve al 4 % orgánico, académico sigue plano y Ciencias de la vida solo creció un 1 % en el 3T26 [12], y porque con el ROIC por debajo del WACC crecer comprando no añade valor.</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USD) · precio actual 673,82"/>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358,04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710,54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560,26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350,00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r>
    </w:tbl>
    <w:p>
      <w:pPr>
        <w:spacing w:after="160" w:before="0"/>
      </w:pPr>
    </w:p>
    <w:p>
      <w:pPr>
        <w:pStyle w:val="Heading2"/>
      </w:pPr>
      <w:r>
        <w:t xml:space="preserve">A favor</w:t>
      </w:r>
    </w:p>
    <w:p>
      <w:pPr>
        <w:pStyle w:val="ListParagraph"/>
        <w:numPr>
          <w:ilvl w:val="0"/>
          <w:numId w:val="2"/>
        </w:numPr>
        <w:spacing w:after="60"/>
      </w:pPr>
      <w:r>
        <w:rPr>
          <w:b/>
        </w:rPr>
        <w:t xml:space="preserve">Recuperación visible</w:t>
      </w:r>
      <w:r>
        <w:t xml:space="preserve">: orgánico del 1 %, 5 % y 6 % en los tres trimestres de 2026 [4, 5, 6].</w:t>
      </w:r>
    </w:p>
    <w:p>
      <w:pPr>
        <w:pStyle w:val="ListParagraph"/>
        <w:numPr>
          <w:ilvl w:val="0"/>
          <w:numId w:val="2"/>
        </w:numPr>
        <w:spacing w:after="60"/>
      </w:pPr>
      <w:r>
        <w:rPr>
          <w:b/>
        </w:rPr>
        <w:t xml:space="preserve">Guía subida tres veces</w:t>
      </w:r>
      <w:r>
        <w:t xml:space="preserve">: BPA ajustado de 2026 de 25,13-25,43 USD [4].</w:t>
      </w:r>
    </w:p>
    <w:p>
      <w:pPr>
        <w:pStyle w:val="ListParagraph"/>
        <w:numPr>
          <w:ilvl w:val="0"/>
          <w:numId w:val="2"/>
        </w:numPr>
        <w:spacing w:after="60"/>
      </w:pPr>
      <w:r>
        <w:rPr>
          <w:b/>
        </w:rPr>
        <w:t xml:space="preserve">Flujo libre alto</w:t>
      </w:r>
      <w:r>
        <w:t xml:space="preserve">: 7.596 M en los últimos doce meses [4].</w:t>
      </w:r>
    </w:p>
    <w:p>
      <w:pPr>
        <w:pStyle w:val="ListParagraph"/>
        <w:numPr>
          <w:ilvl w:val="0"/>
          <w:numId w:val="2"/>
        </w:numPr>
        <w:spacing w:after="60"/>
      </w:pPr>
      <w:r>
        <w:rPr>
          <w:b/>
        </w:rPr>
        <w:t xml:space="preserve">PER estable</w:t>
      </w:r>
      <w:r>
        <w:t xml:space="preserve">: 22,7-25,6x adelantado en 2022-2025, en la mediana del sector.</w:t>
      </w:r>
    </w:p>
    <w:p>
      <w:pPr>
        <w:pStyle w:val="ListParagraph"/>
        <w:numPr>
          <w:ilvl w:val="0"/>
          <w:numId w:val="2"/>
        </w:numPr>
        <w:spacing w:after="60"/>
      </w:pPr>
      <w:r>
        <w:rPr>
          <w:b/>
        </w:rPr>
        <w:t xml:space="preserve">Ocho trimestres seguidos por encima del consenso</w:t>
      </w:r>
      <w:r>
        <w:t xml:space="preserve"> [4, 17].</w:t>
      </w:r>
    </w:p>
    <w:p>
      <w:pPr>
        <w:pStyle w:val="Heading2"/>
      </w:pPr>
      <w:r>
        <w:t xml:space="preserve">En contra</w:t>
      </w:r>
    </w:p>
    <w:p>
      <w:pPr>
        <w:pStyle w:val="ListParagraph"/>
        <w:numPr>
          <w:ilvl w:val="0"/>
          <w:numId w:val="2"/>
        </w:numPr>
        <w:spacing w:after="60"/>
      </w:pPr>
      <w:r>
        <w:rPr>
          <w:b/>
        </w:rPr>
        <w:t xml:space="preserve">Sin margen de seguridad</w:t>
      </w:r>
      <w:r>
        <w:t xml:space="preserve">: valor intrínseco de 497,43 USD, un 26,2 % por debajo del precio.</w:t>
      </w:r>
    </w:p>
    <w:p>
      <w:pPr>
        <w:pStyle w:val="ListParagraph"/>
        <w:numPr>
          <w:ilvl w:val="0"/>
          <w:numId w:val="2"/>
        </w:numPr>
        <w:spacing w:after="60"/>
      </w:pPr>
      <w:r>
        <w:rPr>
          <w:b/>
        </w:rPr>
        <w:t xml:space="preserve">ROIC por debajo del WACC</w:t>
      </w:r>
      <w:r>
        <w:t xml:space="preserve">: 9,0 % frente a 9,20 %.</w:t>
      </w:r>
    </w:p>
    <w:p>
      <w:pPr>
        <w:pStyle w:val="ListParagraph"/>
        <w:numPr>
          <w:ilvl w:val="0"/>
          <w:numId w:val="2"/>
        </w:numPr>
        <w:spacing w:after="60"/>
      </w:pPr>
      <w:r>
        <w:rPr>
          <w:b/>
        </w:rPr>
        <w:t xml:space="preserve">Rally ya hecho</w:t>
      </w:r>
      <w:r>
        <w:t xml:space="preserve">: +54 % desde el mínimo de mayo, a un 3,3 % del máximo [32].</w:t>
      </w:r>
    </w:p>
    <w:p>
      <w:pPr>
        <w:pStyle w:val="ListParagraph"/>
        <w:numPr>
          <w:ilvl w:val="0"/>
          <w:numId w:val="2"/>
        </w:numPr>
        <w:spacing w:after="60"/>
      </w:pPr>
      <w:r>
        <w:rPr>
          <w:b/>
        </w:rPr>
        <w:t xml:space="preserve">Remuneración rechazada dos años</w:t>
      </w:r>
      <w:r>
        <w:t xml:space="preserve"> y ventas de directivos sin compras [27, 31].</w:t>
      </w:r>
    </w:p>
    <w:p>
      <w:pPr>
        <w:pStyle w:val="ListParagraph"/>
        <w:numPr>
          <w:ilvl w:val="0"/>
          <w:numId w:val="2"/>
        </w:numPr>
        <w:spacing w:after="60"/>
      </w:pPr>
      <w:r>
        <w:rPr>
          <w:b/>
        </w:rPr>
        <w:t xml:space="preserve">Deuda</w:t>
      </w:r>
      <w:r>
        <w:t xml:space="preserve">: 41.370 M en septiembre tras Clario y recompras [4].</w:t>
      </w:r>
    </w:p>
    <w:p>
      <w:pPr>
        <w:pStyle w:val="Heading2"/>
      </w:pPr>
      <w:r>
        <w:t xml:space="preserve">Qué tiene que pasar para que la tesis funcione</w:t>
      </w:r>
    </w:p>
    <w:p>
      <w:pPr>
        <w:spacing w:after="100"/>
      </w:pPr>
      <w:r>
        <w:t xml:space="preserve">Que el orgánico se mantenga en el 4-5 %. La prueba es el 4T26 y la guía de 2027 del 2 de febrero (consenso de 27,74 USD de BPA). Si el orgánico guiado baja del 4 % y el BPA de 2027 de 27 USD, el PER puede bajar hacia el mínimo de cinco años (22,7x) y el bajista gana peso.</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orgánico trimestral</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6 % (3T26)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3 %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de la tesis de recuperación.</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Guía de BPA ajustado de 2027</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Consenso de 27,74 USD</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27 USD</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Nuestro base de 2027e es 27,32 USD.</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Deuda neta / EBITDA ajustado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2,9x</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 3,5x</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Riesgo de compras con deuda.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libre anual</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7.596 M (LTM)</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7.000 M en 2026</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Conversión de beneficio en caja.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adelantado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24,7x</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&lt; 22x</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Riesgo de que el mercado deje de pagar la calidad.</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24,3x / n.d.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35,5x / 24,7x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33,1x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6,04x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0,3 %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(2018-2025)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24,8 %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9,2 %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3,0x · 3,1x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 de 13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Media</w:t>
      </w:r>
    </w:p>
    <w:p>
      <w:pPr>
        <w:spacing w:after="100"/>
      </w:pPr>
      <w:r>
        <w:t xml:space="preserve">Thermo Electron nació en 1956 (George Hatsopoulos y Peter Nomikos) como fabricante de instrumentos analíticos; Fisher Scientific, en 1902, como distribuidor de material de laboratorio [24]. Se fusionaron en noviembre de 2006 en un canje de acciones, con 9.000 M USD de ventas y 30.000 empleados [24]. Desde entonces la empresa ha crecido comprando: Life Technologies (2014), FEI y Affymetrix (2016), Patheon (2017), PPD (2021), Olink (2024), la filtración de Solventum (2025) y Clario (2026), hasta 44.556 M de ventas y unos 125.000 empleados en 2025 [1, 13, 24]. Marc Casper dirige la empresa desde 2009 y la preside desde 2020 [23]. La covid llevó las ventas a 44.915 M en 2022 con pruebas y vacunas; su desaparición explica la caída de 2023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1956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Fundación de Thermo Electron [24].</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Fusión con Fisher Scientific: nace Thermo Fisher Scientific [24].</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Marc Casper, consejero delegado [23].</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Life Technologies (reactivos, Applied Biosystems, Invitrogen) [24].</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2017</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Patheon: entrada en la fabricación de medicamentos por contrato [24].</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2020-2022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Pico de la covid: ventas de 32.218 M a 44.915 M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PPD (CRO clínica) por 15.990 M en caja más 4.300 M de deuda [3].</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la filtración de Solventum y acuerdo para comprar Clario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Cierre de Clario (24-mar), venta de la microbiología a Astorg (3T26) y día del inversor con un objetivo de 7 % orgánico a largo plazo [4, 13, 22].</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Thermo Fisher es el mayor proveedor mundial de instrumentos, consumibles, reactivos y servicios para laboratorios, farmacéuticas y hospitales: 44.556 M USD de ingresos en 2025 y 47.351 M en los doce meses a septiembre de 2026 [1, 4]. Reporta cuatro segmentos: Laboratorio y servicios biofarmacéuticos (23.984 M en 2025: distribución de laboratorio Fisher, fabricación por contrato Patheon, CRO clínica PPD y, desde el 24-mar-2026, Clario), Ciencias de la vida (10.374 M: bioproducción, genética, biología celular), Instrumentos analíticos (7.554 M: espectrometría de masas, cromatografía, microscopía electrónica, análisis químico) y Diagnóstico especializado (4.676 M: inmunodiagnóstico, trasplante, diagnóstico clínico; la microbiología se vendió en el 3T26) [1, 4, 13]. Los ingresos de producto fueron 25.965 M y los de servicios 18.592 M en 2025 [1]. Vende en todo el mundo: Estados Unidos fue el 49,9 % de las ventas de 2025 [1].</w:t>
      </w:r>
    </w:p>
    <w:p>
      <w:pPr>
        <w:pStyle w:val="Heading2"/>
      </w:pPr>
      <w:r>
        <w:t xml:space="preserve">Cómo gana dinero</w:t>
      </w:r>
    </w:p>
    <w:p>
      <w:pPr>
        <w:spacing w:after="100"/>
      </w:pPr>
      <w:r>
        <w:t xml:space="preserve">Los consumibles, reactivos y servicios (fabricación por contrato, ensayos clínicos, distribución) dan la mayor parte de las ventas y son recurrentes: el 42 % de la facturación de 2025 fueron servicios [1]. El margen depende de la mezcla: Ciencias de la vida gana un 36,3 % sobre ventas y Laboratorio y servicios biofarmacéuticos un 14,0 % (distribución y CRO con poco margen) [1]. El sistema de mejora continua PPI (precio, compras, reestructuración, fábricas en países de bajo coste) sostiene el margen: la reestructuración de 2025 (≈0,3 mil M) debe ahorrar ≈0,5 mil M al año [1]. Hay apalancamiento operativo: con un 6 % de crecimiento orgánico en el 3T26, el margen operativo ajustado subió 120 pb hasta el 24,5 % [4, 12]. El cuarto trimestre es el más fuerte por los presupuestos de fin de año de los clientes.</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68"/>
        <w:gridCol w:w="1320"/>
        <w:gridCol w:w="1320"/>
        <w:gridCol w:w="1320"/>
        <w:gridCol w:w="1188"/>
        <w:gridCol w:w="1322"/>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w:t>
            </w:r>
          </w:p>
        </w:tc>
        <w:tc>
          <w:tcPr>
            <w:tcW w:type="dxa" w:w="132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 de margen</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Ciencias de la vida</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10.374</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Instrumentos analíticos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7.554</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Diagnóstico especializado</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4.676</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Laboratorio y servicios biofarmacéuticos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23.984</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53,8 %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Eliminaciones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-2.033</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25"/>
        <w:gridCol w:w="1302"/>
        <w:gridCol w:w="1302"/>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2021</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2022</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Ciencias de la vida</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15.631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13.532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9.977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9.631</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10.374</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Instrumentos analíticos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6.069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6.624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7.263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7.463</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7.554</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Diagnóstico especializado</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5.659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4.763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4.405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4.512</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4.676</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Laboratorio y servicios biofarmacéuticos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14.862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22.511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23.041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23.157</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23.984</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Eliminaciones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-3.010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-2.515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-1.829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-1.885</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-2.033</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destino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Ningún cliente pesa más del 10 % de las ventas [1]. Las farmacéuticas y biotecnológicas son ≈60 % de los ingresos; China ≈7,5 % [12, 20]. Los contratos de fabricación (Patheon) y de ensayos clínicos (PPD, Clario) son plurianuales y dan visibilidad. El poder de precios es demostrable pero moderado: la empresa sostuvo el margen operativo ajustado en 2023-2025 (22,7 % en 2025 frente a 22,6 % en 2024) pese a aranceles y a una caída de la demanda académica en EE. UU. y China [1], y en el 3T26 lo subió 120 pb con un 6 % de crecimiento orgánico [4]. El canal académico y público (recortes del NIH) creció 0 % en el 3T26, frente al «alto de un dígito» de farma y biotecnología [12].</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orgánico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3 % (3T25)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6 % (3T26)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 en el 1T26 y 5 % en el 2T26; guía de 2026: 4 % [4, 5, 6, 8, 12].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operativo ajustado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23,3 % (3T25)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24,5 % (3T26)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pb</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Incluye ≈50 pb de devoluciones de aranceles de una vez [4, 12].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BPA ajustado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5,79 USD (3T25)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6,68 USD (3T26)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2026: 25,13-25,43 USD [4, 12].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de caja libre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6.337 M (2025)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7.596 M (LTM sep-26)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2026: 7.000-7.500 M [4, 12].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ROIC ajustado (empresa)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 (3T26)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n.d.</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Definición de la empresa, sin amortización de intangibles [12].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Apalancamiento bruto / EBITDA ajustado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n.d.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3,4x (2,9x neto)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n.d.</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Tras Clario (8.875 M) y 4.000 M de recompras en 2026 [12].</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El mercado relevante es el de herramientas, consumibles y servicios para la ciencia: instrumentos analíticos, reactivos y consumibles de laboratorio, bioproducción, diagnóstico especializado, distribución de laboratorio y servicios a farmacéuticas (fabricación por contrato y ensayos clínicos), en todo el mundo. La propia empresa cifra el mercado al que sirve en 255.000 M USD [22]; IMARC, que no incluye los servicios de fabricación ni de ensayos clínicos, mide el de herramientas de ciencias de la vida en 176.300 M en 2025 y 188.100 M en 2026 [25]. Se usa la cifra de la empresa, que tiene el mismo perímetro que sus ventas, para la cuota; la serie y la previsión de crecimiento salen de IMARC.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≈255.000 M USD de mercado servido en 2026 según la empresa [22]; 188.100 M USD en 2026 para las herramientas de ciencias de la vida según IMARC [25].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Recuperación</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6,7 %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Moderadamente concentrada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lones de USD (herramientas de ciencias de la vida, IMARC))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Gasto en I+D y producción de farmacéuticas y biotecnológicas (≈60 % de las ventas de TMO)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«alto de un dígito» de farma y biotecnología en el 3T26 [12].</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Financiación pública de la investigación (NIH en EE. UU.) y académica en China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Académico y público plano en el 3T26 y en descenso en 2025 [1, 12].</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Biológicos, terapias celulares y relocalización de la producción farmacéutica en EE. UU.</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Servicios farmacéuticos (Patheon) lideran el crecimiento del 3T26 y los analistas preguntan por la contribución de la relocalización [12].</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Financiación de las biotecnológicas (capital riesgo, salidas a bolsa)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gasto sigue a la financiación con ≈6 meses de retraso según la dirección [18].</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Aranceles y cadena de suministro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aranceles bajaron el margen de Instrumentos analíticos 3,2 puntos en 2025; en el 3T26 hubo 60 M de devoluciones [1, 12].</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IA aplicada al descubrimiento de fármacos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dirección espera más demanda de datos experimentales (proteómica, espectrometría) y más productividad del cliente [12].</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Muchos competidores por nicho (Danaher, Agilent, Waters, Merck KGaA, Sartorius), pero márgenes operativos del 22-29 % en los grandes (Stock Analysis, LTM) [26].</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grandes farmacéuticas negocian volumen; las compras académicas dependen de subvenciones. Ningún cliente supera el 10 % de las ventas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Materias primas y componentes fragmentados; la empresa fabrica la mayoría de sus reactivos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Barreras regulatorias (validación en procesos farmacéuticos regulados por la FDA), escala de distribución y base instalada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Pocos sustitutos para los consumibles validados; la IA puede reducir experimentos de bajo valor a largo plazo [12].</w:t>
            </w:r>
          </w:p>
        </w:tc>
      </w:tr>
    </w:tbl>
    <w:p>
      <w:pPr>
        <w:spacing w:after="160" w:before="0"/>
      </w:pPr>
    </w:p>
    <w:p>
      <w:pPr>
        <w:pStyle w:val="Heading2"/>
      </w:pPr>
      <w:r>
        <w:t xml:space="preserve">Ciclo</w:t>
      </w:r>
    </w:p>
    <w:p>
      <w:pPr>
        <w:spacing w:after="100"/>
      </w:pPr>
      <w:r>
        <w:t xml:space="preserve">Tras el bache de 2023-2025 (fin de la covid, ajuste de inventarios de bioproducción, caída del gasto biotecnológico y académico) la demanda se recupera desde el 2T26: el crecimiento orgánico de TMO pasó del 1 % en el 1T26 al 5 % y al 6 % [5, 12]. En 2009 el sector cayó poco (consumibles) y en 2020-2022 vivió un auge por la covid seguido de una corrección de ventas del 4,6 % en TMO en 2023 [1]. Los indicadores: crecimiento orgánico trimestral, pedidos de instrumentos y la financiación de biotecnológicas.</w:t>
      </w:r>
    </w:p>
    <w:p>
      <w:pPr>
        <w:pStyle w:val="Heading2"/>
      </w:pPr>
      <w:r>
        <w:t xml:space="preserve">Regulación</w:t>
      </w:r>
    </w:p>
    <w:p>
      <w:pPr>
        <w:spacing w:after="100"/>
      </w:pPr>
      <w:r>
        <w:t xml:space="preserve">Los productos de diagnóstico están regulados por la FDA y por el reglamento europeo IVDR; la fabricación de medicamentos por contrato sigue las normas GMP. En EE. UU. el presupuesto del NIH y los recortes de 2025-2026 a los costes indirectos de la investigación pesan sobre la demanda académica [1, 12]. Los aranceles cruzados con China y la regulación de la exportación de equipos sensibles afectan a costes y ventas [1]. La ley BIOSECURE (limitar contratos con ciertas empresas biotecnológicas chinas) puede trasladar fabricación a proveedores occidentales como Patheon (lectura propia).</w:t>
      </w:r>
    </w:p>
    <w:p>
      <w:pPr>
        <w:pStyle w:val="Heading2"/>
      </w:pPr>
      <w:r>
        <w:t xml:space="preserve">Tendencias y disrupción</w:t>
      </w:r>
    </w:p>
    <w:p>
      <w:pPr>
        <w:spacing w:after="100"/>
      </w:pPr>
      <w:r>
        <w:t xml:space="preserve">La relocalización de la producción farmacéutica en EE. UU. favorece a quien tiene plantas allí, como Patheon [12]. La proteómica y la multiómica crecen (Olink, Precure con Mayo Clinic) [12]. La IA aumenta la necesidad de datos experimentales de calidad y acorta ensayos clínicos (Clario) [12]. Los competidores se consolidan (Waters con la parte de biociencias y diagnóstico de Becton Dickinson) [26]. La empresa gana con estas tendencias si mantiene su escala en distribución y servicios.</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1.º mundial en herramientas y servicios para la ciencia: 44.556 M USD de ventas en 2025 sobre un mercado servido de ≈255.000 M (≈17,5 %; estimación propia con la cifra de mercado de la empresa) [1, 22]. Le siguen Danaher (≈25.600 M LTM, ≈10 %) e IQVIA en servicios clínicos (≈17.000 M) [26].</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Amplio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6"/>
        <w:gridCol w:w="847"/>
        <w:gridCol w:w="953"/>
        <w:gridCol w:w="1059"/>
        <w:gridCol w:w="847"/>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Cuota</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Danaher</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DHR</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25.610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Bioproceso (Cytiva), ciencias de la vida y diagnóstico; el rival más directo en bioproducción [26].</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IQVIA</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IQV</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16.980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CRO y datos clínicos: compite con PPD y Clario [26].</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Agilent</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7.370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Cromatografía, espectrometría y consumibles de laboratorio [26].</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Avantor</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AVTR</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6.560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Distribución de laboratorio (VWR): compite con el canal Fisher [26].</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Waters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WAT</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4.640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Cromatografía líquida y espectrometría; integra en 2026 las biociencias y el diagnóstico de BD [26].</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Mettler-Toledo</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MTD</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4.130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Instrumentos de pesaje y análisis de laboratorio [26].</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Charles River Laboratories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CRL</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Servicios preclínicos [26].</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Bruker</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BRKR</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3.500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Espectrometría de masas, RMN y microscopía [26].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Pocos: el canal de distribución Fisher se refuerza con más proveedores y clientes, pero no es una red en sentido estricto [2].</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Reactivos y medios validados en procesos de fabricación regulados por la FDA: cambiarlos exige revalidar; servicios recurrentes (42 % de las ventas) [2].</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Marcas Thermo Scientific, Applied Biosystems, Invitrogen, Gibco, Orbitrap; ninguna patente individual es crítica según el 10-K [2].</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Sistema PPI y compras a escala: margen operativo ajustado del 24,5 % en el 3T26 con un 56 % de las ventas en distribución y servicios de bajo margen [10].</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44.556 M de ventas, casi el doble que Danaher, y la mayor red de distribución de laboratorio del mundo [2, 13].</w:t>
            </w:r>
          </w:p>
        </w:tc>
      </w:tr>
    </w:tbl>
    <w:p>
      <w:pPr>
        <w:spacing w:after="160" w:before="0"/>
      </w:pPr>
    </w:p>
    <w:p>
      <w:pPr>
        <w:pStyle w:val="Heading2"/>
      </w:pPr>
      <w:r>
        <w:t xml:space="preserve">Amenazas</w:t>
      </w:r>
    </w:p>
    <w:p>
      <w:pPr>
        <w:spacing w:after="100"/>
      </w:pPr>
      <w:r>
        <w:t xml:space="preserve">La erosión más probable viene de la mezcla y no de la competencia: crecer en CRO y distribución baja el margen medio. Danaher (Cytiva) y Sartorius compiten en precio en bioproducción tras el ajuste de inventarios, y Ciencias de la vida creció solo un 1 % orgánico en el 3T26 [12]. La IA podría reducir a largo plazo la demanda de experimentos rutinarios, aunque hoy la empresa ve más demanda de datos [12]. Probabilidad de una erosión material del foso en cinco años: baja.</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24.358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6.050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3.783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0,68</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25.542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44,4 %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6.871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4.594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3.696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0,76</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32.218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49,7 %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10.119</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7.794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6.375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0,88</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39.211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50,1 %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12.620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10.028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7.725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44.915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11.774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8.393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6.950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42.857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39,9 %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10.265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6.859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5.995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42.879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41,3 %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10.445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7.337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6.335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44.556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40,9 %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10.526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7.746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6.704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17,74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1,72</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8 %</w:t>
            </w:r>
          </w:p>
        </w:tc>
      </w:tr>
    </w:tbl>
    <w:p>
      <w:pPr>
        <w:spacing w:after="160" w:before="0"/>
      </w:pPr>
    </w:p>
    <w:p>
      <w:pPr>
        <w:spacing w:after="100"/>
      </w:pPr>
      <w:r>
        <w:t xml:space="preserve">Crecimiento anual compuesto 2018-2025: ingresos </w:t>
      </w:r>
      <w:r>
        <w:rPr>
          <w:b/>
          <w:bCs/>
        </w:rPr>
        <w:t xml:space="preserve">9,0 %</w:t>
      </w:r>
      <w:r>
        <w:t xml:space="preserve">, EBITDA </w:t>
      </w:r>
      <w:r>
        <w:rPr>
          <w:b/>
          <w:bCs/>
        </w:rPr>
        <w:t xml:space="preserve">8,2 %</w:t>
      </w:r>
      <w:r>
        <w:t xml:space="preserve">, BPA </w:t>
      </w:r>
      <w:r>
        <w:rPr>
          <w:b/>
          <w:bCs/>
        </w:rPr>
        <w:t xml:space="preserve">13,7 %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USD,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Los ingresos crecieron de 24.358 M en 2018 a 44.556 M en 2025, con el pico de la covid en 2021-2022 (pruebas y vacunas) y una caída del 4,6 % en 2023 al desaparecer [1, 2]. En 2025 el crecimiento fue del 4 % (orgánico 2 %, compras 1 %, divisa 1 %) [1]. En 2026 se acelera: 9 % en los nueve meses (orgánico 4 %, compras netas 4 %, divisa 1 %), con Clario desde el 24-mar y la microbiología vendida a mitad del 3T26 [4]. El margen EBITDA contable bajó del 32,2 % de 2021 al 23,6 % de 2025 por el fin de la covid y la mezcla (más CRO y distribución) y en los doce meses a septiembre de 2026 vuelve al 24,4 % [1, 4]. El margen operativo ajustado de la empresa fue 22,7 % en 2025 y la guía de 2026 pide +80 pb [1, 12]. El beneficio contable resta la amortización de intangibles comprados (1.730 M en 2025, 1.433 M en nueve meses de 2026) y la reestructuración (362 M en 2025) [1, 4].</w:t>
      </w:r>
    </w:p>
    <w:p>
      <w:pPr>
        <w:pStyle w:val="Heading2"/>
      </w:pPr>
      <w:r>
        <w:t xml:space="preserve">Ajustes y partidas no recurrentes</w:t>
      </w:r>
    </w:p>
    <w:p>
      <w:pPr>
        <w:spacing w:after="100"/>
      </w:pPr>
      <w:r>
        <w:t xml:space="preserve">El BPA ajustado de la empresa excluye la amortización de intangibles comprados (≈4,6 USD por acción en 2025), la reestructuración y otros costes (≈1 USD), costes de compras y litigios y sus efectos fiscales: 22,87 USD en 2025 frente a 17,74 USD contables [1]. La reestructuración se repite todos los años (459, 379 y 362 M en 2023-2025) y no se trata como no recurrente en el EBITDA [1]. En el LTM sí se aparta la pérdida neta de 172 M por la venta de microbiología (244 M de pérdida por mantenidos para la venta menos 72 M de plusvalía de otra venta) [4]. El impuesto contable es bajo (7,5 % en 2025) por la deducción de la amortización y el reparto internacional; el tipo ajustado guiado es el 11,5 % [1, 12].</w:t>
      </w:r>
    </w:p>
    <w:p>
      <w:pPr>
        <w:pStyle w:val="Heading1"/>
      </w:pPr>
      <w:r>
        <w:t xml:space="preserve">6. Resultados recientes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98"/>
        <w:gridCol w:w="1220"/>
        <w:gridCol w:w="1220"/>
        <w:gridCol w:w="1220"/>
        <w:gridCol w:w="1220"/>
        <w:gridCol w:w="1220"/>
        <w:gridCol w:w="976"/>
        <w:gridCol w:w="1464"/>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orgánico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4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Frente al consenso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11.395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6,10</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10.364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5,15</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10.855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5,36</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11.122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5,79</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12.215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6,57</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11.005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5,44</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11.994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6,03</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3T26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12.137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3.089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25,5 %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6,68</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Superior</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t xml:space="preserve">En el 3T26 (21-oct) la dirección habló de una recuperación «que continúa»: farma y biotecnología crecieron a un dígito alto, industria a un dígito alto, diagnóstico a un dígito bajo y académico y público quedó plano; por regiones, Norteamérica y Europa a un dígito medio y Asia, con China, a doble dígito bajo [12]. Subió la guía de 2026 a 47.700-48.200 M de ventas, 4 % orgánico y 25,13-25,43 USD de BPA ajustado, y mantuvo un 4 % orgánico en el 4T pese al 6 % del 3T [12]. Los analistas preguntaron sobre todo por qué el 4T se frena (el director financiero lo atribuyó al calendario de Patheon), por la contribución orgánica de la filtración de Solventum, por la bioproducción, algo floja en Ciencias de la vida (1 % orgánico) y por el efecto de la IA en la demanda; Casper repitió que el 7 % orgánico es lo «normal» a medio plazo y aplazó la guía de 2027 al 2-feb-2027 [12]. Frente al 2T26 (23-jul), el discurso pasó de «no anunciamos una tendencia nueva» en académico a dar la recuperación por hecha en farma, y la dirección siguió sin cuantificar la exposición a los recortes del NIH ni el efecto de los aranceles en inventarios [20]. Los ≈60 M de devoluciones de aranceles del 3T26 (0,15 USD de BPA) son de una sola vez y la empresa reinvierte 40 M en el 4T [12].</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56.232</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40.325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5.176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18.990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16.887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27.586</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58.381</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39.728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5.486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17.752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15.353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29.675</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69.052</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38.726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7.055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10.325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21.735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11.410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34.507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95.123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62.037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8.474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4.477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34.870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30.393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40.793</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97.154</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58.638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9.079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8.524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34.488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25.964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43.978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98.726</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60.690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9.191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8.077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34.917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26.840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46.735</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97.321</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61.386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8.673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31.275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27.266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49.584</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110.343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65.200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9.659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9.852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39.385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29.533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53.407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21,7 %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1,9x</w:t>
            </w:r>
          </w:p>
        </w:tc>
      </w:tr>
    </w:tbl>
    <w:p>
      <w:pPr>
        <w:spacing w:after="160" w:before="0"/>
      </w:pPr>
    </w:p>
    <w:p>
      <w:pPr>
        <w:pStyle w:val="Nota"/>
        <w:spacing w:after="100"/>
      </w:pPr>
      <w:r>
        <w:t xml:space="preserve">Días de inventario y de pago calculados sobre el coste de ventas.</w:t>
      </w:r>
    </w:p>
    <w:p>
      <w:pPr>
        <w:pStyle w:val="Nota"/>
        <w:spacing w:after="100"/>
      </w:pPr>
      <w:r>
        <w:t xml:space="preserve">Cambio de perímetro (2021: PPD, comprada el 8-dic-2021 por 15.990 M USD en caja más 4.300 M de deuda asumida: entra en el balance de 2021 y solo tres semanas en la cuenta [3].; 2025: Filtración y separación de Solventum, consolidada desde el 1-sep-2025 (4.037 M de compras en el año): cuatro meses en la cuenta [1].).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La deuda bruta subió de 31.275 M a fin de 2024 a 39.385 M en 2025 y 41.370 M en septiembre de 2026, para pagar Solventum (4.037 M), Clario (8.877 M netos de caja en 2026) y 4.000 M de recompras en 2026 [1, 4]. La caja bajó de 9.852 M a 6.061 M. La empresa da un apalancamiento de 3,4x bruto y 2,9x neto sobre EBITDA ajustado [12]. El coste de la deuda es bajo (gasto por intereses de 1.419 M en 2025 sobre ≈35.000 M de deuda media, un 4,0 %; ≈3,6 % neto de coberturas de divisa) porque gran parte está en euros, francos y yenes a tipos del 0,5-2 % [1]. El circulante comercial (existencias + clientes − proveedores + activos − pasivos por contrato) fue del 21,7 % de las ventas en 2025 [1].</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4.543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3.785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4.973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4.047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3.696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10,04</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8.289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6.815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6.375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17,08</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9.312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6.789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7.725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17,10</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9.154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6.911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6.950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17,54</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8.406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6.927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5.995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17,85</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8.667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7.267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6.335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18,97</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7.818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1.525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6.293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6.704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16,65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2018-2025: FCF </w:t>
      </w:r>
      <w:r>
        <w:rPr>
          <w:b/>
          <w:bCs/>
        </w:rPr>
        <w:t xml:space="preserve">48.834</w:t>
      </w:r>
      <w:r>
        <w:t xml:space="preserve">, conversión </w:t>
      </w:r>
      <w:r>
        <w:rPr>
          <w:b/>
          <w:bCs/>
        </w:rPr>
        <w:t xml:space="preserve">105 %</w:t>
      </w:r>
      <w:r>
        <w:t xml:space="preserve"> del beneficio neto; adquisiciones 32.680, dividendos 3.492, recompras 18.500.</w:t>
      </w:r>
    </w:p>
    <w:p>
      <w:pPr>
        <w:spacing w:after="100"/>
      </w:pPr>
      <w:r>
        <w:t xml:space="preserve">El flujo operativo fue de 7.818 M en 2025 y de 9.324 M en los doce meses a septiembre de 2026; el FCF de la empresa (operativo − capex neto), 6.337 M en 2025 y 7.596 M LTM, con guía de 7.000-7.500 M para 2026 [1, 4, 12]. La conversión de beneficio contable en caja es alta (≈1,1 veces) porque la amortización de intangibles no es salida de caja. El capex fue 1.525 M en 2025 (3,4 % de las ventas) y la guía de 2026 es 1.900-2.000 M (≈4 %) por capacidad de fabricación en EE. UU.; la depreciación es ≈2,4-2,6 % de las ventas, así que ≈1 punto del capex es crecimiento (estimación propia) [1, 12]. En 2016-2025 la empresa gastó ≈45.000 M en compras, ≈20.000 M en recompras y ≈4.000 M en dividendos (estado de flujos, XBRL) [14]. El año anómalo es 2021-2022: caja de la covid y compra de PPD [3].</w:t>
      </w:r>
    </w:p>
    <w:p>
      <w:pPr>
        <w:pStyle w:val="Heading1"/>
      </w:pPr>
      <w:r>
        <w:t xml:space="preserve">9. Calidad contable</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PricewaterhouseCoopers LLP</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 (cuentas 2025 y control interno)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4,17</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 No fiable en 2025: cambio de perímetro (el balance incluye negocios sin su cuenta de resultados completa).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Intermedio (4-6).</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interpretable en 2025: con un cambio de perímetro, los índices de activos, amortización y ventas (AQI, DEPI, SGI) comparan grupos distintos y el umbral de −1,78 no sirve.</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1,31x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w:t>
            </w:r>
          </w:p>
        </w:tc>
      </w:tr>
    </w:tbl>
    <w:p>
      <w:pPr>
        <w:spacing w:after="160" w:before="0"/>
      </w:pPr>
    </w:p>
    <w:p>
      <w:pPr>
        <w:pStyle w:val="Heading2"/>
      </w:pPr>
      <w:r>
        <w:t xml:space="preserve">Ajustes, criterios contables y remuneración en acciones</w:t>
      </w:r>
    </w:p>
    <w:p>
      <w:pPr>
        <w:spacing w:after="100"/>
      </w:pPr>
      <w:r>
        <w:t xml:space="preserve">Sin cambios de criterio contable relevantes en 2023-2025 [1]. No se capitaliza I+D (1.397 M a gasto en 2025). La remuneración en acciones es moderada (310 M en 2025, 0,7 % de las ventas) [1]. Cada año hay reestructuración (≈300-500 M) y deterioros de activos de larga vida (126 M en 2025, 211 M en 2024), que la empresa excluye del BPA ajustado: son recurrentes y el informe los deja en el EBITDA [1, 19]. La distancia entre el BPA ajustado (22,87 USD) y el contable (17,74 USD) es casi toda amortización de intangibles comprados, gasto real de las compras pero no de caja [7]. El impuesto contable (7,5 % en 2025) es bajo por la mezcla internacional y los créditos; el mínimo global del 15 % es un riesgo de subida del tipo. El Altman Z (4,17) queda en zona segura pese a los 49.362 M de fondo de comercio; el Piotroski F (5) es medio por la caída del margen bruto y el aumento de la deuda; el Beneish M (−2,46) no señala manipulación.</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Reestructuración y deterioros todos los años excluidos del BPA ajustado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459, 379 y 362 M en 2023-2025: se mantienen en el EBITDA del informe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Fondo de comercio e intangibles del 63 % del activo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72.340 M a sep-2026 tras Clario; un deterioro no afectaría a la caja pero sí al ROIC contable [4].</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Tipo impositivo efectivo bajo (7,5-9 %)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Riesgo de subida por el mínimo global del 15 % [1].</w:t>
            </w:r>
          </w:p>
        </w:tc>
      </w:tr>
    </w:tbl>
    <w:p>
      <w:pPr>
        <w:spacing w:after="160" w:before="0"/>
      </w:pPr>
    </w:p>
    <w:p>
      <w:pPr>
        <w:pStyle w:val="Heading1"/>
      </w:pPr>
      <w:r>
        <w:t xml:space="preserve">10. Rentabilidad sobre el capital</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85"/>
        <w:gridCol w:w="985"/>
        <w:gridCol w:w="985"/>
        <w:gridCol w:w="985"/>
        <w:gridCol w:w="1095"/>
        <w:gridCol w:w="1095"/>
        <w:gridCol w:w="1095"/>
        <w:gridCol w:w="1204"/>
        <w:gridCol w:w="1209"/>
      </w:tblGrid>
      <w:tr>
        <w:trPr>
          <w:cantSplit/>
          <w:tblHeader/>
        </w:trPr>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c>
          <w:tcPr>
            <w:tcW w:type="dxa" w:w="12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 sin f. de comercio</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0,43x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44.473</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0,45x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44.751</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0,51x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45.478</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35,1 %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0,48x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58.588</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35,6 %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0,47x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70.622</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0,44x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71.780</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0,44x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75.191</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13,0 %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15,0 %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0,43x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2,02x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79.882</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22,2 %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pStyle w:val="Heading2"/>
      </w:pPr>
      <w:r>
        <w:t xml:space="preserve">Fondo de comercio y compras</w:t>
      </w:r>
    </w:p>
    <w:p>
      <w:pPr>
        <w:spacing w:after="100"/>
      </w:pPr>
      <w:r>
        <w:t xml:space="preserve">Fondo de comercio: 49.362 M en 2025 (el 60 % del capital invertido medio); ha subido más de un 5 % en 3 de 7 años: comprador en serie. ROIC publicado 9,0 %; sin fondo de comercio, 22,2 %. En un comprador en serie el fondo de comercio es el precio de su crecimiento: juzga el publicado.</w:t>
      </w:r>
    </w:p>
    <w:p>
      <w:pPr>
        <w:spacing w:after="100"/>
      </w:pPr>
      <w:r>
        <w:rPr>
          <w:b/>
          <w:bCs/>
        </w:rPr>
        <w:t xml:space="preserve">ROIC incremental</w:t>
      </w:r>
      <w:r>
        <w:t xml:space="preserve"> (variación del NOPAT sobre variación del capital invertido en el periodo): 10,6 % · </w:t>
      </w:r>
      <w:r>
        <w:rPr>
          <w:b/>
          <w:bCs/>
        </w:rPr>
        <w:t xml:space="preserve">WACC</w:t>
      </w:r>
      <w:r>
        <w:t xml:space="preserve">: 9,2 %.</w:t>
      </w:r>
    </w:p>
    <w:p>
      <w:pPr>
        <w:spacing w:after="100"/>
      </w:pPr>
      <w:r>
        <w:t xml:space="preserve">Thermo Fisher apenas cubre su coste de capital sobre el capital total: el ROIC del motor (NOPAT entre capital invertido con fondo de comercio) fue del 15 % en 2020-2021 con la covid, del 10,8 % en 2022 y del 8,8-9,1 % en 2023-2025, frente a un WACC del 9,20 % (−0,2 puntos en 2025). Sin fondo de comercio el negocio rinde un 22,2 %: el problema no es el negocio sino el precio de las compras, que son el 60 % del capital invertido. El ROIC incremental histórico es del 10,6 %, algo por encima del WACC. La empresa da un ROIC ajustado del 11 % (sin amortización de intangibles) [12]. Clario (9.098 M) entra en el capital en 2026 y rendirá poco al principio; la venta de microbiología a 1,65 veces ventas libera capital de bajo crecimiento [4, 13].</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26 sep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35.309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557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35.866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3,1x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e inversiones a corto 6.061 M a 26-sep-2026 y línea de crédito no dispuesta de 5.000 M hasta ene-2028 [1, 4].</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No figura en el 10-K ni en el folleto y la hoja de condiciones de los bonos de feb-2026; los diferenciales de emisión (47-75 pb sobre el Tesoro) son de grado de inversión «A» [1, 21].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3,6 %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Vencimientos de la deuda brut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Covenants, pasivos fuera de la deuda y contingencias</w:t>
      </w:r>
    </w:p>
    <w:p>
      <w:pPr>
        <w:spacing w:after="100"/>
      </w:pPr>
      <w:r>
        <w:t xml:space="preserve">Pensiones con déficit de 327 M antes de impuestos a 31-dic-2025 (43 M en EE. UU. y 284 M fuera) [1]. Pasivos de arrendamientos operativos de 1.470 M (en US GAAP el alquiler ya está en el EBITDA: no se suman a la deuda) [1]. Por Clario quedan 121 M de precio aplazado y 178 M de pagos contingentes a valor razonable a jun-2026 [13]. La línea de crédito tiene un covenant de cobertura de intereses con holgura amplia [1]. Hay litigios de responsabilidad de producto y de adquisiciones que la empresa excluye del BPA ajustado, sin importes materiales declarados [1, 4].</w:t>
      </w:r>
    </w:p>
    <w:p>
      <w:pPr>
        <w:pStyle w:val="Heading1"/>
      </w:pPr>
      <w:r>
        <w:t xml:space="preserve">12. Asignación de capital</w:t>
      </w:r>
    </w:p>
    <w:p>
      <w:pPr>
        <w:pStyle w:val="Confianza"/>
        <w:spacing w:after="100"/>
      </w:pPr>
      <w:r>
        <w:t xml:space="preserve">Confianza: Media</w:t>
      </w:r>
    </w:p>
    <w:p>
      <w:pPr>
        <w:spacing w:after="100"/>
      </w:pPr>
      <w:r>
        <w:t xml:space="preserve">La empresa reparte la caja entre compras («M&amp;A estratégico disciplinado») y devolución al accionista [22]. Dividendo trimestral de 0,47 USD desde mayo de 2026 (1,72 USD en 2025, +10 %) [1]. Recompras de 3.000 M en 2025 y 4.000 M en 2026 (3.000 M en enero y 1.000 M en el 2T), sin nueva recompra anunciada para el resto del año [12]. En 2025 desplegó ≈16.500 M, de ellos 13.000 M comprometidos en compras (Solventum y Clario) [23].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3.785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406,0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4.047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403,0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6.815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399,0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6.789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19.395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397,0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6.911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394,0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6.927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3.660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388,0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7.267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383,0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6.293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4.037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378,0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7" name="Gráfico 17" descr="Usos de la caj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PPD (CRO clínica)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20.290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Deuda y 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«fuerte» de la investigación clínica en 2026; sin deterioro del fondo de comercio [3, 12].</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Olink (proteómica)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de la iniciativa Precure con Mayo Clinic (sep-2026) [1, 4].</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Filtración y separación de Solventum</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4.037</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Deuda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Diluyó el margen de Ciencias de la vida en 2025-2026, como estaba previsto [1, 12].</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Clario (datos de ensayos clínicos)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9.098</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Bonos de 3.800 M y 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«Fuerte» primer trimestre completo; 5.934 M de fondo de comercio [13, 20].</w:t>
            </w:r>
          </w:p>
        </w:tc>
      </w:tr>
    </w:tbl>
    <w:p>
      <w:pPr>
        <w:spacing w:after="160" w:before="0"/>
      </w:pPr>
    </w:p>
    <w:p>
      <w:pPr>
        <w:spacing w:after="100"/>
      </w:pPr>
      <w:r>
        <w:t xml:space="preserve">Thermo Fisher es un comprador en serie: el fondo de comercio pasó de 25.347 M en 2018 a 54.263 M en septiembre de 2026 [1, 4]. Las compras grandes (Patheon, PPD) se integraron sin deterioros, pero el rendimiento contable del capital es modesto: el ROIC del motor queda por debajo del WACC porque el capital invertido incluye ese fondo de comercio, mientras que el ROIC ajustado de la empresa es del 11 % [12]. Las acciones diluidas bajaron de 406 M en 2018 a 371 M en el 3T26 (−8,6 %) [1, 4]. La empresa no publicó el múltiplo pagado por Clario (9.098 M de precio con deuda) y la presentó como acrecitiva en 2026 (0,20-0,25 USD de BPA) [13, 18].</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Marc N. Casper</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del consejo y consejero delegado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2009</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0,12 %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la empresa desde 2001; consejero delegado desde 2009 y presidente desde 2020 [1, 23]. Bajo su mando las ventas pasaron de ≈10.000 M a 44.556 M (2025) con compras como Life Technologies, Patheon, PPD y Clario [1]. El consejo le dio en 2025 un premio de retención hasta mayo de 2030 [23].</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Gianluca Pettiti</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y director de operaciones (COO)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para China (2015-2017), de Biociencias (2018-2019) y de Diagnóstico especializado (2019-2021), vicepresidente ejecutivo desde 2021; COO desde el 1-mar-2026, sucesor natural de Casper [1, 28].</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James R. Meyer</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Vicepresidente sénior y director financiero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la empresa desde 2009 tras PwC; vicepresidente de operaciones financieras desde 2023; director financiero desde el 1-mar-2026, sucede a Stephen Williamson, que se jubiló el 31-mar-2026 [29].</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Michael D. Shafer</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Vicepresidente ejecutivo (rol ampliado, depende del CEO)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Dirigió Servicios farmacéuticos (Patheon) en 2019-2024, el negocio que lidera el crecimiento del 3T26 [1, 12, 28].</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Thomas B. Shropshire</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Vicepresidente sénior y secretario general</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Exsecretario general de Diageo (2021-2025) y socio de Linklaters [1].</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BPA ajustado 24,22-24,80 USD (enero), 24,64-25,12 (abril), 24,93-25,33 (julio) y 25,13-25,43 (octubre)</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18,15 USD en nueve meses (+11 %); la guía sube en cada trimestre [4, 12, 18, 30]</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orgánico del 3-4 % (enero); ventas de 46.300-47.200 M</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4 % en nueve meses; guía elevada a 4 % y ventas de 47.700-48.200 M [4, 12, 18]</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Cuarto trimestre por encima del punto medio de la guía (tercera guía del año)</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BPA ajustado 2025 de 22,87 USD (+5 %); ocho trimestres seguidos por encima del consenso [17, 18]</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2026-2030</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Día del inversor (may-2026): 7 % de crecimiento orgánico anual y BPA ajustado creciendo «en la parte baja de los dos dígitos» a largo plazo</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 curso: 4 % orgánico en 2026</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Parcial</w:t>
            </w:r>
          </w:p>
        </w:tc>
      </w:tr>
    </w:tbl>
    <w:p>
      <w:pPr>
        <w:spacing w:after="160" w:before="0"/>
      </w:pPr>
    </w:p>
    <w:p>
      <w:pPr>
        <w:spacing w:after="100"/>
      </w:pPr>
      <w:r>
        <w:t xml:space="preserve">La dirección es creíble con sus guías anuales: ha batido el consenso de BPA en ocho trimestres seguidos y ha subido la guía de 2026 tres veces [4, 17]. Casper lleva 17 años al frente y el consejo le ató hasta 2030 con un premio de retención que los accionistas rechazaron [23, 27]. En 2026 hubo mucha rotación por debajo: salieron el COO Michel Lagarde (31-mar) y Frederick Lowery (28-feb), se jubiló el director financiero Stephen Williamson y entraron Gianluca Pettiti como presidente y COO y James Meyer como director financiero, ambos de la casa [28, 29]. La sucesión parece ordenada (Pettiti), pero no hay plan de relevo anunciado para Casper antes de 2030.</w:t>
      </w:r>
    </w:p>
    <w:p>
      <w:pPr>
        <w:pStyle w:val="Heading1"/>
      </w:pPr>
      <w:r>
        <w:t xml:space="preserve">14. Gobierno corporativo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91 %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 de 13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57"/>
        <w:gridCol w:w="1900"/>
        <w:gridCol w:w="1493"/>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Marc N. Casper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y consejero delegado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Scott M. Sperling</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independiente coordinador</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Remuneración</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Nelson J. Chai</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(presidente)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Ruby R. Chandy</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 Martin Harris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Tyler Jacks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Jennifer M. Johnson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 Alexandra Keith</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Karen S. Lynch</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Remuneración</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Debora L. Spar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Dion J. Weisler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Remuneración (presidente); Auditoría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91 %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Ejecutivo, con coordinador</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en contra sobre remuneración (3 juntas) ≤ 20 %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68,0 % en contra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24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 (cuentas 2025 y control interno)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0,00 / ventas 156,23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 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The Vanguard Group</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8,87 %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cambio relevante (proxy, feb-2026)</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BlackRock</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7,62 %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cambio relevante (proxy, feb-2026)</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Consejeros y directivos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Insiders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Ventas netas de 158 M USD en 12 meses</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9" name="Gráfico 19"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1"/>
        <w:gridCol w:w="3381"/>
        <w:gridCol w:w="1521"/>
        <w:gridCol w:w="1690"/>
        <w:gridCol w:w="1525"/>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c>
          <w:tcPr>
            <w:tcW w:type="dxa" w:w="16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w:t>
            </w:r>
          </w:p>
        </w:tc>
        <w:tc>
          <w:tcPr>
            <w:tcW w:type="dxa" w:w="15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 (M)</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27 oct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Marc N. Casper (presidente y consejero delegado)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24.354</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13,91</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 nov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Gianluca Pettiti (presidente y COO)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2.975</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12 nov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Lisa P. Britt (directora de recursos humanos)</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11.283</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6,47</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13 nov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Michel Lagarde (ex vicepresidente ejecutivo y COO)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4.638</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25 nov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Michael D. Shafer (vicepresidente ejecutivo)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10.725</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6,43</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dic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Frederick M. Lowery (ex vicepresidente ejecutivo)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13.825</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8,15</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 dic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Michel Lagarde (ex vicepresidente ejecutivo y COO)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84.046</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48,55</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mar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Marc N. Casper (presidente y consejero delegado)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7,14</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11 ago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Michael D. Shafer (vicepresidente ejecutivo)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15,30</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19 ago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Lisa P. Britt (directora de recursos humanos)</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17.290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10,41</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24 ago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Marc N. Casper (presidente y consejero delegado)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55.158</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32,84</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31 ago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Gianluca Pettiti (presidente y COO)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4.133</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2,54</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79,92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1,79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3,74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73,68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31,6 %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en contra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68,0 %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1.120x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Casper cobró 79,9 M USD en 2025 (30,4 M en 2024): 1,8 M de fijo, 3,7 M de variable anual y 73,7 M en acciones y opciones, de ellas un premio de retención extraordinario para asegurar su continuidad hasta mayo de 2030, ligado al rendimiento total para el accionista frente al S&amp;P 500 [23]. La ratio frente al empleado mediano es de 1.120 a 1 [23]. Los accionistas rechazaron el voto consultivo sobre la remuneración en 2025 (≈36 % a favor) y otra vez en la junta del 20-may-2026: 99,9 M de votos a favor y 214,5 M en contra (68 % en contra) [23, 27]. Tras el voto de 2025 el consejo pasó desde 2026 las acciones por objetivos a BPA ajustado (65 %) y TSR relativo (35 %) a tres años con un modificador de ROIC ajustado, y se comprometió a no dar más premios extraordinarios salvo casos excepcionales [23].</w:t>
      </w:r>
    </w:p>
    <w:p>
      <w:pPr>
        <w:pStyle w:val="Heading2"/>
      </w:pPr>
      <w:r>
        <w:t xml:space="preserve">Operaciones vinculadas, estructura de control y defensas</w:t>
      </w:r>
    </w:p>
    <w:p>
      <w:pPr>
        <w:spacing w:after="100"/>
      </w:pPr>
      <w:r>
        <w:t xml:space="preserve">No hay accionista de control: Vanguard (8,9 %) y BlackRock (7,6 %) son los mayores, con participaciones pasivas [23]. Una acción, un voto; los accionistas con un 15 % pueden convocar una junta extraordinaria; consejeros elegidos cada año [23]. El presidente es también consejero delegado desde 2020, compensado con un consejero coordinador independiente (Sperling) [23]. Sin operaciones vinculadas relevantes declaradas [23]. Hay acuerdos de retención en caso de cambio de control para los altos directivos [23]. El voto de 2026 muestra un consejo que no logra convencer a los accionistas sobre la remuneración: dos rechazos seguidos.</w:t>
      </w:r>
    </w:p>
    <w:p>
      <w:pPr>
        <w:pStyle w:val="Heading2"/>
      </w:pPr>
      <w:r>
        <w:t xml:space="preserve">Señales de alerta</w:t>
      </w:r>
    </w:p>
    <w:p>
      <w:pPr>
        <w:pStyle w:val="ListParagraph"/>
        <w:numPr>
          <w:ilvl w:val="0"/>
          <w:numId w:val="2"/>
        </w:numPr>
        <w:spacing w:after="60"/>
      </w:pPr>
      <w:r>
        <w:t xml:space="preserve">Voto consultivo sobre la remuneración rechazado dos años seguidos (≈36 % a favor en 2025 y 31,6 % en 2026) por el premio de retención de Casper [23, 27].</w:t>
      </w:r>
    </w:p>
    <w:p>
      <w:pPr>
        <w:pStyle w:val="ListParagraph"/>
        <w:numPr>
          <w:ilvl w:val="0"/>
          <w:numId w:val="2"/>
        </w:numPr>
        <w:spacing w:after="60"/>
      </w:pPr>
      <w:r>
        <w:t xml:space="preserve">Rotación de la cúpula operativa en 2026: salen el COO y otro vicepresidente ejecutivo, se jubila el director financiero [28, 29].</w:t>
      </w:r>
    </w:p>
    <w:p>
      <w:pPr>
        <w:pStyle w:val="ListParagraph"/>
        <w:numPr>
          <w:ilvl w:val="0"/>
          <w:numId w:val="2"/>
        </w:numPr>
        <w:spacing w:after="60"/>
      </w:pPr>
      <w:r>
        <w:t xml:space="preserve">Ventas de directivos de 158 M USD en 12 meses sin ninguna compra, 68 M fuera de planes 10b5-1 [31].</w:t>
      </w:r>
    </w:p>
    <w:p>
      <w:pPr>
        <w:pStyle w:val="ListParagraph"/>
        <w:numPr>
          <w:ilvl w:val="0"/>
          <w:numId w:val="2"/>
        </w:numPr>
        <w:spacing w:after="60"/>
      </w:pPr>
      <w:r>
        <w:t xml:space="preserve">PwC audita a la empresa desde 2002 (24 años) [23].</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Guía de 2026 del 21-oct-2026: ventas de 47.700-48.200 M USD (+7-8 %), crecimiento orgánico del 4 % (4 % en el 4T), BPA ajustado de 25,13-25,43 USD (+10-11 %), +80 pb de margen operativo ajustado, gasto financiero neto de ≈650 M, tipo ajustado del 11,5 %, capex neto de 1.900-2.000 M, FCF de 7.000-7.500 M y 371-372 M de acciones medias [12]. Es la cuarta guía del año: en enero era 46.300-47.200 M y 24,22-24,80 USD [18]. A largo plazo (día del inversor, 20-may-2026): 7 % de crecimiento orgánico anual y BPA ajustado creciendo «en la parte baja de los dos dígitos» [22]. La guía de 2027 llegará el 2-feb-2027 [12].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45"/>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47.990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25,26</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Stock Analysis (S&amp;P Global), 25 analistas, 23-oct-2026 [33]</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50.510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27,74</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 (S&amp;P Global), 23-oct-2026; MarketBeat da 27,76 USD [33, 34]</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919"/>
        <w:gridCol w:w="1505"/>
        <w:gridCol w:w="1505"/>
        <w:gridCol w:w="1204"/>
        <w:gridCol w:w="1505"/>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47.942</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47.990</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11.890</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50.579</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50.510</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12.797</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 / 3 / 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750,92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560,00 – 830,00</w:t>
            </w:r>
          </w:p>
        </w:tc>
      </w:tr>
    </w:tbl>
    <w:p>
      <w:pPr>
        <w:spacing w:after="160" w:before="0"/>
      </w:pPr>
    </w:p>
    <w:p>
      <w:pPr>
        <w:pStyle w:val="Heading2"/>
      </w:pPr>
      <w:r>
        <w:t xml:space="preserve">Revisiones de estimaciones</w:t>
      </w:r>
    </w:p>
    <w:p>
      <w:pPr>
        <w:spacing w:after="100"/>
      </w:pPr>
      <w:r>
        <w:t xml:space="preserve">Las estimaciones suben: el BPA de 2026 pasa de los 24,22-24,80 USD de la guía de enero a un consenso de 25,26 USD, y el de 2027 a 27,74 USD (+9,8 %) [18, 33]. Tras el 3T26 subieron los objetivos J. P. Morgan (de 760 a 820 USD), Citi (de 685 a 800), CMB International (de 660 a 800), RBC (de 580 a 730) y Redburn (de 725 a 750); DZ Bank bajó la recomendación a Mantener con 650 USD [33, 35]. MarketBeat da un objetivo medio de 681 USD con 25 analistas (mínimo 520, máximo 810), más bajo porque arrastra objetivos de antes de la subida; se usa Stock Analysis, más reciente [33, 34]. El consenso de BPA del 3T26 era 6,40 USD y la empresa dio 6,68 [34].</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total (con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+16,7 %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+15,3 %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+11,9 %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0" name="Gráfico 20"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0,85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-41,0 %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Posiciones cortas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1,5 %</w:t>
            </w:r>
          </w:p>
        </w:tc>
      </w:tr>
    </w:tbl>
    <w:p>
      <w:pPr>
        <w:spacing w:after="160" w:before="0"/>
      </w:pPr>
    </w:p>
    <w:p>
      <w:pPr>
        <w:spacing w:after="100"/>
      </w:pPr>
      <w:r>
        <w:t xml:space="preserve">La acción sube un 16,6 % en 2026 (con dividendos) frente al 12,3 % del S&amp;P 500 y el 17,2 % del sector salud (XLV), pero a cinco años rinde solo un 2,4 % anual frente al 12,2 % del índice: el pico de valoración de la covid (667 USD a fin de 2021) tardó casi cinco años en recuperarse [32]. En 2026 el movimiento tiene dos fases: caída hasta 435 USD el 18-may (−16 % en un mes) por la debilidad académica y un 1T26 con un 1 % orgánico, y subida del 54 % desde entonces con la recuperación de farma y biotecnología, la subida de guía del 2T26 (+22 % en el mes al 23-jul) y un 3T26 que llevó la acción a un máximo histórico de 705,79 USD el 21-oct [12, 32, 36]. La posición corta es del 1,46 % del capital [33].</w:t>
      </w:r>
    </w:p>
    <w:p>
      <w:pPr>
        <w:pStyle w:val="Heading2"/>
      </w:pPr>
      <w:r>
        <w:t xml:space="preserve">Precio y noticias antes de decidir (regla 13)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Variación 1 / 3 / 6 / 12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-0,7 % / +20,4 % / +43,5 % / +18,8 %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y al mínimo de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-3,3 % / +53,7 %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de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-3,3 %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(medias de 50 y 200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alcista</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(60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2027-02-02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Veredicto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no cambia</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3"/>
        <w:gridCol w:w="1098"/>
        <w:gridCol w:w="4147"/>
        <w:gridCol w:w="1220"/>
      </w:tblGrid>
      <w:tr>
        <w:trPr>
          <w:cantSplit/>
          <w:tblHeader/>
        </w:trPr>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4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Causa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abr-2026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Caída del 9,2 % el 23-abr con el 1T26: 1 % de crecimiento orgánico, la dirección avisó de que la demanda académica de EE. UU. seguiría débil todo el año y puso una reserva por la inflación del petróleo, aunque el BPA batió (5,44 frente a 5,25 USD) [34, 36].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abr-may-2026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Mayor caída de un mes en seis meses, hasta el mínimo de 435,27 USD el 18-may: continuación del 1T26 y RBC retomando la cobertura con «sector perform» y 490 USD [36].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jun-jul-2026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+21,9 %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Subida de un mes hasta el 23-jul: 2T26 con un 5 % orgánico, BPA de 6,03 frente a 5,71 USD y guía de BPA elevada a 24,93-25,33 USD [13, 20, 34].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9"/>
        <w:gridCol w:w="1585"/>
        <w:gridCol w:w="3904"/>
        <w:gridCol w:w="1220"/>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9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Hecho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2026-10-21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3T26: ventas de 12.137 M (+9 %, 6 % orgánico), BPA ajustado de 6,68 USD frente a 6,40 de consenso; guía elevada a 25,13-25,43 USD; la acción abrió con caídas y marcó un máximo histórico de 705,79 USD [4, 12, 32].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2026-10-23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recomendación</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Subidas de objetivo tras el 3T26: J. P. Morgan 820, Citi 800, CMB 800, BofA 795, RBC 730 USD; DZ Bank baja a Mantener (650 USD) [33, 35].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2026-07-10</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fusión u oferta</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prensa informó de que DiaSorin rechazó una oferta de compra de un comprador estadounidense identificado como Thermo Fisher; no hay operación anunciada [30].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2026-08-28</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directivos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directivos de 158 M USD en 12 meses sin compras: Casper 53,9 M (plan 10b5-1), Lagarde 51,3 M al salir de la empresa, Shafer 22,5 M y Britt 16,9 M [31].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2026-05-20</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demanda o regulador</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junta rechazó el voto consultivo sobre la remuneración (68 % en contra), por segundo año [27].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2026-05-28</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demanda o regulador</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Investigadores denunciaron imágenes manipuladas en fichas de anticuerpos del catálogo; sin sanción ni efecto contable conocido [24].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2027-02-02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del 4T26 y guía de 2027 [12].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r>
    </w:tbl>
    <w:p>
      <w:pPr>
        <w:spacing w:after="160" w:before="0"/>
      </w:pPr>
    </w:p>
    <w:p>
      <w:pPr>
        <w:spacing w:after="100"/>
      </w:pPr>
      <w:r>
        <w:t xml:space="preserve">La acción está a un 3,3 % de su máximo histórico tras subir un 54 % desde el mínimo de mayo (aviso P2): la causa es la recuperación del crecimiento orgánico (1 %, 5 % y 6 % en los tres trimestres de 2026) y tres subidas de guía, recogidas en el informe. No hay colocaciones, ampliaciones ni decisiones regulatorias pendientes. Las ventas de directivos son en su mayoría de planes 10b5-1 o de quien deja la empresa. Una compra grande (rumor de DiaSorin) es el hecho que más podría mover el precio, pero no hay nada anunciado. Se buscó en noticias.mjs (12 meses), Form 4, EDGAR y el RSS de Seeking Alpha. Veredicto: no cambia.</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1" name="Gráfico 21"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t xml:space="preserve">Al cierre de cada año, el PER sobre el BPA ajustado del año siguiente (la base del objetivo a 12 meses) fue 18,1x en 2018, 28,7x en 2021, 25,6x en 2022, 24,3x en 2023, 22,7x en 2024 y 23,0x en 2025 (sobre nuestro BPA de 2026e); 2019 y 2020 se excluyen porque el BPA del año siguiente estaba inflado por la covid (+58 % en 2020, +29 % en 2021) [1, 2, 15]. Hoy cotiza a 24,7x nuestro BPA de 2027e, en la mediana de los cinco años limpios (24,3x). Sobre los múltiplos LTM contables (EV/EBITDA y PER del motor) cotiza con prima frente a 2023-2025 porque el beneficio contable aún arrastra la amortización de las compras.</w:t>
      </w:r>
    </w:p>
    <w:p>
      <w:pPr>
        <w:pStyle w:val="Heading1"/>
      </w:pPr>
      <w:r>
        <w:t xml:space="preserve">18. Comparables cotizados</w:t>
      </w:r>
    </w:p>
    <w:p>
      <w:pPr>
        <w:pStyle w:val="Confianza"/>
        <w:spacing w:after="100"/>
      </w:pPr>
      <w:r>
        <w:t xml:space="preserve">Confianza: Media</w:t>
      </w:r>
    </w:p>
    <w:p>
      <w:pPr>
        <w:spacing w:after="100"/>
      </w:pPr>
      <w:r>
        <w:t xml:space="preserve">Herramientas de ciencias de la vida y diagnóstico (Danaher, Agilent, Waters, Mettler-Toledo, Revvity, Bruker, Qiagen), distribución de laboratorio (Avantor) y servicios clínicos y preclínicos (IQVIA, Charles River), que cubren los cuatro segmentos de Thermo Fisher. Todos de Stock Analysis (S&amp;P Global) del 26-oct-2026: capitalización y EV al cierre del 23-oct; EV/EBITDA de los últimos 12 meses; PER adelantado sobre el BPA ajustado del consenso (la misma base que el BPA ajustado de nuestro objetivo); crecimiento = ventas de los próximos 12 meses ponderadas (2/12 del año en curso y 10/12 del siguiente; Agilent, que cierra en octubre, el año siguiente) sobre las LTM. Waters sin crecimiento: la integración de BD (abril 2026) duplica sus ventas. No se usa EV/EBITDA de los próximos 12 meses: no hay EBITDA de consenso gratuito con la misma definición [26, 33].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2"/>
        <w:gridCol w:w="504"/>
        <w:gridCol w:w="908"/>
        <w:gridCol w:w="706"/>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Thermo Fisher</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249.987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Danaher</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162.160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Agilent Technologies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48.790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Waters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44.570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Mettler-Toledo</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33.470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IQVIA</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45.980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Charles River Laboratories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16.490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Revvity</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17.720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Avantor</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11.690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Bruker</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8.770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Qiagen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NL</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10.420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36"/>
        <w:gridCol w:w="1056"/>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29,1 %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31,2 %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11.745</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19,4x / 22,5x / 24,2x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517,44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616,53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668,37</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21,7x / 26,0x / 28,1x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592,78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710,54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767,31</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47.351</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3,9x / 6,1x / 7,1x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395,94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684,70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813,61</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+1,6 %</w:t>
            </w:r>
          </w:p>
        </w:tc>
      </w:tr>
    </w:tbl>
    <w:p>
      <w:pPr>
        <w:spacing w:after="160" w:before="0"/>
      </w:pPr>
    </w:p>
    <w:p>
      <w:pPr>
        <w:spacing w:after="100"/>
      </w:pPr>
      <w:r>
        <w:t xml:space="preserve">Thermo Fisher cotiza a 25,0x el BPA ajustado de los próximos 12 meses según Stock Analysis, en la mediana del grupo (26,0x) y con un crecimiento de ventas parecido; la prima sobre IQVIA (20,5x) y Avantor (20,2x) la justifican sus márgenes, y el descuento frente a Mettler-Toledo (33,9x) el menor ROIC contable [26, 33]. Para el objetivo a 12 meses se usa la mediana del PER (regla común).</w:t>
      </w:r>
    </w:p>
    <w:p>
      <w:pPr>
        <w:pStyle w:val="Heading1"/>
      </w:pPr>
      <w:r>
        <w:t xml:space="preserve">19. Transacciones precedentes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71"/>
        <w:gridCol w:w="1780"/>
        <w:gridCol w:w="1676"/>
        <w:gridCol w:w="838"/>
        <w:gridCol w:w="838"/>
        <w:gridCol w:w="838"/>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2026-03</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Clario (datos de ensayos clínicos)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Thermo Fisher</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8.875</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8.875 M en caja al cierre sobre ≈1.250 M de ventas previstas en 2025; más pagos aplazados y variables de hasta 525 M [37].</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2026-02</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Biociencias y Diagnóstico de Becton Dickinson</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Waters (Reverse Morris Trust)</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5,15x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≈3.400 M de ventas y ≈925 M de EBITDA ajustado previstos en 2025; anunciada en jul-2025 [38].</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2026-08</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Microbiología de Thermo Fisher</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Astorg</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1.075</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 de un negocio maduro: ≈650 M de ventas anualizadas (326 M en el 1S26) [13].</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2025-09</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Filtración y separación de Solventum</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Thermo Fisher</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ventas publicadas en el anuncio [39].</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2024-07</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Olink (proteómica)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Thermo Fisher</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OPA a 26 USD por acción [2].</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2021-12</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PPD (CRO clínica)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Thermo Fisher</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20.290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15.990 M en caja más 4.300 M de deuda asumida [3].</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por acción implícito (mediana de EV/ventas)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560,26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336,91 – 684,70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2" name="Gráfico 22"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spacing w:after="100"/>
      </w:pPr>
      <w:r>
        <w:t xml:space="preserve">Los activos de calidad del sector cambian de manos a 5-7 veces ventas y ≈19 veces EBITDA (BD-Waters), y los negocios maduros como la microbiología a menos de 2 veces ventas. Thermo Fisher cotiza a ≈6 veces sus ventas LTM, en la parte alta del rango de transacciones, sin prima de control: con 250.000 M de capitalización y sin accionista de control no es objeto realista de una oferta. Las transacciones sirven de contraste, no de valoración.</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2026e (+7,6 %, fijo) es el punto medio de la guía del 21 de octubre (47.700-48.200 M) con tres trimestres publicados [4]. 2027e (+5,5 %) y 2028e (+6,0 %) son un orgánico del 4,5-5 % —el 6 % del 3T26 y el 4 % de la guía del año— más un punto de Clario y de mezcla [4, 12]. Después baja hasta el 3 %. Es menos que el objetivo de la empresa (7 % orgánico a medio plazo) porque no proyectamos compras nuevas [22]. El consenso de ventas de 2027e (50.510 M) es casi igual al nuestro (50.587 M) [33].</w:t>
      </w:r>
    </w:p>
    <w:p>
      <w:pPr>
        <w:keepNext/>
        <w:spacing w:after="100"/>
      </w:pPr>
      <w:r>
        <w:rPr>
          <w:b/>
          <w:bCs/>
        </w:rPr>
        <w:t xml:space="preserve">Márgenes.</w:t>
      </w:r>
    </w:p>
    <w:p>
      <w:pPr>
        <w:spacing w:after="100"/>
      </w:pPr>
      <w:r>
        <w:t xml:space="preserve">El margen EBITDA GAAP sube del 23,6 % de 2025 al 24,8 % en 2026e (la guía pide +80 pb de margen operativo ajustado y los doce meses a septiembre ya dan un 24,4 %) y al 26,5 % en 2030e: medio punto al año en 2027-28 y menos después [4, 12]. 2019 (26,9 %) y 2022 (26,2 %) muestran que es alcanzable sin covid. Queda lejos del 32,2 % de 2021. Danaher y Agilent ganan un 28-32 % de EBITDA [26].</w:t>
      </w:r>
    </w:p>
    <w:p>
      <w:pPr>
        <w:keepNext/>
        <w:spacing w:after="100"/>
      </w:pPr>
      <w:r>
        <w:rPr>
          <w:b/>
          <w:bCs/>
        </w:rPr>
        <w:t xml:space="preserve">Inversión y circulante.</w:t>
      </w:r>
    </w:p>
    <w:p>
      <w:pPr>
        <w:spacing w:after="100"/>
      </w:pPr>
      <w:r>
        <w:t xml:space="preserve">Capex del 4,1 % de las ventas en 2026e (guía de 1.900-2.000 M por capacidad en EE. UU.) y del 3,5-3,6 % después, por encima del 3,3-3,5 % de 2023-2025 [4, 12]. La amortización baja del 6,6 % de los últimos doce meses al 3,6 % porque dos tercios son intangibles de compras que se agotan; en el último año capex y amortización se igualan. Circulante del 21,5 % de las ventas, el nivel real de 2018-2025 (20,2-21,9 %), con activos y pasivos por contrato: crecer consume caja [1].</w:t>
      </w:r>
    </w:p>
    <w:p>
      <w:pPr>
        <w:keepNext/>
        <w:spacing w:after="100"/>
      </w:pPr>
      <w:r>
        <w:rPr>
          <w:b/>
          <w:bCs/>
        </w:rPr>
        <w:t xml:space="preserve">Coste del capital.</w:t>
      </w:r>
    </w:p>
    <w:p>
      <w:pPr>
        <w:spacing w:after="100"/>
      </w:pPr>
      <w:r>
        <w:t xml:space="preserve">Tasa libre del 5,00 % (bono a 10 años de EE. UU. del 23-oct) [40]. Beta de 0,90: la ajustada de la regresión mensual de cinco años de la propia Thermo Fisher frente al S&amp;P 500 (0,85 bruta; 0,68 semanal a dos años) [32]. Ya lleva su deuda; desapalancada con su D/E de mercado (41.370 / 249.140 = 0,166) y un 15 % de impuestos da 0,79, y reapalancada con la misma estructura, 0,90. Prima del 5,5 %: coste del capital del 9,95 %. Deuda al 5,5 % antes de impuestos (la emisión a 10 años de febrero pagó un 4,90 % y el tipo libre ha subido) [21], un 15 % de escudo y un 14,3 % de deuda a mercado: WACC del 9,20 %. Con la prima implícita del mercado (4,2 %) sería del 8,19 % [42].</w:t>
      </w:r>
    </w:p>
    <w:p>
      <w:pPr>
        <w:keepNext/>
        <w:spacing w:after="100"/>
      </w:pPr>
      <w:r>
        <w:rPr>
          <w:b/>
          <w:bCs/>
        </w:rPr>
        <w:t xml:space="preserve">Valor terminal.</w:t>
      </w:r>
    </w:p>
    <w:p>
      <w:pPr>
        <w:spacing w:after="100"/>
      </w:pPr>
      <w:r>
        <w:t xml:space="preserve">Gordon con un 3 % de crecimiento: inflación de EE. UU. de ≈2,5 % y algo de crecimiento real, por debajo de la tasa libre menos medio punto. Es exigente para una empresa madura, pero el gasto en salud y en I+D farmacéutica crece por encima del PIB. El múltiplo de salida de referencia (18x EBITDA) es inferior al actual (24,3x) y a la mediana de los comparables.</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0,90</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9,95 %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4,67 %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8,19 %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47.942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11.890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8.228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0,18</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50.579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12.797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9.100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8.565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53.614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13.832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9.856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8.500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56.563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14.819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10.559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8.334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59.391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15.739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11.136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8.050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62.063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16.447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11.661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7.720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64.546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17.105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12.162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7.378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66.805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17.703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12.625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7.009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68.809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18.234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12.983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6.601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2035e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70.873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18.781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2.551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2.434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2.551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13.352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6.217</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3" name="Gráfico 23" descr="Flujo de caja libre para la empresa proyectad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221.965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338.066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5,05 %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69.851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98.982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168.833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-35.309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132.832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371,0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358,04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4" name="Gráfico 24" descr="De dónde sale el valor empresa del DCF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4,0 %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8,2 %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386,42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413,19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445,12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483,84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531,79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8,7 %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350,02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371,95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397,73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428,47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465,76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9,2 %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318,73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336,92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358,04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382,87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412,48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9,7 %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291,55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306,79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324,31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344,66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368,57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10,2 %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267,72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280,61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295,30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312,18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331,78</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272,41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317,02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341,38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367,21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290,28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313,20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337,53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363,35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390,75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308,14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332,34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358,04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385,33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414,29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326,01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351,48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378,55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407,30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437,83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343,88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370,62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399,06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429,27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461,38</w:t>
            </w:r>
          </w:p>
        </w:tc>
      </w:tr>
    </w:tbl>
    <w:p>
      <w:pPr>
        <w:spacing w:after="160" w:before="0"/>
      </w:pPr>
    </w:p>
    <w:p>
      <w:pPr>
        <w:pStyle w:val="Heading2"/>
      </w:pPr>
      <w:r>
        <w:t xml:space="preserve">¿Puede la empresa sostener el crecimiento previsto?</w:t>
      </w:r>
    </w:p>
    <w:p>
      <w:pPr>
        <w:spacing w:after="100"/>
      </w:pPr>
      <w:r>
        <w:rPr>
          <w:b/>
          <w:bCs/>
        </w:rPr>
        <w:t xml:space="preserve">Veredicto: Sí.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-1.648 M (-1 %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 la reinversión bruta (capex + circulante): crecimiento que financia al ROIC actual</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 (reinvierte el 25 %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Rendimiento que la proyección supone para la reinversión bruta</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24,3 % (histórico: 10,6 %)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histórico de ingresos (TCAC)</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 frente al 4,8 % proyectado</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Veredicto de las pruebas del motor</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Sí</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de mercado implícita en 2030e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18,0 % (hoy: 17,5 %)</w:t>
            </w:r>
          </w:p>
        </w:tc>
      </w:tr>
    </w:tbl>
    <w:p>
      <w:pPr>
        <w:spacing w:after="160" w:before="0"/>
      </w:pPr>
    </w:p>
    <w:p>
      <w:pPr>
        <w:spacing w:after="100"/>
      </w:pPr>
      <w:r>
        <w:t xml:space="preserve">La proyección apenas necesita inversión neta de la amortización (reinversión acumulada de -1.648 M, con un capex bruto medio del 3,6 % de las ventas). En un negocio de activos ligeros, el crecimiento medio del 4,8 % tiene que salir de subir precios y de ganar volumen sin capital nuevo, y la prueba es el poder de precios y la cuota (18,0 % del mercado en 2030e, frente al 17,5 % de hoy);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Orgánico del 4 % de la guía (2,5 de volumen y 1,5 de precio) y 3,6 puntos de compras netas y divisa: Clario desde el 24 de marzo y la filtración de Solventum, menos la microbiología desde el 3T26, y ≈1 punto de divisa [4, 12].</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Orgánico del 4,5 % (3 de volumen y 1,5 de precio) y 1 punto del trimestre de Clario que falta y de la mezcla hacia bioproducción y datos clínicos [12].</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Orgánico del 5 % con farma y biotecnología normalizadas (crecieron a un dígito alto en el 3T26) y 1 punto de mezcla [12].</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Orgánico del 4,5 % y 1 punto de mezcla.</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Orgánico del 4 % y 1 punto de mezcla; el mercado servido crece un 6,7 % anual [25].</w:t>
            </w:r>
          </w:p>
        </w:tc>
      </w:tr>
    </w:tbl>
    <w:p>
      <w:pPr>
        <w:spacing w:after="160" w:before="0"/>
      </w:pPr>
    </w:p>
    <w:p>
      <w:pPr>
        <w:spacing w:after="100"/>
      </w:pPr>
      <w:r>
        <w:t xml:space="preserve">Sí. La reinversión neta de la proyección es negativa (la amortización de intangibles comprados supera al capex), así que la prueba del crecimiento financiable no sirve y la hacemos a mano: el crecimiento medio (4,8 %) es un orgánico del 4-5 %, por debajo del 6,7 % del mercado servido, con una cuota que solo pasa del 17,5 % al 18,0 % en 2030e y un precio del 1,5 % anual, por debajo de la inflación, que la empresa ha sostenido en 2025-2026 con ocho trimestres seguidos por encima del consenso [4, 9, 10, 11, 25]. El rendimiento del 24,3 % sobre la reinversión bruta frente al 10,6 % histórico no es un aviso: el histórico lleva el fondo de comercio de las compras y el capex que proyectamos (3,6 %) supera la depreciación física (≈2,5 %) [1]. No proyectamos compras nuevas.</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(2027e-2035e)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13,5 % (base: 4,4 %)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41,9 % (base: 26,5 %)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6,7 % (WACC: 9,2 %)</w:t>
            </w:r>
          </w:p>
        </w:tc>
      </w:tr>
    </w:tbl>
    <w:p>
      <w:pPr>
        <w:spacing w:after="160" w:before="0"/>
      </w:pPr>
    </w:p>
    <w:p>
      <w:pPr>
        <w:spacing w:after="100"/>
      </w:pPr>
      <w:r>
        <w:t xml:space="preserve">El DCF da 358,04 USD por acción, un 46,9 % por debajo del precio de 673,82 USD, con un WACC del 9,20 % y un valor terminal del 59 % del total. Con la prima implícita del mercado (WACC del 8,19 %) sube a 445,40 USD, aún un 34 % por debajo. El DCF inverso es la clave: el precio descuenta un crecimiento de las ventas del 13,5 % anual en 2027e-2035e frente al 4,4 % de nuestro base, o un margen EBITDA del 41,9 % frente al 26,5 %; dicho de otra forma, a 673,82 USD el comprador obtiene un 6,7 % anual, menos que el 9,20 % de WACC y que el 8,19 % que pide el mercado. Es muy exigente: el precio solo cuadra si la empresa vuelve a crecer comprando con éxito durante años (lo hizo en 2010-2021) o si los tipos bajan mucho. Con el bono al 5 % y un ROIC que apenas iguala el WACC, no hay margen de seguridad.</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272,94</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-59,5 %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recuperación de farma y biotecnología se frena en 2027 y académico sigue plano: el orgánico vuelve al 2 % de 2025 y la mezcla quita un punto de margen. Le pasó a la propia empresa en 2023-24, cuando las ventas cayeron un 4,6 % [1].</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358,04</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-46,9 %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orgánico se estabiliza en el 4,5-5 %, Clario cumple su plan y el margen gana medio punto al año hasta 2028e, como pide la guía [4, 12].</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410,97</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-39,0 %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biotecnología vuelve a financiarse con fuerza y la bioproducción acelera: orgánico del 6-7 %, el objetivo de la empresa a medio plazo, y medio punto más de margen [22].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Valor por acción por escenario (USD) · precio actual 673,82"/>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spacing w:after="100"/>
      </w:pPr>
      <w:r>
        <w:rPr>
          <w:b/>
          <w:bCs/>
        </w:rPr>
        <w:t xml:space="preserve">Valor ponderado por probabilidad:</w:t>
      </w:r>
      <w:r>
        <w:t xml:space="preserve"> 350,00 USD (-48,1 %).</w:t>
      </w:r>
    </w:p>
    <w:p>
      <w:pPr>
        <w:spacing w:after="100"/>
      </w:pPr>
      <w:r>
        <w:t xml:space="preserve">El DCF da 272,94 USD en el bajista (−59,5 %), 358,04 en el base y 410,97 en el alcista (−39,0 %): todos muy por debajo del precio, porque el problema no es el escenario sino la tasa de descuento con el bono al 5 %. La asimetría del DCF (−0,66x) no sirve para decidir. La del objetivo a 12 meses es neutra: 814,84 USD en el alcista (+21,2 %) frente a 537,24 en el bajista (−20,0 %), 1,03x. El bajista a 12 meses es duro porque la regla pone 19,6x (base × 0,8), por debajo del mínimo de cinco años (22,7x).</w:t>
      </w:r>
    </w:p>
    <w:p>
      <w:pPr>
        <w:pStyle w:val="Heading1"/>
      </w:pPr>
      <w:r>
        <w:t xml:space="preserve">22. Suma de partes</w:t>
      </w:r>
    </w:p>
    <w:p>
      <w:pPr>
        <w:pStyle w:val="Confianza"/>
        <w:spacing w:after="100"/>
      </w:pPr>
      <w:r>
        <w:t xml:space="preserve">Confianza: Baja</w:t>
      </w:r>
    </w:p>
    <w:p>
      <w:pPr>
        <w:spacing w:after="100"/>
      </w:pPr>
      <w:r>
        <w:t xml:space="preserve">No aplica: la empresa publica el resultado de sus cuatro segmentos, pero los cuatro comparten clientes, red comercial y costes centrales y ninguno cotiza por separado; la suma de partes no añadiría información frente a los comparables [1].</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6" name="Gráfico 26" descr="Valor por acción según cada método (USD) · precio actual 673,82"/>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435,27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673,82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705,79</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560,00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750,92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830,00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592,78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710,54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767,31</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(EV/ventas)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336,91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560,26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684,70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306,79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358,04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428,47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272,94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350,00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410,97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397,96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445,40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502,99</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670,45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673,82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677,19</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358,04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710,54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560,26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350,00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r>
    </w:tbl>
    <w:p>
      <w:pPr>
        <w:spacing w:after="160" w:before="0"/>
      </w:pPr>
    </w:p>
    <w:p>
      <w:pPr>
        <w:spacing w:after="100"/>
      </w:pPr>
      <w:r>
        <w:rPr>
          <w:b/>
          <w:bCs/>
        </w:rPr>
        <w:t xml:space="preserve">Valor intrínseco ponderado (largo plazo):</w:t>
      </w:r>
      <w:r>
        <w:t xml:space="preserve"> 497,43 USD (-26,2 % sobre 673,82).</w:t>
      </w:r>
    </w:p>
    <w:p>
      <w:pPr>
        <w:spacing w:after="100"/>
      </w:pPr>
      <w:r>
        <w:t xml:space="preserve">El DCF pesa un 40 %, los comparables un 40 % y los escenarios un 20 %, como en el informe anterior. El valor intrínseco es de 497,43 USD, un 26,2 % por debajo del precio: el DCF y los escenarios (273-411 USD) quedan muy por debajo y el PER de los comparables (710,54 USD) por encima. La dispersión no es de cifras sino de tasa de descuento: con el bono al 5 %, un negocio que crece un 5 % y rinde un 9 % sobre el capital no vale 25 veces beneficios en un DCF, pero el sector entero cotiza así (mediana de 26x) [26]. Las transacciones (mediana de 560,26 USD) no se usan: Thermo Fisher no es objeto de compra. Por eso la decisión la toma el objetivo a 12 meses, con el PER propio, y el valor intrínseco avisa de que no hay margen de seguridad.</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27,41</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 0.8</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537,24</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29,80</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(24.7x) a mitad de camino hacia abajo, hacia la mediana de 5 años (24.3x)</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730,10</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31,34</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26,0x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mediana de los comparables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814,84</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+21,2 %</w:t>
            </w:r>
          </w:p>
        </w:tc>
      </w:tr>
    </w:tbl>
    <w:p>
      <w:pPr>
        <w:spacing w:after="160" w:before="0"/>
      </w:pPr>
    </w:p>
    <w:p>
      <w:pPr>
        <w:spacing w:after="100"/>
      </w:pPr>
      <w:r>
        <w:rPr>
          <w:b/>
          <w:bCs/>
        </w:rPr>
        <w:t xml:space="preserve">Objetivo a 12 meses (ponderado):</w:t>
      </w:r>
      <w:r>
        <w:t xml:space="preserve"> 703,07 USD · rentabilidad +4,6 % (base +8,6 %) · señal Mantener.</w:t>
      </w:r>
    </w:p>
    <w:p>
      <w:pPr>
        <w:spacing w:after="100"/>
      </w:pPr>
      <w:r>
        <w:t xml:space="preserve">Para comparar, con la regla v2 (historia al cierre, mismo precio): 23,7x / 24,6x / 26,0x, 9,0 % Mantener. Decide la v3 con tope ×1,1, elegida por el selector de método (sin marcas: decide la v3; METODO-VIGENTE.md).</w:t>
      </w:r>
    </w:p>
    <w:p>
      <w:pPr>
        <w:keepNext/>
        <w:spacing w:after="100"/>
      </w:pPr>
      <w:r>
        <w:rPr>
          <w:b/>
          <w:bCs/>
        </w:rPr>
        <w:t xml:space="preserve">Frente al consenso (solo contraste).</w:t>
      </w:r>
    </w:p>
    <w:p>
      <w:pPr>
        <w:spacing w:after="100"/>
      </w:pPr>
      <w:r>
        <w:t xml:space="preserve">Nuestro precio base (730,10 USD) queda un 2,8 % por debajo del objetivo medio de los analistas (750,92 USD, 27 analistas, de 560 a 830 USD) [33]. El BPA explica la diferencia: nuestro 2027e (27,32 USD) queda un 1,5 % por debajo del consenso (27,74 USD) porque no contamos recompras no anunciadas [33]. MarketBeat da un objetivo medio de 681 USD con objetivos más viejos [34]. Los dos objetivos medios caen dentro de nuestro rango (537-815 USD).</w:t>
      </w:r>
    </w:p>
    <w:p>
      <w:pPr>
        <w:keepNext/>
        <w:spacing w:after="100"/>
      </w:pPr>
      <w:r>
        <w:rPr>
          <w:b/>
          <w:bCs/>
        </w:rPr>
        <w:t xml:space="preserve">Del valor intrínseco al objetivo a 12 meses.</w:t>
      </w:r>
    </w:p>
    <w:p>
      <w:pPr>
        <w:spacing w:after="100"/>
      </w:pPr>
      <w:r>
        <w:t xml:space="preserve">El objetivo a 12 meses (703,07 USD) queda un 41 % por encima del valor intrínseco (497,43 USD). La distancia no se cierra con un catalizador: refleja que el mercado paga por Thermo Fisher y por todo el sector un PER de 23-26x con independencia de los tipos de interés, y el DCF con el bono al 5 % no. Por eso la tesis es de mantener: la rentabilidad a 12 meses (+4,6 % ponderada, +8,6 % en el base) es la del crecimiento del beneficio menos medio punto de PER, sin múltiplo barato que recuperar.</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2-feb-2027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4T26 y guía de 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consenso espera 27,74 USD de BPA ajustado en 2027 [33]; una guía por debajo de 27 USD o un orgánico guiado por debajo del 4 % pesaría.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Nueva autorización de recompra (en enero lo habitual)</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2026 recompró 4.000 M; cada 1.000 M añade ≈0,4 % al BPA [4, 12].</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Pagos aplazados y variables de Clario</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Muestran si Clario cumple su plan (precio de 9.098 M) [13].</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Presupuesto de los NIH para el año fiscal 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Académico y público siguen planos; un presupuesto mejor reactivaría Instrumentos analíticos [12].</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Una compra grande nueva (rumor de DiaSorin en julio)</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Más deuda sobre 2,9x de deuda neta ajustada; el mercado suele castigar compras caras [30].</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Recaída de la demanda de farma y biotecnología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−20 % a 12 meses (bajista: 537,24 USD con 19,6x)</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Dos tercios de ingresos recurrentes.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Orgánico por debajo del 3 % en dos trimestres.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Compresión del PER del sector con el bono por encima del 5 %</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Valoración</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−26 % hasta el valor intrínseco (497,43 USD)</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PER ha resistido la subida de tipos de 2022-26.</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adelantado del sector por debajo de 22x.</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Rendimiento bajo de las compras (Clario, una nueva)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Asignación de capital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 (2 % menos de BPA y medio punto menos de PER)</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Historial de integración sin deterioros grandes.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Deterioros o pagos variables de Clario por debajo del máximo.</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Inteligencia artificial que reduce ensayos y experimentos de laboratorio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Tecnológico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 (un punto menos de orgánico a largo plazo)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empresa usa la IA en sus datos clínicos (Clario) y en sus instrumentos; los analistas preguntaron por ello en el 3T26 sin ver efecto [12].</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Menos volumen en servicios de ensayos clínicos (PPD).</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Recortes de los NIH y de la financiación académica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Regulatorio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Académico y público pesa poco y está plano, no cayendo [12].</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Instrumentos analíticos en negativo.</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Aranceles y China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Geopolítico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Fabricación local; China ≈7,5 % de las ventas [20].</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de margen recortada por aranceles.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 remuneración rechazada dos años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Difícil de cuantificar</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consejo cambió los objetivos de las acciones en 2026 [23].</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Tercer voto en contra o salida de consejeros.</w:t>
            </w:r>
          </w:p>
        </w:tc>
      </w:tr>
    </w:tbl>
    <w:p>
      <w:pPr>
        <w:spacing w:after="160" w:before="0"/>
      </w:pPr>
    </w:p>
    <w:p>
      <w:pPr>
        <w:pStyle w:val="Heading2"/>
      </w:pPr>
      <w:r>
        <w:t xml:space="preserve">Pre-mortem</w:t>
      </w:r>
    </w:p>
    <w:p>
      <w:pPr>
        <w:spacing w:after="100"/>
      </w:pPr>
      <w:r>
        <w:t xml:space="preserve">Octubre de 2027: la acción ha perdido un 25 % y cotiza a ≈500 USD. El 4T26 fue bueno, pero la guía de 2027 pidió solo un 3-4 % orgánico y el BPA de 26,5 USD, por debajo de los 27,74 del consenso: la biotecnología frenó sus compras cuando los tipos siguieron altos, la bioproducción digirió inventarios otra vez y académico no se recuperó. A la vez, Thermo Fisher anunció otra compra a 8 veces ventas con deuda. El mercado, que pagaba 25x por la recuperación, bajó el PER del sector a 20x. El indicador que lo habría anticipado: el orgánico del 4T26 por debajo del 4 % guiado y la deuda neta por encima de 3,5 veces el EBITDA.</w:t>
      </w:r>
    </w:p>
    <w:p>
      <w:pPr>
        <w:pStyle w:val="Heading2"/>
      </w:pPr>
      <w:r>
        <w:t xml:space="preserve">Riesgo de inteligencia artificial</w:t>
      </w:r>
    </w:p>
    <w:p>
      <w:pPr>
        <w:spacing w:after="100"/>
      </w:pPr>
      <w:r>
        <w:rPr>
          <w:b/>
          <w:bCs/>
        </w:rPr>
        <w:t xml:space="preserve">Exposición:</w:t>
      </w:r>
      <w:r>
        <w:t xml:space="preserve"> Media · </w:t>
      </w:r>
      <w:r>
        <w:rPr>
          <w:b/>
          <w:bCs/>
        </w:rPr>
        <w:t xml:space="preserve">Sentido:</w:t>
      </w:r>
      <w:r>
        <w:t xml:space="preserve"> Mixto · </w:t>
      </w:r>
      <w:r>
        <w:rPr>
          <w:b/>
          <w:bCs/>
        </w:rPr>
        <w:t xml:space="preserve">Efecto en valor (3-5 años):</w:t>
      </w:r>
      <w:r>
        <w:t xml:space="preserve"> Entre −5 % y +5 % del valor a largo plazo; sin efecto en el objetivo a 12 meses.</w:t>
      </w:r>
    </w:p>
    <w:p>
      <w:pPr>
        <w:spacing w:after="100"/>
      </w:pPr>
      <w:r>
        <w:t xml:space="preserve">La IA puede reducir el número de experimentos y de pacientes de los ensayos clínicos, que son el volumen de Thermo Fisher (consumibles, PPD), pero también acelera el descubrimiento de fármacos, que multiplica las moléculas que pasan a desarrollo y fabricación. La empresa se coloca como proveedora de datos (Clario, plataformas digitales de ensayos) y de instrumentos con IA, y en la conferencia del 3T26 los analistas preguntaron por el efecto de la IA en la demanda sin que la dirección viera daño [12]. Los foros la ven como oportunidad de margen (software) [41]. Neto: mixto, sin cifra publicada.</w:t>
      </w:r>
    </w:p>
    <w:p>
      <w:pPr>
        <w:pStyle w:val="Heading1"/>
      </w:pPr>
      <w:r>
        <w:t xml:space="preserve">26. ESG y controversias</w:t>
      </w:r>
    </w:p>
    <w:p>
      <w:pPr>
        <w:pStyle w:val="Confianza"/>
        <w:spacing w:after="100"/>
      </w:pPr>
      <w:r>
        <w:t xml:space="preserve">Confianza: Baja</w:t>
      </w:r>
    </w:p>
    <w:p>
      <w:pPr>
        <w:spacing w:after="160" w:before="0"/>
      </w:pPr>
    </w:p>
    <w:p>
      <w:pPr>
        <w:pStyle w:val="Heading2"/>
      </w:pPr>
      <w:r>
        <w:t xml:space="preserve">Asuntos materiales</w:t>
      </w:r>
    </w:p>
    <w:p>
      <w:pPr>
        <w:spacing w:after="100"/>
      </w:pPr>
      <w:r>
        <w:t xml:space="preserve">Los asuntos con efecto en las cifras son tres. La calidad y la integridad de los productos: en mayo de 2026 investigadores denunciaron imágenes manipuladas en fichas de anticuerpos del catálogo, con riesgo reputacional en reactivos de investigación [24]. La exposición a China, ≈7,5 % de las ventas, con antecedentes de controversia por la venta de equipos de identificación genética a la policía china (dejó de vender en Xinjiang en 2019) [20, 24]. Y la gobernanza de la remuneración: la junta de 2026 rechazó el voto consultivo sobre la remuneración con un 68 % en contra [27].</w:t>
      </w:r>
    </w:p>
    <w:p>
      <w:pPr>
        <w:pStyle w:val="Heading2"/>
      </w:pPr>
      <w:r>
        <w:t xml:space="preserve">Controversias</w:t>
      </w:r>
    </w:p>
    <w:p>
      <w:pPr>
        <w:spacing w:after="100"/>
      </w:pPr>
      <w:r>
        <w:t xml:space="preserve">Mayo de 2026: denuncia de imágenes manipuladas en fichas de anticuerpos [24]. 2019-2021: ventas de kits de genotipado a la seguridad china y retirada de Xinjiang [24]. Litigios de responsabilidad de producto y heredados de compras, sin importes materiales declarados en el 10-K [1]. No se encontraron sanciones de reguladores en los últimos tres años en los documentos leídos.</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orgánico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qué el 4T26 se guía al 4 % orgánico tras el 6 % del 3T26: calendario de Patheon o demanda?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Decide si 2027 crece al 4,5-5 % del base o al 2-3 % del bajista.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Bioproducción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qué Ciencias de la vida solo creció un 1 % orgánico en el 3T26?</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segmento de mayor margen.</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Clario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crecimiento y margen tiene Clario en 2026 y qué parte de los pagos variables espera pagar?</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 pagó a ≈7 veces ventas; su rendimiento fija el ROIC de los próximos años.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Asignación de capital</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ROIC exige a una compra y cuál es el de PPD frente a lo pagado?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ROIC del grupo (9,0 %) no cubre el WACC.</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 mantienen los ≈50 pb al año de mejora del margen operativo ajustado en 2027-28 sin las devoluciones de aranceles?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medio punto de BPA al año.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Remuneración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¿Qué hará el consejo tras el segundo voto en contra (68 %)?</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Alerta de gobierno.</w:t>
            </w:r>
          </w:p>
        </w:tc>
      </w:tr>
    </w:tbl>
    <w:p>
      <w:pPr>
        <w:spacing w:after="160" w:before="0"/>
      </w:pPr>
    </w:p>
    <w:p>
      <w:pPr>
        <w:pStyle w:val="Heading1"/>
      </w:pPr>
      <w:r>
        <w:t xml:space="preserve">28. Sentimiento en foros y comentarios</w:t>
      </w:r>
    </w:p>
    <w:p>
      <w:pPr>
        <w:pStyle w:val="Confianza"/>
        <w:spacing w:after="100"/>
      </w:pPr>
      <w:r>
        <w:t xml:space="preserve">Confianza: Baja</w:t>
      </w:r>
    </w:p>
    <w:p>
      <w:pPr>
        <w:spacing w:after="100"/>
      </w:pPr>
      <w:r>
        <w:rPr>
          <w:b/>
          <w:bCs/>
        </w:rPr>
        <w:t xml:space="preserve">Tono:</w:t>
      </w:r>
      <w:r>
        <w:t xml:space="preserve"> Positivo · </w:t>
      </w:r>
      <w:r>
        <w:rPr>
          <w:b/>
          <w:bCs/>
        </w:rPr>
        <w:t xml:space="preserve">Tendencia:</w:t>
      </w:r>
      <w:r>
        <w:t xml:space="preserve"> Mejora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Stocktwits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30 mensajes más recientes (16 a 24 de octubre) celebran la ruptura del máximo de 694 USD y el nuevo máximo de 52 semanas tras el 3T26 («base breakout», «send it»); ninguno marcado como bajista. La acción abrió con una caída de más del 2 % el día de resultados y cerró en máximos; varios avisan de que la ruptura solo vale si el cierre se sostiene por encima del máximo anterior y alguien fija el «me equivoco» en un cierre bajo 673 USD [41].</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Seeking Alpha (artículos de inversores particulares)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Dos artículos del día de resultados son alcistas: «la recuperación es real y sigo comprando» y «ya no hace falta un microscopio para ver el crecimiento». El del 16 de octubre, antes de resultados, mantiene la recomendación de mantener: crecimiento fuerte, pero la cotización ha subido aún más [30].</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Seeking Alpha (agosto-septiembre)</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agosto la tesis dominante era la recuperación de la biofarma y las ganancias de cuota; en julio, «comprar antes de la recuperación». El consenso de particulares se ha movido de «barata y olvidada» a «recuperación confirmada» [30].</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MarketBeat (página de previsiones)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Neutro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«Moderate Buy» con 25 analistas (18 comprar, 2 compra fuerte, 4 mantener, 1 vender) y un objetivo medio de 681 USD, solo un 1 % por encima de la cotización: el precio ya ha alcanzado los objetivos de muchos analistas [34].</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TalkMarkets (vía Stocktwits)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Presenta a Thermo Fisher y Waters como beneficiarias de la rotación de dinero desde los valores de inteligencia artificial hacia la salud defensiva [41].</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¿La recuperación de la biofarma es real?</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orgánico pasó del 1 % en el 1T26 al 5 % en el 2T26 y al 6 % en el 3T26; la guía de BPA ajustado de 2026 se subió por tercera vez, a 25,13-25,43 USD [4, 5, 6].</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Valoración tras subir un 55 % desde mayo</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 673,82 USD paga ≈26,7x el BPA ajustado de 2026e de consenso (25,26 USD) y ≈24,3x el de 2027e (27,74 USD), en la parte alta de su historia limpia [33].</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Ruptura técnica del máximo de 694 USD</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cierre del 23 de octubre (673,82 USD) quedó por debajo del máximo de 52 semanas (705,79 USD): la ruptura no se ha sostenido de momento [32].</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Inteligencia artificial y software (plataforma de datos clínicos de Clario)</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Clario aporta ≈1.000 M de ingresos anuales; la empresa no desglosa ingresos de software ni de IA [4, 12].</w:t>
            </w:r>
          </w:p>
        </w:tc>
      </w:tr>
    </w:tbl>
    <w:p>
      <w:pPr>
        <w:spacing w:after="160" w:before="0"/>
      </w:pPr>
    </w:p>
    <w:p>
      <w:pPr>
        <w:spacing w:after="100"/>
      </w:pPr>
      <w:r>
        <w:t xml:space="preserve">Los foros han pasado del miedo de mayo a la euforia técnica de octubre: en Stocktwits ningún mensaje reciente es bajista y se celebra la ruptura del máximo de 694 USD, y en Seeking Alpha dos de tres artículos del día de resultados son de compra [30, 41]. Coincide con los analistas (23 de 27 en comprar) y con las subidas de objetivo [33]. Lo que aporta es la advertencia de precio: el objetivo medio de MarketBeat (681 USD) apenas supera la cotización y el artículo que mantiene la acción lo hace por valoración [30, 34]. El cierre del 23 de octubre (673,82 USD) volvió por debajo de la ruptura [32]. Es un sentimiento de valor caro en tendencia, no de oportunidad.</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20 de 23 controles correctos y 3 explicados. Fuentes: 42 (30 primarias); citas distintas en el texto: 42.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 efectivo razonable (2023)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4,5 %: explica la causa (créditos fiscales, regularizaciones, mezcla de países) y no lo proyectes en el DCF. Explicación: El 4,5 % de 2023 lleva la mezcla de beneficios en países de tipo bajo, créditos fiscales y regularizaciones, que la empresa detalla en la conciliación del tipo de su 10-K [2]; no se proyecta: el DCF usa un 12 % (el 11,5 % ajustado de la guía de 2026) que sube al 15 % del mínimo global en 2030e.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 efectivo razonable (2024)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9,3 %: explica la causa (créditos fiscales, regularizaciones, mezcla de países) y no lo proyectes en el DCF. Explicación: El 9,3 % refleja la mezcla internacional de beneficios y los créditos fiscales de la conciliación del tipo [1]; el DCF usa un 12-15 %.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Tipo impositivo efectivo razonable (2025)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7,5 %: explica la causa (créditos fiscales, regularizaciones, mezcla de países) y no lo proyectes en el DCF. Explicación: El 7,5 % lleva la mezcla de países y los créditos fiscales de la conciliación del tipo [1]; la guía ajustada de 2026 es del 11,5 % y el DCF sube al 15 % del mínimo global.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Veredicto de sostenibilidad del analista coherente con las pruebas del motor</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analista dice «Sí» y las pruebas del motor dan «Sí»: razónalo en la justificación.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implícita al final de la proyección ≤ 1,5 × la actual (o +10 puntos)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Cuota de 18,0 % en 2030e frente al 17,5 % de hoy.</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21,5 % frente a 21,7 % real: genera una variación de circulante de 649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59 %.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del BPA base ≤ 25 % anual desde el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42 fuentes (30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Datos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vida_media_anios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 de deuda del 10-K 2025 (tabla de bonos sin vida media); 2) 10-Q del 2T26; 3) cálculo con la tabla de vencimientos: el tramo 2031+ (23.366 M) no tiene años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calificaciones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de sostenibilidad y 10-K (no publican calificaciones de terceros); 2) proxy 2026; 3) páginas públicas de MSCI y Sustainalytics (requieren registro)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cr5_pct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10-K 2025 (no da cuotas); 2) día del inversor 2026 (solo el tamaño de 255.000 M); 3) IMARC (cuotas de pago)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tcac_historico_pct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IMARC (solo 2025-2034); 2) día del inversor (sin serie); 3) otros estudios con perímetros distintos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consejo.desde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proxy 2026 en texto (los años de entrada van en gráficos); 2) HTML del proxy (tablas sin la fecha); 3) 10-K 2025 (solo directivos)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directivos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historial_guidance 2021-2024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comunicados de resultados (la guía solo se da en la conferencia); 2) 10-K (sin guía); 3) transcripciones antiguas no accesibles sin registro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estimaciones 2028e y EBITDA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Stock Analysis (2028 y EBITDA de pago); 2) MarketBeat (solo BPA 2026-2027); 3) MarketScreener no consultado por la lección de datos viejos tras resultados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comparables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ev_ebitda_ntm</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Stock Analysis (EBITDA estimado de pago); 2) MarketBeat (sin EBITDA); 3) cálculo propio descartado por mezclar definiciones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Thermo Fisher Scientific, Form 10-K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Thermo Fisher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26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https://www.sec.gov/Archives/edgar/data/97745/000009774526000018/tmo-20251231.htm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Thermo Fisher Scientific, Form 10-K 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Thermo Fisher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22 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https://www.sec.gov/Archives/edgar/data/97745/000009774524000007/tmo-20231231.htm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Thermo Fisher Scientific, Form 10-K 2021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Thermo Fisher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feb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https://www.sec.gov/Archives/edgar/data/97745/000009774522000011/tmo-20211231.htm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Thermo Fisher Scientific Reports Third Quarter 2026 Results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Thermo Fisher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https://www.sec.gov/Archives/edgar/data/97745/000009774526000173/q32026earnings8kex99_1.htm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del segundo trimestre de 2026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Thermo Fisher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https://www.sec.gov/Archives/edgar/data/97745/000009774526000138/q22026earnings8kex99_1.htm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del primer trimestre de 2026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Thermo Fisher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https://www.sec.gov/Archives/edgar/data/97745/000009774526000086/q12026earnings8kex99_1.htm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del cuarto trimestre y del año 2025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Thermo Fisher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https://www.sec.gov/Archives/edgar/data/97745/000009774526000012/q42025earnings8kex99_1.htm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del tercer trimestre de 2025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Thermo Fisher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https://www.sec.gov/Archives/edgar/data/97745/000009774525000150/q32025earnings8kex99_1.htm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del segundo trimestre de 2025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Thermo Fisher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https://www.sec.gov/Archives/edgar/data/97745/000009774525000093/q22025earnings8kex99_1.htm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del primer trimestre de 2025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Thermo Fisher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https://www.sec.gov/Archives/edgar/data/97745/000009774525000034/q12025earnings8kex99_1.htm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del cuarto trimestre y del año 2024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Thermo Fisher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ene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https://www.sec.gov/Archives/edgar/data/97745/000009774525000003/q42024earnings8kex99_1.htm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Thermo Fisher (TMO) Q3 2026 Earnings Call Transcript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Motley Fool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https://www.fool.com/earnings/call-transcripts/2026/10/21/thermo-fisher-tmo-q3-2026-earnings-call-transcript/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Thermo Fisher Scientific, Form 10-Q del 2T26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Thermo Fisher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https://www.sec.gov/Archives/edgar/data/97745/000009774526000144/tmo-20260627.htm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Hechos XBRL de Thermo Fisher Scientific (companyfacts)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https://data.sec.gov/api/xbrl/companyfacts/CIK0000097745.json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del cuarto trimestre y del año 2019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Thermo Fisher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ene 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https://www.sec.gov/Archives/edgar/data/97745/000009774520000005/q419earnings8kex991.htm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del cuarto trimestre y del año 2020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Thermo Fisher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feb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https://www.sec.gov/Archives/edgar/data/97745/000009774521000006/q420earnings8kex99_1.htm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Thermo Fisher Scientific earnings: consenso y BPA publicado por trimestre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MarketBeat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https://www.marketbeat.com/stocks/NYSE/TMO/earnings/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Thermo Fisher (TMO) Q4 2025 Earnings Transcript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Motley Fool / AOL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https://www.aol.com/articles/thermo-fisher-tmo-q4-2025-150734948.html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Thermo Fisher Scientific, Form 10-K 2019</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Thermo Fisher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feb 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https://www.sec.gov/Archives/edgar/data/97745/000009774520000009/tmo-20191231.htm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TMO Q2 2026 Earnings Call Transcript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Mitrade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https://www.mitrade.com/au/insights/news/live-news/article-8-1930602-20260724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Hoja de condiciones de los bonos de febrero de 2026 (FWP)</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Thermo Fisher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https://www.sec.gov/Archives/edgar/data/97745/000114036126004445/ny20064939x2_fwp.htm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Thermo Fisher Scientific Highlights Industry Leadership, Growth Outlook and Long-Term Value Creation at 2026 Investor Day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Business Wire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https://www.businesswire.com/news/home/20260520211163/en/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Thermo Fisher Scientific, DEF 14A 2026 (proxy)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Thermo Fisher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https://www.sec.gov/Archives/edgar/data/97745/000119312526144585/d66426ddef14a.htm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Thermo Fisher Scientific (historia, adquisiciones y controversias)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Wikipedia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https://en.wikipedia.org/wiki/Thermo_Fisher_Scientific</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Life Science Tools Market Size, Share and Forecast 2026-2034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IMARC Group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https://www.imarcgroup.com/life-science-tools-market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Estadísticas de DHR, IQV, A, AVTR, WAT, MTD, CRL y BRKR (ingresos y margen operativo LTM)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 (S&amp;P Global)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https://stockanalysis.com/stocks/dhr/statistics/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resultados de la junta de accionistas del 20-may-2026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Thermo Fisher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https://www.sec.gov/Archives/edgar/data/97745/000009774526000117/tmo-20260520.htm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cambios en la dirección (Lagarde, Lowery, Pettiti, Shafer)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Thermo Fisher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https://www.sec.gov/Archives/edgar/data/97745/000114036126000871/ef20062683_8k.htm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jubilación de Stephen Williamson y nombramiento de James R. Meyer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Thermo Fisher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https://www.sec.gov/Archives/edgar/data/97745/000009774525000095/tmo-20250723.htm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Thermo Fisher projects 2026 adjusted EPS of $24.64-$25.12 (abril) y signals adjusted EPS of $24.93-$25.33 (julio)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https://seekingalpha.com/api/sa/combined/TMO.xml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4 de Thermo Fisher Scientific, 26-oct-2025 a 26-oct-2026 (herramientas/form4.mjs)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https://www.sec.gov/cgi-bin/browse-edgar?action=getcompany&amp;CIK=0000097745&amp;type=4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TMO, SPY y XLV (herramientas/bolsa.mjs y movimiento.mjs)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https://finance.yahoo.com/quote/TMO/history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Thermo Fisher (TMO) Statistics y Stock Forecast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 (S&amp;P Global)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https://stockanalysis.com/stocks/tmo/forecast/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Thermo Fisher Scientific forecast y earnings (consenso, objetivos)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MarketBeat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https://www.marketbeat.com/stocks/NYSE/TMO/forecast/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Noticias clasificadas de TMO, 12 meses (herramientas/noticias.mjs): RBC sube el objetivo a 730 USD; Redburn a 750 USD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 / TradingView</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https://finance.yahoo.com/quote/TMO/news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Thermo Fisher Stock Down 31% From Its 52-Week High Despite Raising Full-Year EPS Guidance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TIKR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https://www.tikr.com/blog/thermo-fisher-stock-down-31-from-its-52-week-high-despite-raising-full-year-eps-guidance-heres-what-happened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Thermo Fisher Scientific to Acquire Clario Holdings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Thermo Fisher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https://www.sec.gov/Archives/edgar/data/97745/000009774525000156/thermofisherscientifictoac.htm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Waters and BD's Biosciences &amp; Diagnostic Solutions business to combine (8-K de BD,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Becton Dickinson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https://www.sec.gov/Archives/edgar/data/10795/000119312525158404/d41030dex991.htm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acuerdo de compra de la filtración de Solventum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Thermo Fisher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https://www.sec.gov/Archives/edgar/data/97745/000009774525000016/tmo-20250225.htm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Daily Treasury Par Yield Curve Rates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 Department of the Treasury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https://home.treasury.gov/resource-center/data-chart-center/interest-rates/TextView?type=daily_treasury_yield_curve&amp;field_tdr_date_value=2026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Thermo Fisher (TMO): mensajes de la comunidad, 16-24 de octubre de 2026 (API de la página del valor)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Stocktwits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https://stocktwits.com/symbol/TMO</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 prima implícita del S&amp;P 500, T12m with sustainable payout, octubre de 2026 (4,20 %).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90,0 %</w:t>
      </w:r>
      <w:r>
        <w:t xml:space="preserve"> · Secciones con menos del 60 % de campos cubiertos: </w:t>
      </w:r>
      <w:r>
        <w:rPr>
          <w:b/>
          <w:bCs/>
        </w:rPr>
        <w:t xml:space="preserve">ninguna</w:t>
      </w:r>
      <w:r>
        <w:t xml:space="preserve"> · Generado el 26 oct 2026.</w:t>
      </w:r>
    </w:p>
    <w:p>
      <w:pPr>
        <w:pStyle w:val="Nota"/>
        <w:spacing w:after="100"/>
      </w:pPr>
      <w:r>
        <w:t xml:space="preserve">Cuentas de 2018-2025 del XBRL de la SEC (herramientas/cuentas.mjs), contrastadas con los 10-K de 2019, 2021, 2023 y 2025; trimestres y balance de septiembre de 2026 de los comunicados 8-K y del 10-Q del 2T26 (el 10-Q del 3T26 aún no estaba publicado). Conferencia del 3T26 leída entera (Motley Fool); la del 2T26, en resumen (Mitrade). Precio: cierre del viernes 23-oct-2026 (la sesión del lunes 26 no había abierto a la hora del corte). Acciones: 371 M diluidas medias del 3T26. El EBITDA del informe es el GAAP (EBIT + amortizaciones); el BPA del objetivo a 12 meses, su historia del PER y los comparables están en BPA AJUSTADO (sin amortización de intangibles comprados ni reestructuración), la base que usan la empresa y el mercado. No hemos encontrado la calificación crediticia en documentos de la empresa; Reddit y los artículos de Seeking Alpha no se pudieron leer enteros.</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26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Thermo Fisher Scientific Inc. (TMO)</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673,82</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Hoja1!$A$2:$A$9</c:f>
              <c:strCache>
                <c:ptCount val="8"/>
                <c:pt idx="0">
                  <c:v>Cotización 52 semanas (435,27 – 705,79)</c:v>
                </c:pt>
                <c:pt idx="1">
                  <c:v>Precio objetivo de los analistas (560,00 – 830,00)</c:v>
                </c:pt>
                <c:pt idx="2">
                  <c:v>Comparables: PER NTM (592,78 – 767,31)</c:v>
                </c:pt>
                <c:pt idx="3">
                  <c:v>Transacciones precedentes (EV/ventas) (336,91 – 684,70)</c:v>
                </c:pt>
                <c:pt idx="4">
                  <c:v>DCF (WACC y g ± 0,5) (306,79 – 428,47)</c:v>
                </c:pt>
                <c:pt idx="5">
                  <c:v>Escenarios (bajista – alcista) (272,94 – 410,97)</c:v>
                </c:pt>
                <c:pt idx="6">
                  <c:v>DCF con la prima implícita del mercado (4,2 %)</c:v>
                </c:pt>
                <c:pt idx="7">
                  <c:v>Precio actual (673,82)</c:v>
                </c:pt>
              </c:strCache>
            </c:strRef>
          </c:cat>
          <c:val>
            <c:numRef>
              <c:f>Hoja1!$B$2:$B$9</c:f>
              <c:numCache>
                <c:formatCode>#,##0</c:formatCode>
                <c:ptCount val="8"/>
                <c:pt idx="0">
                  <c:v>435.27</c:v>
                </c:pt>
                <c:pt idx="1">
                  <c:v>560</c:v>
                </c:pt>
                <c:pt idx="2">
                  <c:v>592.78</c:v>
                </c:pt>
                <c:pt idx="3">
                  <c:v>336.91</c:v>
                </c:pt>
                <c:pt idx="4">
                  <c:v>306.79</c:v>
                </c:pt>
                <c:pt idx="5">
                  <c:v>272.94</c:v>
                </c:pt>
                <c:pt idx="6">
                  <c:v>397.96</c:v>
                </c:pt>
                <c:pt idx="7">
                  <c:v>670.45</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7"/>
            <c:invertIfNegative val="0"/>
            <c:bubble3D val="0"/>
            <c:spPr>
              <a:solidFill>
                <a:srgbClr val="C9C8C2"/>
              </a:solidFill>
            </c:spPr>
          </c:dPt>
          <c:cat>
            <c:strRef>
              <c:f>Hoja1!$A$2:$A$9</c:f>
              <c:strCache>
                <c:ptCount val="8"/>
                <c:pt idx="0">
                  <c:v>Cotización 52 semanas (435,27 – 705,79)</c:v>
                </c:pt>
                <c:pt idx="1">
                  <c:v>Precio objetivo de los analistas (560,00 – 830,00)</c:v>
                </c:pt>
                <c:pt idx="2">
                  <c:v>Comparables: PER NTM (592,78 – 767,31)</c:v>
                </c:pt>
                <c:pt idx="3">
                  <c:v>Transacciones precedentes (EV/ventas) (336,91 – 684,70)</c:v>
                </c:pt>
                <c:pt idx="4">
                  <c:v>DCF (WACC y g ± 0,5) (306,79 – 428,47)</c:v>
                </c:pt>
                <c:pt idx="5">
                  <c:v>Escenarios (bajista – alcista) (272,94 – 410,97)</c:v>
                </c:pt>
                <c:pt idx="6">
                  <c:v>DCF con la prima implícita del mercado (4,2 %)</c:v>
                </c:pt>
                <c:pt idx="7">
                  <c:v>Precio actual (673,82)</c:v>
                </c:pt>
              </c:strCache>
            </c:strRef>
          </c:cat>
          <c:val>
            <c:numRef>
              <c:f>Hoja1!$C$2:$C$9</c:f>
              <c:numCache>
                <c:formatCode>#,##0</c:formatCode>
                <c:ptCount val="8"/>
                <c:pt idx="0">
                  <c:v>270.52</c:v>
                </c:pt>
                <c:pt idx="1">
                  <c:v>270</c:v>
                </c:pt>
                <c:pt idx="2">
                  <c:v>174.52999999999997</c:v>
                </c:pt>
                <c:pt idx="3">
                  <c:v>347.79</c:v>
                </c:pt>
                <c:pt idx="4">
                  <c:v>121.68</c:v>
                </c:pt>
                <c:pt idx="5">
                  <c:v>138.03000000000003</c:v>
                </c:pt>
                <c:pt idx="6">
                  <c:v>105.03000000000003</c:v>
                </c:pt>
                <c:pt idx="7">
                  <c:v>6.740000000000009</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20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(USD, millones)</a:t>
            </a:r>
          </a:p>
        </c:rich>
      </c:tx>
      <c:overlay val="0"/>
    </c:title>
    <c:autoTitleDeleted val="0"/>
    <c:plotArea>
      <c:layout/>
      <c:barChart>
        <c:barDir val="col"/>
        <c:grouping val="stacked"/>
        <c:varyColors val="0"/>
        <c:ser>
          <c:idx val="0"/>
          <c:order val="0"/>
          <c:tx>
            <c:strRef>
              <c:f>Hoja1!$B$1</c:f>
              <c:strCache>
                <c:ptCount val="1"/>
                <c:pt idx="0">
                  <c:v>Ciencias de la vida</c:v>
                </c:pt>
              </c:strCache>
            </c:strRef>
          </c:tx>
          <c:spPr>
            <a:solidFill>
              <a:srgbClr val="2A78D6"/>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15631</c:v>
                </c:pt>
                <c:pt idx="1">
                  <c:v>13532</c:v>
                </c:pt>
                <c:pt idx="2">
                  <c:v>9977</c:v>
                </c:pt>
                <c:pt idx="3">
                  <c:v>9631</c:v>
                </c:pt>
                <c:pt idx="4">
                  <c:v>10374</c:v>
                </c:pt>
              </c:numCache>
            </c:numRef>
          </c:val>
        </c:ser>
        <c:ser>
          <c:idx val="1"/>
          <c:order val="1"/>
          <c:tx>
            <c:strRef>
              <c:f>Hoja1!$C$1</c:f>
              <c:strCache>
                <c:ptCount val="1"/>
                <c:pt idx="0">
                  <c:v>Instrumentos analíticos</c:v>
                </c:pt>
              </c:strCache>
            </c:strRef>
          </c:tx>
          <c:spPr>
            <a:solidFill>
              <a:srgbClr val="EB6834"/>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6069</c:v>
                </c:pt>
                <c:pt idx="1">
                  <c:v>6624</c:v>
                </c:pt>
                <c:pt idx="2">
                  <c:v>7263</c:v>
                </c:pt>
                <c:pt idx="3">
                  <c:v>7463</c:v>
                </c:pt>
                <c:pt idx="4">
                  <c:v>7554</c:v>
                </c:pt>
              </c:numCache>
            </c:numRef>
          </c:val>
        </c:ser>
        <c:ser>
          <c:idx val="2"/>
          <c:order val="2"/>
          <c:tx>
            <c:strRef>
              <c:f>Hoja1!$D$1</c:f>
              <c:strCache>
                <c:ptCount val="1"/>
                <c:pt idx="0">
                  <c:v>Diagnóstico especializado</c:v>
                </c:pt>
              </c:strCache>
            </c:strRef>
          </c:tx>
          <c:spPr>
            <a:solidFill>
              <a:srgbClr val="1BAF7A"/>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Hoja1!$D$2:$D$6</c:f>
              <c:numCache>
                <c:formatCode>#,##0</c:formatCode>
                <c:ptCount val="5"/>
                <c:pt idx="0">
                  <c:v>5659</c:v>
                </c:pt>
                <c:pt idx="1">
                  <c:v>4763</c:v>
                </c:pt>
                <c:pt idx="2">
                  <c:v>4405</c:v>
                </c:pt>
                <c:pt idx="3">
                  <c:v>4512</c:v>
                </c:pt>
                <c:pt idx="4">
                  <c:v>4676</c:v>
                </c:pt>
              </c:numCache>
            </c:numRef>
          </c:val>
        </c:ser>
        <c:ser>
          <c:idx val="3"/>
          <c:order val="3"/>
          <c:tx>
            <c:strRef>
              <c:f>Hoja1!$E$1</c:f>
              <c:strCache>
                <c:ptCount val="1"/>
                <c:pt idx="0">
                  <c:v>Laboratorio y servicios biofarmacéuticos</c:v>
                </c:pt>
              </c:strCache>
            </c:strRef>
          </c:tx>
          <c:spPr>
            <a:solidFill>
              <a:srgbClr val="EDA100"/>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Hoja1!$E$2:$E$6</c:f>
              <c:numCache>
                <c:formatCode>#,##0</c:formatCode>
                <c:ptCount val="5"/>
                <c:pt idx="0">
                  <c:v>14862</c:v>
                </c:pt>
                <c:pt idx="1">
                  <c:v>22511</c:v>
                </c:pt>
                <c:pt idx="2">
                  <c:v>23041</c:v>
                </c:pt>
                <c:pt idx="3">
                  <c:v>23157</c:v>
                </c:pt>
                <c:pt idx="4">
                  <c:v>23984</c:v>
                </c:pt>
              </c:numCache>
            </c:numRef>
          </c:val>
        </c:ser>
        <c:ser>
          <c:idx val="4"/>
          <c:order val="4"/>
          <c:tx>
            <c:strRef>
              <c:f>Hoja1!$F$1</c:f>
              <c:strCache>
                <c:ptCount val="1"/>
                <c:pt idx="0">
                  <c:v>Eliminaciones</c:v>
                </c:pt>
              </c:strCache>
            </c:strRef>
          </c:tx>
          <c:spPr>
            <a:solidFill>
              <a:srgbClr val="E87BA4"/>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Hoja1!$F$2:$F$6</c:f>
              <c:numCache>
                <c:formatCode>#,##0</c:formatCode>
                <c:ptCount val="5"/>
                <c:pt idx="0">
                  <c:v>-3010</c:v>
                </c:pt>
                <c:pt idx="1">
                  <c:v>-2515</c:v>
                </c:pt>
                <c:pt idx="2">
                  <c:v>-1829</c:v>
                </c:pt>
                <c:pt idx="3">
                  <c:v>-1885</c:v>
                </c:pt>
                <c:pt idx="4">
                  <c:v>-2033</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Pt>
            <c:idx val="3"/>
            <c:bubble3D val="0"/>
            <c:spPr>
              <a:solidFill>
                <a:srgbClr val="EDA100"/>
              </a:solidFill>
              <a:ln w="19050">
                <a:solidFill>
                  <a:srgbClr val="FFFFFF"/>
                </a:solidFill>
              </a:ln>
            </c:spPr>
          </c:dPt>
          <c:dPt>
            <c:idx val="4"/>
            <c:bubble3D val="0"/>
            <c:spPr>
              <a:solidFill>
                <a:srgbClr val="E87BA4"/>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Hoja1!$A$2:$A$6</c:f>
              <c:strCache>
                <c:ptCount val="5"/>
                <c:pt idx="0">
                  <c:v>Ciencias de la vida</c:v>
                </c:pt>
                <c:pt idx="1">
                  <c:v>Instrumentos analíticos</c:v>
                </c:pt>
                <c:pt idx="2">
                  <c:v>Diagnóstico especializado</c:v>
                </c:pt>
                <c:pt idx="3">
                  <c:v>Laboratorio y servicios biofarmacéuticos</c:v>
                </c:pt>
                <c:pt idx="4">
                  <c:v>Eliminaciones</c:v>
                </c:pt>
              </c:strCache>
            </c:strRef>
          </c:cat>
          <c:val>
            <c:numRef>
              <c:f>Hoja1!$B$2:$B$6</c:f>
              <c:numCache>
                <c:formatCode>General</c:formatCode>
                <c:ptCount val="5"/>
                <c:pt idx="0">
                  <c:v>23.3</c:v>
                </c:pt>
                <c:pt idx="1">
                  <c:v>17</c:v>
                </c:pt>
                <c:pt idx="2">
                  <c:v>10.5</c:v>
                </c:pt>
                <c:pt idx="3">
                  <c:v>53.8</c:v>
                </c:pt>
                <c:pt idx="4">
                  <c:v>-4.6</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destino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Hoja1!$A$2:$A$3</c:f>
              <c:strCache>
                <c:ptCount val="2"/>
                <c:pt idx="0">
                  <c:v>Estados Unidos</c:v>
                </c:pt>
                <c:pt idx="1">
                  <c:v>Resto del mundo</c:v>
                </c:pt>
              </c:strCache>
            </c:strRef>
          </c:cat>
          <c:val>
            <c:numRef>
              <c:f>Hoja1!$B$2:$B$3</c:f>
              <c:numCache>
                <c:formatCode>0"%"</c:formatCode>
                <c:ptCount val="2"/>
                <c:pt idx="0">
                  <c:v>49.9</c:v>
                </c:pt>
                <c:pt idx="1">
                  <c:v>50.1</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USD (herramientas de ciencias de la vida, IMARC))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2025</c:v>
                </c:pt>
                <c:pt idx="1">
                  <c:v>2026e</c:v>
                </c:pt>
                <c:pt idx="2">
                  <c:v>2034e</c:v>
                </c:pt>
              </c:strCache>
            </c:strRef>
          </c:cat>
          <c:val>
            <c:numRef>
              <c:f>Hoja1!$B$2:$B$4</c:f>
              <c:numCache>
                <c:formatCode>#,##0</c:formatCode>
                <c:ptCount val="3"/>
                <c:pt idx="0">
                  <c:v>176300</c:v>
                </c:pt>
                <c:pt idx="1">
                  <c:v>188100</c:v>
                </c:pt>
                <c:pt idx="2">
                  <c:v>315100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3</c:v>
                </c:pt>
                <c:pt idx="1">
                  <c:v>3</c:v>
                </c:pt>
                <c:pt idx="2">
                  <c:v>2</c:v>
                </c:pt>
                <c:pt idx="3">
                  <c:v>2</c:v>
                </c:pt>
                <c:pt idx="4">
                  <c:v>2</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Pt>
            <c:idx val="8"/>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Hoja1!$A$2:$A$10</c:f>
              <c:strCache>
                <c:ptCount val="9"/>
                <c:pt idx="0">
                  <c:v>Thermo Fisher</c:v>
                </c:pt>
                <c:pt idx="1">
                  <c:v>Danaher</c:v>
                </c:pt>
                <c:pt idx="2">
                  <c:v>IQVIA</c:v>
                </c:pt>
                <c:pt idx="3">
                  <c:v>Agilent</c:v>
                </c:pt>
                <c:pt idx="4">
                  <c:v>Avantor</c:v>
                </c:pt>
                <c:pt idx="5">
                  <c:v>Waters</c:v>
                </c:pt>
                <c:pt idx="6">
                  <c:v>Mettler-Toledo</c:v>
                </c:pt>
                <c:pt idx="7">
                  <c:v>Charles River Laboratories</c:v>
                </c:pt>
                <c:pt idx="8">
                  <c:v>Bruker</c:v>
                </c:pt>
              </c:strCache>
            </c:strRef>
          </c:cat>
          <c:val>
            <c:numRef>
              <c:f>Hoja1!$B$2:$B$10</c:f>
              <c:numCache>
                <c:formatCode>0.0"%"</c:formatCode>
                <c:ptCount val="9"/>
                <c:pt idx="0">
                  <c:v>17.4</c:v>
                </c:pt>
                <c:pt idx="1">
                  <c:v>22</c:v>
                </c:pt>
                <c:pt idx="2">
                  <c:v>14</c:v>
                </c:pt>
                <c:pt idx="3">
                  <c:v>24.5</c:v>
                </c:pt>
                <c:pt idx="4">
                  <c:v>8</c:v>
                </c:pt>
                <c:pt idx="5">
                  <c:v>18.1</c:v>
                </c:pt>
                <c:pt idx="6">
                  <c:v>28.9</c:v>
                </c:pt>
                <c:pt idx="7">
                  <c:v>12.4</c:v>
                </c:pt>
                <c:pt idx="8">
                  <c:v>8.9</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1</c:v>
                </c:pt>
                <c:pt idx="1">
                  <c:v>4</c:v>
                </c:pt>
                <c:pt idx="2">
                  <c:v>3</c:v>
                </c:pt>
                <c:pt idx="3">
                  <c:v>3</c:v>
                </c:pt>
                <c:pt idx="4">
                  <c:v>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(USD,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Hoja1!$A$2:$A$19</c:f>
              <c:strCache>
                <c:ptCount val="18"/>
                <c:pt idx="0">
                  <c:v>2018</c:v>
                </c:pt>
                <c:pt idx="1">
                  <c:v>2019</c:v>
                </c:pt>
                <c:pt idx="2">
                  <c:v>2020</c:v>
                </c:pt>
                <c:pt idx="3">
                  <c:v>2021</c:v>
                </c:pt>
                <c:pt idx="4">
                  <c:v>2022</c:v>
                </c:pt>
                <c:pt idx="5">
                  <c:v>2023</c:v>
                </c:pt>
                <c:pt idx="6">
                  <c:v>2024</c:v>
                </c:pt>
                <c:pt idx="7">
                  <c:v>2025</c:v>
                </c:pt>
                <c:pt idx="8">
                  <c:v>2026e</c:v>
                </c:pt>
                <c:pt idx="9">
                  <c:v>2027e</c:v>
                </c:pt>
                <c:pt idx="10">
                  <c:v>2028e</c:v>
                </c:pt>
                <c:pt idx="11">
                  <c:v>2029e</c:v>
                </c:pt>
                <c:pt idx="12">
                  <c:v>2030e</c:v>
                </c:pt>
                <c:pt idx="13">
                  <c:v>2031e</c:v>
                </c:pt>
                <c:pt idx="14">
                  <c:v>2032e</c:v>
                </c:pt>
                <c:pt idx="15">
                  <c:v>2033e</c:v>
                </c:pt>
                <c:pt idx="16">
                  <c:v>2034e</c:v>
                </c:pt>
                <c:pt idx="17">
                  <c:v>2035e</c:v>
                </c:pt>
              </c:strCache>
            </c:strRef>
          </c:cat>
          <c:val>
            <c:numRef>
              <c:f>Hoja1!$B$2:$B$19</c:f>
              <c:numCache>
                <c:formatCode>#,##0</c:formatCode>
                <c:ptCount val="18"/>
                <c:pt idx="0">
                  <c:v>24358</c:v>
                </c:pt>
                <c:pt idx="1">
                  <c:v>25542</c:v>
                </c:pt>
                <c:pt idx="2">
                  <c:v>32218</c:v>
                </c:pt>
                <c:pt idx="3">
                  <c:v>39211</c:v>
                </c:pt>
                <c:pt idx="4">
                  <c:v>44915</c:v>
                </c:pt>
                <c:pt idx="5">
                  <c:v>42857</c:v>
                </c:pt>
                <c:pt idx="6">
                  <c:v>42879</c:v>
                </c:pt>
                <c:pt idx="7">
                  <c:v>44556</c:v>
                </c:pt>
                <c:pt idx="8">
                  <c:v>47942</c:v>
                </c:pt>
                <c:pt idx="9">
                  <c:v>50579</c:v>
                </c:pt>
                <c:pt idx="10">
                  <c:v>53614</c:v>
                </c:pt>
                <c:pt idx="11">
                  <c:v>56563</c:v>
                </c:pt>
                <c:pt idx="12">
                  <c:v>59391</c:v>
                </c:pt>
                <c:pt idx="13">
                  <c:v>62063</c:v>
                </c:pt>
                <c:pt idx="14">
                  <c:v>64546</c:v>
                </c:pt>
                <c:pt idx="15">
                  <c:v>66805</c:v>
                </c:pt>
                <c:pt idx="16">
                  <c:v>68809</c:v>
                </c:pt>
                <c:pt idx="17">
                  <c:v>70873</c:v>
                </c:pt>
              </c:numCache>
            </c:numRef>
          </c:val>
        </c:ser>
        <c:ser>
          <c:idx val="1"/>
          <c:order val="1"/>
          <c:tx>
            <c:strRef>
              <c:f>Hoja1!$C$1</c:f>
              <c:strCache>
                <c:ptCount val="1"/>
                <c:pt idx="0">
                  <c:v>EBITDA</c:v>
                </c:pt>
              </c:strCache>
            </c:strRef>
          </c:tx>
          <c:spPr>
            <a:solidFill>
              <a:srgbClr val="EB6834"/>
            </a:solidFill>
            <a:ln w="9525">
              <a:noFill/>
            </a:ln>
          </c:spPr>
          <c:invertIfNegative val="0"/>
          <c:cat>
            <c:strRef>
              <c:f>Hoja1!$A$2:$A$19</c:f>
              <c:strCache>
                <c:ptCount val="18"/>
                <c:pt idx="0">
                  <c:v>2018</c:v>
                </c:pt>
                <c:pt idx="1">
                  <c:v>2019</c:v>
                </c:pt>
                <c:pt idx="2">
                  <c:v>2020</c:v>
                </c:pt>
                <c:pt idx="3">
                  <c:v>2021</c:v>
                </c:pt>
                <c:pt idx="4">
                  <c:v>2022</c:v>
                </c:pt>
                <c:pt idx="5">
                  <c:v>2023</c:v>
                </c:pt>
                <c:pt idx="6">
                  <c:v>2024</c:v>
                </c:pt>
                <c:pt idx="7">
                  <c:v>2025</c:v>
                </c:pt>
                <c:pt idx="8">
                  <c:v>2026e</c:v>
                </c:pt>
                <c:pt idx="9">
                  <c:v>2027e</c:v>
                </c:pt>
                <c:pt idx="10">
                  <c:v>2028e</c:v>
                </c:pt>
                <c:pt idx="11">
                  <c:v>2029e</c:v>
                </c:pt>
                <c:pt idx="12">
                  <c:v>2030e</c:v>
                </c:pt>
                <c:pt idx="13">
                  <c:v>2031e</c:v>
                </c:pt>
                <c:pt idx="14">
                  <c:v>2032e</c:v>
                </c:pt>
                <c:pt idx="15">
                  <c:v>2033e</c:v>
                </c:pt>
                <c:pt idx="16">
                  <c:v>2034e</c:v>
                </c:pt>
                <c:pt idx="17">
                  <c:v>2035e</c:v>
                </c:pt>
              </c:strCache>
            </c:strRef>
          </c:cat>
          <c:val>
            <c:numRef>
              <c:f>Hoja1!$C$2:$C$19</c:f>
              <c:numCache>
                <c:formatCode>#,##0</c:formatCode>
                <c:ptCount val="18"/>
                <c:pt idx="0">
                  <c:v>6050</c:v>
                </c:pt>
                <c:pt idx="1">
                  <c:v>6871</c:v>
                </c:pt>
                <c:pt idx="2">
                  <c:v>10119</c:v>
                </c:pt>
                <c:pt idx="3">
                  <c:v>12620</c:v>
                </c:pt>
                <c:pt idx="4">
                  <c:v>11774</c:v>
                </c:pt>
                <c:pt idx="5">
                  <c:v>10265</c:v>
                </c:pt>
                <c:pt idx="6">
                  <c:v>10445</c:v>
                </c:pt>
                <c:pt idx="7">
                  <c:v>10526</c:v>
                </c:pt>
                <c:pt idx="8">
                  <c:v>11890</c:v>
                </c:pt>
                <c:pt idx="9">
                  <c:v>12797</c:v>
                </c:pt>
                <c:pt idx="10">
                  <c:v>13832</c:v>
                </c:pt>
                <c:pt idx="11">
                  <c:v>14819</c:v>
                </c:pt>
                <c:pt idx="12">
                  <c:v>15739</c:v>
                </c:pt>
                <c:pt idx="13">
                  <c:v>16447</c:v>
                </c:pt>
                <c:pt idx="14">
                  <c:v>17105</c:v>
                </c:pt>
                <c:pt idx="15">
                  <c:v>17703</c:v>
                </c:pt>
                <c:pt idx="16">
                  <c:v>18234</c:v>
                </c:pt>
                <c:pt idx="17">
                  <c:v>18781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Hoja1!$B$2:$B$9</c:f>
              <c:numCache>
                <c:formatCode>0"%"</c:formatCode>
                <c:ptCount val="8"/>
                <c:pt idx="0">
                  <c:v>44.6</c:v>
                </c:pt>
                <c:pt idx="1">
                  <c:v>44.4</c:v>
                </c:pt>
                <c:pt idx="2">
                  <c:v>49.7</c:v>
                </c:pt>
                <c:pt idx="3">
                  <c:v>50.1</c:v>
                </c:pt>
                <c:pt idx="4">
                  <c:v>42.2</c:v>
                </c:pt>
                <c:pt idx="5">
                  <c:v>39.9</c:v>
                </c:pt>
                <c:pt idx="6">
                  <c:v>41.3</c:v>
                </c:pt>
                <c:pt idx="7">
                  <c:v>40.9</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Hoja1!$C$2:$C$9</c:f>
              <c:numCache>
                <c:formatCode>0"%"</c:formatCode>
                <c:ptCount val="8"/>
                <c:pt idx="0">
                  <c:v>24.8</c:v>
                </c:pt>
                <c:pt idx="1">
                  <c:v>26.9</c:v>
                </c:pt>
                <c:pt idx="2">
                  <c:v>31.4</c:v>
                </c:pt>
                <c:pt idx="3">
                  <c:v>32.2</c:v>
                </c:pt>
                <c:pt idx="4">
                  <c:v>26.2</c:v>
                </c:pt>
                <c:pt idx="5">
                  <c:v>24</c:v>
                </c:pt>
                <c:pt idx="6">
                  <c:v>24.4</c:v>
                </c:pt>
                <c:pt idx="7">
                  <c:v>23.6</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Hoja1!$D$2:$D$9</c:f>
              <c:numCache>
                <c:formatCode>0"%"</c:formatCode>
                <c:ptCount val="8"/>
                <c:pt idx="0">
                  <c:v>15.5</c:v>
                </c:pt>
                <c:pt idx="1">
                  <c:v>18</c:v>
                </c:pt>
                <c:pt idx="2">
                  <c:v>24.2</c:v>
                </c:pt>
                <c:pt idx="3">
                  <c:v>25.6</c:v>
                </c:pt>
                <c:pt idx="4">
                  <c:v>18.7</c:v>
                </c:pt>
                <c:pt idx="5">
                  <c:v>16</c:v>
                </c:pt>
                <c:pt idx="6">
                  <c:v>17.1</c:v>
                </c:pt>
                <c:pt idx="7">
                  <c:v>17.4</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Hoja1!$E$2:$E$9</c:f>
              <c:numCache>
                <c:formatCode>0"%"</c:formatCode>
                <c:ptCount val="8"/>
                <c:pt idx="0">
                  <c:v>12.1</c:v>
                </c:pt>
                <c:pt idx="1">
                  <c:v>14.5</c:v>
                </c:pt>
                <c:pt idx="2">
                  <c:v>19.8</c:v>
                </c:pt>
                <c:pt idx="3">
                  <c:v>19.7</c:v>
                </c:pt>
                <c:pt idx="4">
                  <c:v>15.5</c:v>
                </c:pt>
                <c:pt idx="5">
                  <c:v>14</c:v>
                </c:pt>
                <c:pt idx="6">
                  <c:v>14.8</c:v>
                </c:pt>
                <c:pt idx="7">
                  <c:v>15</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Hoja1!$A$2:$A$9</c:f>
              <c:strCache>
                <c:ptCount val="8"/>
                <c:pt idx="0">
                  <c:v>4T24</c:v>
                </c:pt>
                <c:pt idx="1">
                  <c:v>1T25</c:v>
                </c:pt>
                <c:pt idx="2">
                  <c:v>2T25</c:v>
                </c:pt>
                <c:pt idx="3">
                  <c:v>3T25</c:v>
                </c:pt>
                <c:pt idx="4">
                  <c:v>4T25</c:v>
                </c:pt>
                <c:pt idx="5">
                  <c:v>1T26</c:v>
                </c:pt>
                <c:pt idx="6">
                  <c:v>2T26</c:v>
                </c:pt>
                <c:pt idx="7">
                  <c:v>3T26</c:v>
                </c:pt>
              </c:strCache>
            </c:strRef>
          </c:cat>
          <c:val>
            <c:numRef>
              <c:f>Hoja1!$B$2:$B$9</c:f>
              <c:numCache>
                <c:formatCode>0.0"%"</c:formatCode>
                <c:ptCount val="8"/>
                <c:pt idx="0">
                  <c:v>4.7</c:v>
                </c:pt>
                <c:pt idx="1">
                  <c:v>0.2</c:v>
                </c:pt>
                <c:pt idx="2">
                  <c:v>3</c:v>
                </c:pt>
                <c:pt idx="3">
                  <c:v>4.9</c:v>
                </c:pt>
                <c:pt idx="4">
                  <c:v>7.2</c:v>
                </c:pt>
                <c:pt idx="5">
                  <c:v>6.2</c:v>
                </c:pt>
                <c:pt idx="6">
                  <c:v>10.5</c:v>
                </c:pt>
                <c:pt idx="7">
                  <c:v>9.1</c:v>
                </c:pt>
              </c:numCache>
            </c:numRef>
          </c:val>
        </c:ser>
        <c:ser>
          <c:idx val="1"/>
          <c:order val="1"/>
          <c:tx>
            <c:strRef>
              <c:f>Hoja1!$C$1</c:f>
              <c:strCache>
                <c:ptCount val="1"/>
                <c:pt idx="0">
                  <c:v>Orgánico</c:v>
                </c:pt>
              </c:strCache>
            </c:strRef>
          </c:tx>
          <c:spPr>
            <a:solidFill>
              <a:srgbClr val="EB6834"/>
            </a:solidFill>
            <a:ln w="9525">
              <a:noFill/>
            </a:ln>
          </c:spPr>
          <c:invertIfNegative val="0"/>
          <c:cat>
            <c:strRef>
              <c:f>Hoja1!$A$2:$A$9</c:f>
              <c:strCache>
                <c:ptCount val="8"/>
                <c:pt idx="0">
                  <c:v>4T24</c:v>
                </c:pt>
                <c:pt idx="1">
                  <c:v>1T25</c:v>
                </c:pt>
                <c:pt idx="2">
                  <c:v>2T25</c:v>
                </c:pt>
                <c:pt idx="3">
                  <c:v>3T25</c:v>
                </c:pt>
                <c:pt idx="4">
                  <c:v>4T25</c:v>
                </c:pt>
                <c:pt idx="5">
                  <c:v>1T26</c:v>
                </c:pt>
                <c:pt idx="6">
                  <c:v>2T26</c:v>
                </c:pt>
                <c:pt idx="7">
                  <c:v>3T26</c:v>
                </c:pt>
              </c:strCache>
            </c:strRef>
          </c:cat>
          <c:val>
            <c:numRef>
              <c:f>Hoja1!$C$2:$C$9</c:f>
              <c:numCache>
                <c:formatCode>0.0"%"</c:formatCode>
                <c:ptCount val="8"/>
                <c:pt idx="0">
                  <c:v>4</c:v>
                </c:pt>
                <c:pt idx="1">
                  <c:v>1</c:v>
                </c:pt>
                <c:pt idx="2">
                  <c:v>2</c:v>
                </c:pt>
                <c:pt idx="3">
                  <c:v>3</c:v>
                </c:pt>
                <c:pt idx="4">
                  <c:v>3</c:v>
                </c:pt>
                <c:pt idx="5">
                  <c:v>1</c:v>
                </c:pt>
                <c:pt idx="6">
                  <c:v>5</c:v>
                </c:pt>
                <c:pt idx="7">
                  <c:v>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Hoja1!$B$2:$B$9</c:f>
              <c:numCache>
                <c:formatCode>0</c:formatCode>
                <c:ptCount val="8"/>
                <c:pt idx="0">
                  <c:v>62</c:v>
                </c:pt>
                <c:pt idx="1">
                  <c:v>62</c:v>
                </c:pt>
                <c:pt idx="2">
                  <c:v>65</c:v>
                </c:pt>
                <c:pt idx="3">
                  <c:v>74</c:v>
                </c:pt>
                <c:pt idx="4">
                  <c:v>66</c:v>
                </c:pt>
                <c:pt idx="5">
                  <c:v>70</c:v>
                </c:pt>
                <c:pt idx="6">
                  <c:v>70</c:v>
                </c:pt>
                <c:pt idx="7">
                  <c:v>73</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Hoja1!$C$2:$C$9</c:f>
              <c:numCache>
                <c:formatCode>0</c:formatCode>
                <c:ptCount val="8"/>
                <c:pt idx="0">
                  <c:v>81</c:v>
                </c:pt>
                <c:pt idx="1">
                  <c:v>87</c:v>
                </c:pt>
                <c:pt idx="2">
                  <c:v>91</c:v>
                </c:pt>
                <c:pt idx="3">
                  <c:v>94</c:v>
                </c:pt>
                <c:pt idx="4">
                  <c:v>79</c:v>
                </c:pt>
                <c:pt idx="5">
                  <c:v>72</c:v>
                </c:pt>
                <c:pt idx="6">
                  <c:v>72</c:v>
                </c:pt>
                <c:pt idx="7">
                  <c:v>75</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Hoja1!$D$2:$D$9</c:f>
              <c:numCache>
                <c:formatCode>0</c:formatCode>
                <c:ptCount val="8"/>
                <c:pt idx="0">
                  <c:v>44</c:v>
                </c:pt>
                <c:pt idx="1">
                  <c:v>49</c:v>
                </c:pt>
                <c:pt idx="2">
                  <c:v>49</c:v>
                </c:pt>
                <c:pt idx="3">
                  <c:v>53</c:v>
                </c:pt>
                <c:pt idx="4">
                  <c:v>48</c:v>
                </c:pt>
                <c:pt idx="5">
                  <c:v>41</c:v>
                </c:pt>
                <c:pt idx="6">
                  <c:v>45</c:v>
                </c:pt>
                <c:pt idx="7">
                  <c:v>50</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(USD,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Hoja1!$A$2:$A$9</c:f>
              <c:strCache>
                <c:ptCount val="8"/>
                <c:pt idx="0">
                  <c:v>2018</c:v>
                </c:pt>
                <c:pt idx="1">
                  <c:v>2019</c:v>
                </c:pt>
                <c:pt idx="2">
                  <c:v>2020</c:v>
                </c:pt>
                <c:pt idx="3">
                  <c:v>2021</c:v>
                </c:pt>
                <c:pt idx="4">
                  <c:v>2022</c:v>
                </c:pt>
                <c:pt idx="5">
                  <c:v>2023</c:v>
                </c:pt>
                <c:pt idx="6">
                  <c:v>2024</c:v>
                </c:pt>
                <c:pt idx="7">
                  <c:v>2025</c:v>
                </c:pt>
              </c:strCache>
            </c:strRef>
          </c:cat>
          <c:val>
            <c:numRef>
              <c:f>Hoja1!$B$2:$B$9</c:f>
              <c:numCache>
                <c:formatCode>#,##0</c:formatCode>
                <c:ptCount val="8"/>
                <c:pt idx="0">
                  <c:v>3785</c:v>
                </c:pt>
                <c:pt idx="1">
                  <c:v>4047</c:v>
                </c:pt>
                <c:pt idx="2">
                  <c:v>6815</c:v>
                </c:pt>
                <c:pt idx="3">
                  <c:v>6789</c:v>
                </c:pt>
                <c:pt idx="4">
                  <c:v>6911</c:v>
                </c:pt>
                <c:pt idx="5">
                  <c:v>6927</c:v>
                </c:pt>
                <c:pt idx="6">
                  <c:v>7267</c:v>
                </c:pt>
                <c:pt idx="7">
                  <c:v>6293</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Hoja1!$A$2:$A$9</c:f>
              <c:strCache>
                <c:ptCount val="8"/>
                <c:pt idx="0">
                  <c:v>2018</c:v>
                </c:pt>
                <c:pt idx="1">
                  <c:v>2019</c:v>
                </c:pt>
                <c:pt idx="2">
                  <c:v>2020</c:v>
                </c:pt>
                <c:pt idx="3">
                  <c:v>2021</c:v>
                </c:pt>
                <c:pt idx="4">
                  <c:v>2022</c:v>
                </c:pt>
                <c:pt idx="5">
                  <c:v>2023</c:v>
                </c:pt>
                <c:pt idx="6">
                  <c:v>2024</c:v>
                </c:pt>
                <c:pt idx="7">
                  <c:v>2025</c:v>
                </c:pt>
              </c:strCache>
            </c:strRef>
          </c:cat>
          <c:val>
            <c:numRef>
              <c:f>Hoja1!$C$2:$C$9</c:f>
              <c:numCache>
                <c:formatCode>#,##0</c:formatCode>
                <c:ptCount val="8"/>
                <c:pt idx="0">
                  <c:v>2938</c:v>
                </c:pt>
                <c:pt idx="1">
                  <c:v>3696</c:v>
                </c:pt>
                <c:pt idx="2">
                  <c:v>6375</c:v>
                </c:pt>
                <c:pt idx="3">
                  <c:v>7725</c:v>
                </c:pt>
                <c:pt idx="4">
                  <c:v>6950</c:v>
                </c:pt>
                <c:pt idx="5">
                  <c:v>5995</c:v>
                </c:pt>
                <c:pt idx="6">
                  <c:v>6335</c:v>
                </c:pt>
                <c:pt idx="7">
                  <c:v>6704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Hoja1!$B$2:$B$9</c:f>
              <c:numCache>
                <c:formatCode>0"%"</c:formatCode>
                <c:ptCount val="8"/>
                <c:pt idx="0">
                  <c:v>7.7</c:v>
                </c:pt>
                <c:pt idx="1">
                  <c:v>9.3</c:v>
                </c:pt>
                <c:pt idx="2">
                  <c:v>15.1</c:v>
                </c:pt>
                <c:pt idx="3">
                  <c:v>15</c:v>
                </c:pt>
                <c:pt idx="4">
                  <c:v>10.8</c:v>
                </c:pt>
                <c:pt idx="5">
                  <c:v>9.1</c:v>
                </c:pt>
                <c:pt idx="6">
                  <c:v>8.8</c:v>
                </c:pt>
                <c:pt idx="7">
                  <c:v>9</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Hoja1!$C$2:$C$9</c:f>
              <c:numCache>
                <c:formatCode>0"%"</c:formatCode>
                <c:ptCount val="8"/>
                <c:pt idx="0">
                  <c:v>9.2</c:v>
                </c:pt>
                <c:pt idx="1">
                  <c:v>9.2</c:v>
                </c:pt>
                <c:pt idx="2">
                  <c:v>9.2</c:v>
                </c:pt>
                <c:pt idx="3">
                  <c:v>9.2</c:v>
                </c:pt>
                <c:pt idx="4">
                  <c:v>9.2</c:v>
                </c:pt>
                <c:pt idx="5">
                  <c:v>9.2</c:v>
                </c:pt>
                <c:pt idx="6">
                  <c:v>9.2</c:v>
                </c:pt>
                <c:pt idx="7">
                  <c:v>9.2</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Hoja1!$D$2:$D$9</c:f>
              <c:numCache>
                <c:formatCode>0"%"</c:formatCode>
                <c:ptCount val="8"/>
                <c:pt idx="0">
                  <c:v>10.7</c:v>
                </c:pt>
                <c:pt idx="1">
                  <c:v>12.9</c:v>
                </c:pt>
                <c:pt idx="2">
                  <c:v>19.9</c:v>
                </c:pt>
                <c:pt idx="3">
                  <c:v>20.5</c:v>
                </c:pt>
                <c:pt idx="4">
                  <c:v>16.4</c:v>
                </c:pt>
                <c:pt idx="5">
                  <c:v>13.2</c:v>
                </c:pt>
                <c:pt idx="6">
                  <c:v>13.2</c:v>
                </c:pt>
                <c:pt idx="7">
                  <c:v>13</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2018</c:v>
                </c:pt>
                <c:pt idx="1">
                  <c:v>2019</c:v>
                </c:pt>
                <c:pt idx="2">
                  <c:v>2020</c:v>
                </c:pt>
                <c:pt idx="3">
                  <c:v>2021</c:v>
                </c:pt>
                <c:pt idx="4">
                  <c:v>2022</c:v>
                </c:pt>
                <c:pt idx="5">
                  <c:v>2023</c:v>
                </c:pt>
                <c:pt idx="6">
                  <c:v>2024</c:v>
                </c:pt>
                <c:pt idx="7">
                  <c:v>2025</c:v>
                </c:pt>
              </c:strCache>
            </c:strRef>
          </c:cat>
          <c:val>
            <c:numRef>
              <c:f>Hoja1!$B$2:$B$9</c:f>
              <c:numCache>
                <c:formatCode>0.0"x"</c:formatCode>
                <c:ptCount val="8"/>
                <c:pt idx="0">
                  <c:v>2.79</c:v>
                </c:pt>
                <c:pt idx="1">
                  <c:v>2.23</c:v>
                </c:pt>
                <c:pt idx="2">
                  <c:v>1.13</c:v>
                </c:pt>
                <c:pt idx="3">
                  <c:v>2.41</c:v>
                </c:pt>
                <c:pt idx="4">
                  <c:v>2.21</c:v>
                </c:pt>
                <c:pt idx="5">
                  <c:v>2.61</c:v>
                </c:pt>
                <c:pt idx="6">
                  <c:v>2.61</c:v>
                </c:pt>
                <c:pt idx="7">
                  <c:v>2.81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(USD,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2026</c:v>
                </c:pt>
                <c:pt idx="1">
                  <c:v>2027</c:v>
                </c:pt>
                <c:pt idx="2">
                  <c:v>2028</c:v>
                </c:pt>
                <c:pt idx="3">
                  <c:v>2029</c:v>
                </c:pt>
                <c:pt idx="4">
                  <c:v>2030</c:v>
                </c:pt>
                <c:pt idx="5">
                  <c:v>2031+</c:v>
                </c:pt>
              </c:strCache>
            </c:strRef>
          </c:cat>
          <c:val>
            <c:numRef>
              <c:f>Hoja1!$B$2:$B$7</c:f>
              <c:numCache>
                <c:formatCode>#,##0</c:formatCode>
                <c:ptCount val="6"/>
                <c:pt idx="0">
                  <c:v>3528</c:v>
                </c:pt>
                <c:pt idx="1">
                  <c:v>3254</c:v>
                </c:pt>
                <c:pt idx="2">
                  <c:v>3057</c:v>
                </c:pt>
                <c:pt idx="3">
                  <c:v>3150</c:v>
                </c:pt>
                <c:pt idx="4">
                  <c:v>3105</c:v>
                </c:pt>
                <c:pt idx="5">
                  <c:v>23366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(USD,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Hoja1!$A$2:$A$9</c:f>
              <c:strCache>
                <c:ptCount val="8"/>
                <c:pt idx="0">
                  <c:v>2018</c:v>
                </c:pt>
                <c:pt idx="1">
                  <c:v>2019</c:v>
                </c:pt>
                <c:pt idx="2">
                  <c:v>2020</c:v>
                </c:pt>
                <c:pt idx="3">
                  <c:v>2021</c:v>
                </c:pt>
                <c:pt idx="4">
                  <c:v>2022</c:v>
                </c:pt>
                <c:pt idx="5">
                  <c:v>2023</c:v>
                </c:pt>
                <c:pt idx="6">
                  <c:v>2024</c:v>
                </c:pt>
                <c:pt idx="7">
                  <c:v>2025</c:v>
                </c:pt>
              </c:strCache>
            </c:strRef>
          </c:cat>
          <c:val>
            <c:numRef>
              <c:f>Hoja1!$B$2:$B$9</c:f>
              <c:numCache>
                <c:formatCode>#,##0</c:formatCode>
                <c:ptCount val="8"/>
                <c:pt idx="0">
                  <c:v>536</c:v>
                </c:pt>
                <c:pt idx="1">
                  <c:v>1843</c:v>
                </c:pt>
                <c:pt idx="2">
                  <c:v>38</c:v>
                </c:pt>
                <c:pt idx="3">
                  <c:v>19395</c:v>
                </c:pt>
                <c:pt idx="4">
                  <c:v>39</c:v>
                </c:pt>
                <c:pt idx="5">
                  <c:v>3660</c:v>
                </c:pt>
                <c:pt idx="6">
                  <c:v>3132</c:v>
                </c:pt>
                <c:pt idx="7">
                  <c:v>4037</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Hoja1!$A$2:$A$9</c:f>
              <c:strCache>
                <c:ptCount val="8"/>
                <c:pt idx="0">
                  <c:v>2018</c:v>
                </c:pt>
                <c:pt idx="1">
                  <c:v>2019</c:v>
                </c:pt>
                <c:pt idx="2">
                  <c:v>2020</c:v>
                </c:pt>
                <c:pt idx="3">
                  <c:v>2021</c:v>
                </c:pt>
                <c:pt idx="4">
                  <c:v>2022</c:v>
                </c:pt>
                <c:pt idx="5">
                  <c:v>2023</c:v>
                </c:pt>
                <c:pt idx="6">
                  <c:v>2024</c:v>
                </c:pt>
                <c:pt idx="7">
                  <c:v>2025</c:v>
                </c:pt>
              </c:strCache>
            </c:strRef>
          </c:cat>
          <c:val>
            <c:numRef>
              <c:f>Hoja1!$C$2:$C$9</c:f>
              <c:numCache>
                <c:formatCode>#,##0</c:formatCode>
                <c:ptCount val="8"/>
                <c:pt idx="0">
                  <c:v>266</c:v>
                </c:pt>
                <c:pt idx="1">
                  <c:v>297</c:v>
                </c:pt>
                <c:pt idx="2">
                  <c:v>337</c:v>
                </c:pt>
                <c:pt idx="3">
                  <c:v>395</c:v>
                </c:pt>
                <c:pt idx="4">
                  <c:v>455</c:v>
                </c:pt>
                <c:pt idx="5">
                  <c:v>523</c:v>
                </c:pt>
                <c:pt idx="6">
                  <c:v>583</c:v>
                </c:pt>
                <c:pt idx="7">
                  <c:v>636</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Hoja1!$A$2:$A$9</c:f>
              <c:strCache>
                <c:ptCount val="8"/>
                <c:pt idx="0">
                  <c:v>2018</c:v>
                </c:pt>
                <c:pt idx="1">
                  <c:v>2019</c:v>
                </c:pt>
                <c:pt idx="2">
                  <c:v>2020</c:v>
                </c:pt>
                <c:pt idx="3">
                  <c:v>2021</c:v>
                </c:pt>
                <c:pt idx="4">
                  <c:v>2022</c:v>
                </c:pt>
                <c:pt idx="5">
                  <c:v>2023</c:v>
                </c:pt>
                <c:pt idx="6">
                  <c:v>2024</c:v>
                </c:pt>
                <c:pt idx="7">
                  <c:v>2025</c:v>
                </c:pt>
              </c:strCache>
            </c:strRef>
          </c:cat>
          <c:val>
            <c:numRef>
              <c:f>Hoja1!$D$2:$D$9</c:f>
              <c:numCache>
                <c:formatCode>#,##0</c:formatCode>
                <c:ptCount val="8"/>
                <c:pt idx="0">
                  <c:v>500</c:v>
                </c:pt>
                <c:pt idx="1">
                  <c:v>1500</c:v>
                </c:pt>
                <c:pt idx="2">
                  <c:v>1500</c:v>
                </c:pt>
                <c:pt idx="3">
                  <c:v>2000</c:v>
                </c:pt>
                <c:pt idx="4">
                  <c:v>3000</c:v>
                </c:pt>
                <c:pt idx="5">
                  <c:v>3000</c:v>
                </c:pt>
                <c:pt idx="6">
                  <c:v>4000</c:v>
                </c:pt>
                <c:pt idx="7">
                  <c:v>3000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Ejecutivo</c:v>
                </c:pt>
                <c:pt idx="1">
                  <c:v>Independiente</c:v>
                </c:pt>
              </c:strCache>
            </c:strRef>
          </c:cat>
          <c:val>
            <c:numRef>
              <c:f>Hoja1!$B$2:$B$3</c:f>
              <c:numCache>
                <c:formatCode>0</c:formatCode>
                <c:ptCount val="2"/>
                <c:pt idx="0">
                  <c:v>1</c:v>
                </c:pt>
                <c:pt idx="1">
                  <c:v>10</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The Vanguard Group</c:v>
                </c:pt>
                <c:pt idx="1">
                  <c:v>BlackRock</c:v>
                </c:pt>
                <c:pt idx="2">
                  <c:v>Consejeros y directivos</c:v>
                </c:pt>
              </c:strCache>
            </c:strRef>
          </c:cat>
          <c:val>
            <c:numRef>
              <c:f>Hoja1!$B$2:$B$4</c:f>
              <c:numCache>
                <c:formatCode>0.0"%"</c:formatCode>
                <c:ptCount val="3"/>
                <c:pt idx="0">
                  <c:v>8.87</c:v>
                </c:pt>
                <c:pt idx="1">
                  <c:v>7.62</c:v>
                </c:pt>
                <c:pt idx="2">
                  <c:v>0.2</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-0.1</c:v>
                </c:pt>
                <c:pt idx="1">
                  <c:v>35</c:v>
                </c:pt>
                <c:pt idx="2">
                  <c:v>18.2</c:v>
                </c:pt>
                <c:pt idx="3">
                  <c:v>45.5</c:v>
                </c:pt>
                <c:pt idx="4">
                  <c:v>43.7</c:v>
                </c:pt>
                <c:pt idx="5">
                  <c:v>43.5</c:v>
                </c:pt>
                <c:pt idx="6">
                  <c:v>-17.3</c:v>
                </c:pt>
                <c:pt idx="7">
                  <c:v>-3.4</c:v>
                </c:pt>
                <c:pt idx="8">
                  <c:v>-1.7</c:v>
                </c:pt>
                <c:pt idx="9">
                  <c:v>11.8</c:v>
                </c:pt>
              </c:numCache>
            </c:numRef>
          </c:val>
        </c:ser>
        <c:ser>
          <c:idx val="1"/>
          <c:order val="1"/>
          <c:tx>
            <c:strRef>
              <c:f>Hoja1!$C$1</c:f>
              <c:strCache>
                <c:ptCount val="1"/>
                <c:pt idx="0">
                  <c:v>Índice</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12</c:v>
                </c:pt>
                <c:pt idx="1">
                  <c:v>21.7</c:v>
                </c:pt>
                <c:pt idx="2">
                  <c:v>-4.6</c:v>
                </c:pt>
                <c:pt idx="3">
                  <c:v>31.2</c:v>
                </c:pt>
                <c:pt idx="4">
                  <c:v>18.3</c:v>
                </c:pt>
                <c:pt idx="5">
                  <c:v>28.7</c:v>
                </c:pt>
                <c:pt idx="6">
                  <c:v>-18.2</c:v>
                </c:pt>
                <c:pt idx="7">
                  <c:v>26.2</c:v>
                </c:pt>
                <c:pt idx="8">
                  <c:v>24.9</c:v>
                </c:pt>
                <c:pt idx="9">
                  <c:v>17.7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Hoja1!$B$2:$B$9</c:f>
              <c:numCache>
                <c:formatCode>0.0"x"</c:formatCode>
                <c:ptCount val="8"/>
                <c:pt idx="0">
                  <c:v>17.8</c:v>
                </c:pt>
                <c:pt idx="1">
                  <c:v>21.3</c:v>
                </c:pt>
                <c:pt idx="2">
                  <c:v>19.5</c:v>
                </c:pt>
                <c:pt idx="3">
                  <c:v>23.4</c:v>
                </c:pt>
                <c:pt idx="4">
                  <c:v>20.6</c:v>
                </c:pt>
                <c:pt idx="5">
                  <c:v>22.7</c:v>
                </c:pt>
                <c:pt idx="6">
                  <c:v>21.7</c:v>
                </c:pt>
                <c:pt idx="7">
                  <c:v>23.6</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Hoja1!$C$2:$C$9</c:f>
              <c:numCache>
                <c:formatCode>0.0"x"</c:formatCode>
                <c:ptCount val="8"/>
                <c:pt idx="0">
                  <c:v>21.5</c:v>
                </c:pt>
                <c:pt idx="1">
                  <c:v>21.5</c:v>
                </c:pt>
                <c:pt idx="2">
                  <c:v>21.5</c:v>
                </c:pt>
                <c:pt idx="3">
                  <c:v>21.5</c:v>
                </c:pt>
                <c:pt idx="4">
                  <c:v>21.5</c:v>
                </c:pt>
                <c:pt idx="5">
                  <c:v>21.5</c:v>
                </c:pt>
                <c:pt idx="6">
                  <c:v>21.5</c:v>
                </c:pt>
                <c:pt idx="7">
                  <c:v>21.5</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Clario (datos de ensayos clínicos)</c:v>
                </c:pt>
                <c:pt idx="1">
                  <c:v>Biociencias y Diagnóstico de Becton Dickinson</c:v>
                </c:pt>
                <c:pt idx="2">
                  <c:v>Microbiología de Thermo Fisher</c:v>
                </c:pt>
                <c:pt idx="3">
                  <c:v>Filtración y separación de Solventum</c:v>
                </c:pt>
                <c:pt idx="4">
                  <c:v>Olink (proteómica)</c:v>
                </c:pt>
                <c:pt idx="5">
                  <c:v>PPD (CRO clínica)</c:v>
                </c:pt>
              </c:strCache>
            </c:strRef>
          </c:cat>
          <c:val>
            <c:numRef>
              <c:f>Hoja1!$B$2:$B$7</c:f>
              <c:numCache>
                <c:formatCode>0.0"x"</c:formatCode>
                <c:ptCount val="6"/>
                <c:pt idx="1">
                  <c:v>18.9</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(USD,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2026e</c:v>
                </c:pt>
                <c:pt idx="1">
                  <c:v>2027e</c:v>
                </c:pt>
                <c:pt idx="2">
                  <c:v>2028e</c:v>
                </c:pt>
                <c:pt idx="3">
                  <c:v>2029e</c:v>
                </c:pt>
                <c:pt idx="4">
                  <c:v>2030e</c:v>
                </c:pt>
                <c:pt idx="5">
                  <c:v>2031e</c:v>
                </c:pt>
                <c:pt idx="6">
                  <c:v>2032e</c:v>
                </c:pt>
                <c:pt idx="7">
                  <c:v>2033e</c:v>
                </c:pt>
                <c:pt idx="8">
                  <c:v>2034e</c:v>
                </c:pt>
                <c:pt idx="9">
                  <c:v>2035e</c:v>
                </c:pt>
              </c:strCache>
            </c:strRef>
          </c:cat>
          <c:val>
            <c:numRef>
              <c:f>Hoja1!$B$2:$B$11</c:f>
              <c:numCache>
                <c:formatCode>#,##0</c:formatCode>
                <c:ptCount val="10"/>
                <c:pt idx="0">
                  <c:v>8228</c:v>
                </c:pt>
                <c:pt idx="1">
                  <c:v>9100</c:v>
                </c:pt>
                <c:pt idx="2">
                  <c:v>9856</c:v>
                </c:pt>
                <c:pt idx="3">
                  <c:v>10559</c:v>
                </c:pt>
                <c:pt idx="4">
                  <c:v>11136</c:v>
                </c:pt>
                <c:pt idx="5">
                  <c:v>11661</c:v>
                </c:pt>
                <c:pt idx="6">
                  <c:v>12162</c:v>
                </c:pt>
                <c:pt idx="7">
                  <c:v>12625</c:v>
                </c:pt>
                <c:pt idx="8">
                  <c:v>12983</c:v>
                </c:pt>
                <c:pt idx="9">
                  <c:v>13352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(USD,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69851</c:v>
                </c:pt>
                <c:pt idx="1">
                  <c:v>98982</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(USD) · precio actual 673,82</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272.94</c:v>
                </c:pt>
                <c:pt idx="1">
                  <c:v>358.04</c:v>
                </c:pt>
                <c:pt idx="2">
                  <c:v>410.97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673,82</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Hoja1!$A$2:$A$9</c:f>
              <c:strCache>
                <c:ptCount val="8"/>
                <c:pt idx="0">
                  <c:v>Cotización 52 semanas (435,27 – 705,79)</c:v>
                </c:pt>
                <c:pt idx="1">
                  <c:v>Precio objetivo de los analistas (560,00 – 830,00)</c:v>
                </c:pt>
                <c:pt idx="2">
                  <c:v>Comparables: PER NTM (592,78 – 767,31)</c:v>
                </c:pt>
                <c:pt idx="3">
                  <c:v>Transacciones precedentes (EV/ventas) (336,91 – 684,70)</c:v>
                </c:pt>
                <c:pt idx="4">
                  <c:v>DCF (WACC y g ± 0,5) (306,79 – 428,47)</c:v>
                </c:pt>
                <c:pt idx="5">
                  <c:v>Escenarios (bajista – alcista) (272,94 – 410,97)</c:v>
                </c:pt>
                <c:pt idx="6">
                  <c:v>DCF con la prima implícita del mercado (4,2 %)</c:v>
                </c:pt>
                <c:pt idx="7">
                  <c:v>Precio actual (673,82)</c:v>
                </c:pt>
              </c:strCache>
            </c:strRef>
          </c:cat>
          <c:val>
            <c:numRef>
              <c:f>Hoja1!$B$2:$B$9</c:f>
              <c:numCache>
                <c:formatCode>#,##0</c:formatCode>
                <c:ptCount val="8"/>
                <c:pt idx="0">
                  <c:v>435.27</c:v>
                </c:pt>
                <c:pt idx="1">
                  <c:v>560</c:v>
                </c:pt>
                <c:pt idx="2">
                  <c:v>592.78</c:v>
                </c:pt>
                <c:pt idx="3">
                  <c:v>336.91</c:v>
                </c:pt>
                <c:pt idx="4">
                  <c:v>306.79</c:v>
                </c:pt>
                <c:pt idx="5">
                  <c:v>272.94</c:v>
                </c:pt>
                <c:pt idx="6">
                  <c:v>397.96</c:v>
                </c:pt>
                <c:pt idx="7">
                  <c:v>670.45</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7"/>
            <c:invertIfNegative val="0"/>
            <c:bubble3D val="0"/>
            <c:spPr>
              <a:solidFill>
                <a:srgbClr val="C9C8C2"/>
              </a:solidFill>
            </c:spPr>
          </c:dPt>
          <c:cat>
            <c:strRef>
              <c:f>Hoja1!$A$2:$A$9</c:f>
              <c:strCache>
                <c:ptCount val="8"/>
                <c:pt idx="0">
                  <c:v>Cotización 52 semanas (435,27 – 705,79)</c:v>
                </c:pt>
                <c:pt idx="1">
                  <c:v>Precio objetivo de los analistas (560,00 – 830,00)</c:v>
                </c:pt>
                <c:pt idx="2">
                  <c:v>Comparables: PER NTM (592,78 – 767,31)</c:v>
                </c:pt>
                <c:pt idx="3">
                  <c:v>Transacciones precedentes (EV/ventas) (336,91 – 684,70)</c:v>
                </c:pt>
                <c:pt idx="4">
                  <c:v>DCF (WACC y g ± 0,5) (306,79 – 428,47)</c:v>
                </c:pt>
                <c:pt idx="5">
                  <c:v>Escenarios (bajista – alcista) (272,94 – 410,97)</c:v>
                </c:pt>
                <c:pt idx="6">
                  <c:v>DCF con la prima implícita del mercado (4,2 %)</c:v>
                </c:pt>
                <c:pt idx="7">
                  <c:v>Precio actual (673,82)</c:v>
                </c:pt>
              </c:strCache>
            </c:strRef>
          </c:cat>
          <c:val>
            <c:numRef>
              <c:f>Hoja1!$C$2:$C$9</c:f>
              <c:numCache>
                <c:formatCode>#,##0</c:formatCode>
                <c:ptCount val="8"/>
                <c:pt idx="0">
                  <c:v>270.52</c:v>
                </c:pt>
                <c:pt idx="1">
                  <c:v>270</c:v>
                </c:pt>
                <c:pt idx="2">
                  <c:v>174.52999999999997</c:v>
                </c:pt>
                <c:pt idx="3">
                  <c:v>347.79</c:v>
                </c:pt>
                <c:pt idx="4">
                  <c:v>121.68</c:v>
                </c:pt>
                <c:pt idx="5">
                  <c:v>138.03000000000003</c:v>
                </c:pt>
                <c:pt idx="6">
                  <c:v>105.03000000000003</c:v>
                </c:pt>
                <c:pt idx="7">
                  <c:v>6.740000000000009</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20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2026-10-15T11:43:41.470Z</dcterms:created>
  <dcterms:modified xsi:type="dcterms:W3CDTF">2026-10-15T11:43:41.470Z</dcterms:modified>
</cp:coreProperties>
</file>

<file path=docProps/custom.xml><?xml version="1.0" encoding="utf-8"?>
<Properties xmlns="http://schemas.openxmlformats.org/officeDocument/2006/custom-properties" xmlns:vt="http://schemas.openxmlformats.org/officeDocument/2006/docPropsVTypes"/>
</file>