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bfff7bd71cb5281d7ce1f74d9a7c41bd0587346"/>
    <w:p>
      <w:pPr>
        <w:pStyle w:val="Heading1"/>
      </w:pPr>
      <w:r>
        <w:t xml:space="preserve">AeroVironment (AVAV): análisis growth, 14-oct-2026</w:t>
      </w:r>
    </w:p>
    <w:p>
      <w:pPr>
        <w:pStyle w:val="FirstParagraph"/>
      </w:pPr>
      <w:r>
        <w:rPr>
          <w:bCs/>
          <w:b/>
        </w:rPr>
        <w:t xml:space="preserve">Señal (método v11, vigente): Vender / no comprar</w:t>
      </w:r>
      <w:r>
        <w:t xml:space="preserve"> </w:t>
      </w:r>
      <w:r>
        <w:t xml:space="preserve">· Puntuación 37,8 sobre 100 · Señales de cambio de tendencia: 1 de 8 · EV/beneficio bruto 11,1x · EV/EBITDA de los 12 meses siguientes 20,1x</w:t>
      </w:r>
    </w:p>
    <w:p>
      <w:pPr>
        <w:numPr>
          <w:ilvl w:val="0"/>
          <w:numId w:val="1001"/>
        </w:numPr>
        <w:pStyle w:val="Compact"/>
      </w:pPr>
      <w:r>
        <w:t xml:space="preserve">Precio: 127,13 USD (cierre del 13-oct).</w:t>
      </w:r>
    </w:p>
    <w:p>
      <w:pPr>
        <w:numPr>
          <w:ilvl w:val="0"/>
          <w:numId w:val="1001"/>
        </w:numPr>
        <w:pStyle w:val="Compact"/>
      </w:pPr>
      <w:r>
        <w:t xml:space="preserve">Objetivo a 12 meses: 123,7 USD.</w:t>
      </w:r>
    </w:p>
    <w:p>
      <w:pPr>
        <w:numPr>
          <w:ilvl w:val="0"/>
          <w:numId w:val="1001"/>
        </w:numPr>
        <w:pStyle w:val="Compact"/>
      </w:pPr>
      <w:r>
        <w:t xml:space="preserve">Rentabilidad ponderada: −2,7 %.</w:t>
      </w:r>
    </w:p>
    <w:p>
      <w:pPr>
        <w:numPr>
          <w:ilvl w:val="0"/>
          <w:numId w:val="1001"/>
        </w:numPr>
        <w:pStyle w:val="Compact"/>
      </w:pPr>
      <w:r>
        <w:t xml:space="preserve">Escenario base: +4,5 %.</w:t>
      </w:r>
    </w:p>
    <w:p>
      <w:pPr>
        <w:numPr>
          <w:ilvl w:val="0"/>
          <w:numId w:val="1001"/>
        </w:numPr>
        <w:pStyle w:val="Compact"/>
      </w:pPr>
      <w:r>
        <w:t xml:space="preserve">Escenario bajista: −42,1 %.</w:t>
      </w:r>
    </w:p>
    <w:p>
      <w:pPr>
        <w:numPr>
          <w:ilvl w:val="0"/>
          <w:numId w:val="1001"/>
        </w:numPr>
        <w:pStyle w:val="Compact"/>
      </w:pPr>
      <w:r>
        <w:t xml:space="preserve">Escenario alcista: +64,9 %.</w:t>
      </w:r>
    </w:p>
    <w:p>
      <w:pPr>
        <w:numPr>
          <w:ilvl w:val="0"/>
          <w:numId w:val="1001"/>
        </w:numPr>
        <w:pStyle w:val="Compact"/>
      </w:pPr>
      <w:r>
        <w:t xml:space="preserve">Compra hasta: 117,8 USD (no aplica: la puntuación no llega al mínimo).</w:t>
      </w:r>
    </w:p>
    <w:p>
      <w:pPr>
        <w:numPr>
          <w:ilvl w:val="0"/>
          <w:numId w:val="1001"/>
        </w:numPr>
        <w:pStyle w:val="Compact"/>
      </w:pPr>
      <w:r>
        <w:t xml:space="preserve">Peso orientativo: no entra.</w:t>
      </w:r>
    </w:p>
    <w:p>
      <w:pPr>
        <w:numPr>
          <w:ilvl w:val="0"/>
          <w:numId w:val="1001"/>
        </w:numPr>
        <w:pStyle w:val="Compact"/>
      </w:pPr>
      <w:r>
        <w:t xml:space="preserve">Método v9 como referencia: da lo mismo, Vender con −2,7 % de ponderada. Las ventas del propio informe son más altas que las de la regla, así que v11 usa las de la regla, igual que v9.</w:t>
      </w:r>
    </w:p>
    <w:p>
      <w:pPr>
        <w:numPr>
          <w:ilvl w:val="0"/>
          <w:numId w:val="1001"/>
        </w:numPr>
        <w:pStyle w:val="Compact"/>
      </w:pPr>
      <w:r>
        <w:t xml:space="preserve">Al precio actual (121,80 USD a las 18:01 UTC del 14-oct, con el objetivo del informe fijo): ponderada +1,6 %. Sigue siendo Vender.</w:t>
      </w:r>
    </w:p>
    <w:p>
      <w:pPr>
        <w:numPr>
          <w:ilvl w:val="0"/>
          <w:numId w:val="1001"/>
        </w:numPr>
        <w:pStyle w:val="Compact"/>
      </w:pPr>
      <w:r>
        <w:t xml:space="preserve">Alertas de robustez del motor: ninguna. Prueba</w:t>
      </w:r>
      <w:r>
        <w:t xml:space="preserve"> </w:t>
      </w:r>
      <w:r>
        <w:rPr>
          <w:rStyle w:val="VerbatimChar"/>
        </w:rPr>
        <w:t xml:space="preserve">robustez-growth</w:t>
      </w:r>
      <w:r>
        <w:t xml:space="preserve">:</w:t>
      </w:r>
      <w:r>
        <w:t xml:space="preserve"> </w:t>
      </w:r>
      <w:r>
        <w:rPr>
          <w:bCs/>
          <w:b/>
        </w:rPr>
        <w:t xml:space="preserve">FRÁGIL</w:t>
      </w:r>
      <w:r>
        <w:t xml:space="preserve"> </w:t>
      </w:r>
      <w:r>
        <w:t xml:space="preserve">en la cifra, pero la señal robusta es</w:t>
      </w:r>
      <w:r>
        <w:t xml:space="preserve"> </w:t>
      </w:r>
      <w:r>
        <w:rPr>
          <w:bCs/>
          <w:b/>
        </w:rPr>
        <w:t xml:space="preserve">no comprar</w:t>
      </w:r>
      <w:r>
        <w:t xml:space="preserve"> </w:t>
      </w:r>
      <w:r>
        <w:t xml:space="preserve">en todas las variantes (sección 11).</w:t>
      </w:r>
    </w:p>
    <w:p>
      <w:pPr>
        <w:numPr>
          <w:ilvl w:val="0"/>
          <w:numId w:val="1001"/>
        </w:numPr>
        <w:pStyle w:val="Compact"/>
      </w:pPr>
      <w:r>
        <w:t xml:space="preserve">Subida en 12 meses: −69 %. No hay euforia: es lo contrario.</w:t>
      </w:r>
    </w:p>
    <w:bookmarkStart w:id="20" w:name="la-tesis-en-cinco-líneas"/>
    <w:p>
      <w:pPr>
        <w:pStyle w:val="Heading2"/>
      </w:pPr>
      <w:r>
        <w:t xml:space="preserve">1. La tesis en cinco líneas</w:t>
      </w:r>
    </w:p>
    <w:p>
      <w:pPr>
        <w:numPr>
          <w:ilvl w:val="0"/>
          <w:numId w:val="1002"/>
        </w:numPr>
        <w:pStyle w:val="Compact"/>
      </w:pPr>
      <w:r>
        <w:t xml:space="preserve">AeroVironment fabrica drones pequeños (Puma, Raven, P550), municiones merodeadoras (Switchblade, el «dron kamikaze» del Ejército de EE. UU.) y, desde que compró BlueHalo en mayo de 2025, antidrones, láseres, espacio y ciberseguridad [1][3].</w:t>
      </w:r>
    </w:p>
    <w:p>
      <w:pPr>
        <w:numPr>
          <w:ilvl w:val="0"/>
          <w:numId w:val="1002"/>
        </w:numPr>
        <w:pStyle w:val="Compact"/>
      </w:pPr>
      <w:r>
        <w:rPr>
          <w:bCs/>
          <w:b/>
        </w:rPr>
        <w:t xml:space="preserve">El crecimiento publicado engaña.</w:t>
      </w:r>
      <w:r>
        <w:t xml:space="preserve"> </w:t>
      </w:r>
      <w:r>
        <w:t xml:space="preserve">Las ventas de 12 meses suben un 84 %, pero casi todo es la compra de BlueHalo. A perímetro constante, el crecimiento es de un 16 % en 12 meses y de solo un 1 % en el último trimestre; sin ESAero (otra compra, de marzo de 2026), las ventas del trimestre caen un 3,5 % [2][3].</w:t>
      </w:r>
    </w:p>
    <w:p>
      <w:pPr>
        <w:numPr>
          <w:ilvl w:val="0"/>
          <w:numId w:val="1002"/>
        </w:numPr>
        <w:pStyle w:val="Compact"/>
      </w:pPr>
      <w:r>
        <w:rPr>
          <w:bCs/>
          <w:b/>
        </w:rPr>
        <w:t xml:space="preserve">La dilución fue enorme.</w:t>
      </w:r>
      <w:r>
        <w:t xml:space="preserve"> </w:t>
      </w:r>
      <w:r>
        <w:t xml:space="preserve">Para comprar BlueHalo y pagar su deuda emitió acciones: hay un 80 % más que hace dos años (28,2 M frente a 50,8 M). El EBITDA ajustado por acción solo ha crecido un 22 % en esos dos años [1][4].</w:t>
      </w:r>
    </w:p>
    <w:p>
      <w:pPr>
        <w:numPr>
          <w:ilvl w:val="0"/>
          <w:numId w:val="1002"/>
        </w:numPr>
        <w:pStyle w:val="Compact"/>
      </w:pPr>
      <w:r>
        <w:rPr>
          <w:bCs/>
          <w:b/>
        </w:rPr>
        <w:t xml:space="preserve">La calidad se ha deteriorado.</w:t>
      </w:r>
      <w:r>
        <w:t xml:space="preserve"> </w:t>
      </w:r>
      <w:r>
        <w:t xml:space="preserve">Recortó la guía en marzo, rehízo las cuentas del 3T FY26 por un error de 89 M en el deterioro del fondo de comercio, tiene dos debilidades materiales de control interno y dos demandas colectivas abiertas [2][10].</w:t>
      </w:r>
    </w:p>
    <w:p>
      <w:pPr>
        <w:numPr>
          <w:ilvl w:val="0"/>
          <w:numId w:val="1002"/>
        </w:numPr>
        <w:pStyle w:val="Compact"/>
      </w:pPr>
      <w:r>
        <w:t xml:space="preserve">La acción ha caído un 69 % y ya no está cara frente a su historia (20x EBITDA frente a ~31x de mediana). Pero el método da</w:t>
      </w:r>
      <w:r>
        <w:t xml:space="preserve"> </w:t>
      </w:r>
      <w:r>
        <w:rPr>
          <w:bCs/>
          <w:b/>
        </w:rPr>
        <w:t xml:space="preserve">Vender / no comprar</w:t>
      </w:r>
      <w:r>
        <w:t xml:space="preserve">: la puntuación (37,8) está muy lejos del mínimo de 60 y no hay giro en la tendencia. El catalizador real es el presupuesto de drones de EE. UU., que todavía no se nota en sus ventas.</w:t>
      </w:r>
    </w:p>
    <w:bookmarkEnd w:id="20"/>
    <w:bookmarkStart w:id="21" w:name="negocio-y-tecnología"/>
    <w:p>
      <w:pPr>
        <w:pStyle w:val="Heading2"/>
      </w:pPr>
      <w:r>
        <w:t xml:space="preserve">2. Negocio y tecnología</w:t>
      </w:r>
    </w:p>
    <w:p>
      <w:pPr>
        <w:pStyle w:val="FirstParagraph"/>
      </w:pPr>
      <w:r>
        <w:t xml:space="preserve">Dos segmentos desde el FY26 (el ejercicio acaba el 30 de abril) [1][2]:</w:t>
      </w:r>
      <w:r>
        <w:t xml:space="preserve"> </w:t>
      </w:r>
      <w:r>
        <w:t xml:space="preserve">-</w:t>
      </w:r>
      <w:r>
        <w:t xml:space="preserve"> </w:t>
      </w:r>
      <w:r>
        <w:rPr>
          <w:bCs/>
          <w:b/>
        </w:rPr>
        <w:t xml:space="preserve">AxS, sistemas autónomos (72 % de las ventas del 1T FY27)</w:t>
      </w:r>
      <w:r>
        <w:t xml:space="preserve">: drones pequeños de reconocimiento (Puma, Raven, JUMP 20, P550, este último ganador del programa de reconocimiento de largo alcance del Ejército), municiones merodeadoras</w:t>
      </w:r>
      <w:r>
        <w:t xml:space="preserve"> </w:t>
      </w:r>
      <w:r>
        <w:rPr>
          <w:bCs/>
          <w:b/>
        </w:rPr>
        <w:t xml:space="preserve">Switchblade 300 y 600</w:t>
      </w:r>
      <w:r>
        <w:t xml:space="preserve">, el nuevo</w:t>
      </w:r>
      <w:r>
        <w:t xml:space="preserve"> </w:t>
      </w:r>
      <w:r>
        <w:rPr>
          <w:bCs/>
          <w:b/>
        </w:rPr>
        <w:t xml:space="preserve">Red Dragon</w:t>
      </w:r>
      <w:r>
        <w:t xml:space="preserve"> </w:t>
      </w:r>
      <w:r>
        <w:t xml:space="preserve">(ataque de un solo uso), el cohete interceptor Freedom Eagle-1 y vehículos terrestres (Telerob). Desde mar-2026 incluye</w:t>
      </w:r>
      <w:r>
        <w:t xml:space="preserve"> </w:t>
      </w:r>
      <w:r>
        <w:rPr>
          <w:bCs/>
          <w:b/>
        </w:rPr>
        <w:t xml:space="preserve">ESAero</w:t>
      </w:r>
      <w:r>
        <w:t xml:space="preserve"> </w:t>
      </w:r>
      <w:r>
        <w:t xml:space="preserve">(fabricación de drones y aeronaves avanzadas).</w:t>
      </w:r>
      <w:r>
        <w:t xml:space="preserve"> </w:t>
      </w:r>
      <w:r>
        <w:t xml:space="preserve">-</w:t>
      </w:r>
      <w:r>
        <w:t xml:space="preserve"> </w:t>
      </w:r>
      <w:r>
        <w:rPr>
          <w:bCs/>
          <w:b/>
        </w:rPr>
        <w:t xml:space="preserve">SCDE, espacio, ciberseguridad y energía dirigida (28 %)</w:t>
      </w:r>
      <w:r>
        <w:t xml:space="preserve">: lo que venía de BlueHalo: el láser antidrón</w:t>
      </w:r>
      <w:r>
        <w:t xml:space="preserve"> </w:t>
      </w:r>
      <w:r>
        <w:rPr>
          <w:bCs/>
          <w:b/>
        </w:rPr>
        <w:t xml:space="preserve">LOCUST</w:t>
      </w:r>
      <w:r>
        <w:t xml:space="preserve"> </w:t>
      </w:r>
      <w:r>
        <w:t xml:space="preserve">(primer contrato de producción de láser del Ejército, ~465 M, sep-2026), el antidrón</w:t>
      </w:r>
      <w:r>
        <w:t xml:space="preserve"> </w:t>
      </w:r>
      <w:r>
        <w:rPr>
          <w:bCs/>
          <w:b/>
        </w:rPr>
        <w:t xml:space="preserve">Titan</w:t>
      </w:r>
      <w:r>
        <w:t xml:space="preserve">, antenas y sistemas espaciales (el programa BADGER/SCAR de la Fuerza Espacial, cancelado en 2026) y servicios de ciberseguridad y misión.</w:t>
      </w:r>
    </w:p>
    <w:p>
      <w:pPr>
        <w:pStyle w:val="BodyText"/>
      </w:pPr>
      <w:r>
        <w:t xml:space="preserve">Qué tiene de nuevo: es el proveedor histórico del Ejército en drones pequeños y municiones merodeadoras, con un catálogo probado en Ucrania, y ha sumado defensa antidrón y láseres, dos de las prioridades del Pentágono.</w:t>
      </w:r>
      <w:r>
        <w:t xml:space="preserve"> </w:t>
      </w:r>
      <w:r>
        <w:rPr>
          <w:bCs/>
          <w:b/>
        </w:rPr>
        <w:t xml:space="preserve">Tecnología 4/5</w:t>
      </w:r>
      <w:r>
        <w:t xml:space="preserve">: propia y probada en combate, pero la frontera se mueve hacia el software autónomo, donde Anduril, Shield AI y muchas empresas nuevas compiten fuerte.</w:t>
      </w:r>
    </w:p>
    <w:bookmarkEnd w:id="21"/>
    <w:bookmarkStart w:id="22" w:name="X634791f1281be792a1e8e71ad74f373cc83acba"/>
    <w:p>
      <w:pPr>
        <w:pStyle w:val="Heading2"/>
      </w:pPr>
      <w:r>
        <w:t xml:space="preserve">3. Crecimiento (separando el orgánico de las compras)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Periodo</w:t>
            </w:r>
          </w:p>
        </w:tc>
        <w:tc>
          <w:tcPr/>
          <w:p>
            <w:pPr>
              <w:pStyle w:val="Compact"/>
              <w:jc w:val="left"/>
            </w:pPr>
            <w:r>
              <w:t xml:space="preserve">Ventas publicadas (M USD)</w:t>
            </w:r>
          </w:p>
        </w:tc>
        <w:tc>
          <w:tcPr/>
          <w:p>
            <w:pPr>
              <w:pStyle w:val="Compact"/>
              <w:jc w:val="left"/>
            </w:pPr>
            <w:r>
              <w:t xml:space="preserve">Crecimiento publicado</w:t>
            </w:r>
          </w:p>
        </w:tc>
        <w:tc>
          <w:tcPr/>
          <w:p>
            <w:pPr>
              <w:pStyle w:val="Compact"/>
              <w:jc w:val="left"/>
            </w:pPr>
            <w:r>
              <w:t xml:space="preserve">Crecimiento orgánico (perímetro constante)</w:t>
            </w:r>
          </w:p>
        </w:tc>
        <w:tc>
          <w:tcPr/>
          <w:p>
            <w:pPr>
              <w:pStyle w:val="Compact"/>
              <w:jc w:val="left"/>
            </w:pPr>
            <w:r>
              <w:t xml:space="preserve">Fuente</w:t>
            </w:r>
          </w:p>
        </w:tc>
      </w:tr>
      <w:tr>
        <w:tc>
          <w:tcPr/>
          <w:p>
            <w:pPr>
              <w:pStyle w:val="Compact"/>
              <w:jc w:val="left"/>
            </w:pPr>
            <w:r>
              <w:t xml:space="preserve">FY24 (may-23 a abr-24)</w:t>
            </w:r>
          </w:p>
        </w:tc>
        <w:tc>
          <w:tcPr/>
          <w:p>
            <w:pPr>
              <w:pStyle w:val="Compact"/>
              <w:jc w:val="left"/>
            </w:pPr>
            <w:r>
              <w:t xml:space="preserve">716,7</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FY25</w:t>
            </w:r>
          </w:p>
        </w:tc>
        <w:tc>
          <w:tcPr/>
          <w:p>
            <w:pPr>
              <w:pStyle w:val="Compact"/>
              <w:jc w:val="left"/>
            </w:pPr>
            <w:r>
              <w:t xml:space="preserve">820,6</w:t>
            </w:r>
          </w:p>
        </w:tc>
        <w:tc>
          <w:tcPr/>
          <w:p>
            <w:pPr>
              <w:pStyle w:val="Compact"/>
              <w:jc w:val="left"/>
            </w:pPr>
            <w:r>
              <w:t xml:space="preserve">+14 %</w:t>
            </w:r>
          </w:p>
        </w:tc>
        <w:tc>
          <w:tcPr/>
          <w:p>
            <w:pPr>
              <w:pStyle w:val="Compact"/>
              <w:jc w:val="left"/>
            </w:pPr>
            <w:r>
              <w:t xml:space="preserve">+14 % (sin compras relevantes)</w:t>
            </w:r>
          </w:p>
        </w:tc>
        <w:tc>
          <w:tcPr/>
          <w:p>
            <w:pPr>
              <w:pStyle w:val="Compact"/>
              <w:jc w:val="left"/>
            </w:pPr>
            <w:r>
              <w:t xml:space="preserve">[3][4]</w:t>
            </w:r>
          </w:p>
        </w:tc>
      </w:tr>
      <w:tr>
        <w:tc>
          <w:tcPr/>
          <w:p>
            <w:pPr>
              <w:pStyle w:val="Compact"/>
              <w:jc w:val="left"/>
            </w:pPr>
            <w:r>
              <w:t xml:space="preserve">1T FY26 (may-jul 2025)</w:t>
            </w:r>
          </w:p>
        </w:tc>
        <w:tc>
          <w:tcPr/>
          <w:p>
            <w:pPr>
              <w:pStyle w:val="Compact"/>
              <w:jc w:val="left"/>
            </w:pPr>
            <w:r>
              <w:t xml:space="preserve">454,7</w:t>
            </w:r>
          </w:p>
        </w:tc>
        <w:tc>
          <w:tcPr/>
          <w:p>
            <w:pPr>
              <w:pStyle w:val="Compact"/>
              <w:jc w:val="left"/>
            </w:pPr>
            <w:r>
              <w:t xml:space="preserve">+140 %</w:t>
            </w:r>
          </w:p>
        </w:tc>
        <w:tc>
          <w:tcPr/>
          <w:p>
            <w:pPr>
              <w:pStyle w:val="Compact"/>
              <w:jc w:val="left"/>
            </w:pPr>
            <w:r>
              <w:t xml:space="preserve">~+14 % (est.)</w:t>
            </w:r>
          </w:p>
        </w:tc>
        <w:tc>
          <w:tcPr/>
          <w:p>
            <w:pPr>
              <w:pStyle w:val="Compact"/>
              <w:jc w:val="left"/>
            </w:pPr>
            <w:r>
              <w:t xml:space="preserve">[2]</w:t>
            </w:r>
          </w:p>
        </w:tc>
      </w:tr>
      <w:tr>
        <w:tc>
          <w:tcPr/>
          <w:p>
            <w:pPr>
              <w:pStyle w:val="Compact"/>
              <w:jc w:val="left"/>
            </w:pPr>
            <w:r>
              <w:t xml:space="preserve">2T FY26</w:t>
            </w:r>
          </w:p>
        </w:tc>
        <w:tc>
          <w:tcPr/>
          <w:p>
            <w:pPr>
              <w:pStyle w:val="Compact"/>
              <w:jc w:val="left"/>
            </w:pPr>
            <w:r>
              <w:t xml:space="preserve">472,5</w:t>
            </w:r>
          </w:p>
        </w:tc>
        <w:tc>
          <w:tcPr/>
          <w:p>
            <w:pPr>
              <w:pStyle w:val="Compact"/>
              <w:jc w:val="left"/>
            </w:pPr>
            <w:r>
              <w:t xml:space="preserve">+151 %</w:t>
            </w:r>
          </w:p>
        </w:tc>
        <w:tc>
          <w:tcPr/>
          <w:p>
            <w:pPr>
              <w:pStyle w:val="Compact"/>
              <w:jc w:val="left"/>
            </w:pPr>
            <w:r>
              <w:t xml:space="preserve">negocio previo +21 %; BlueHalo 245,1 M</w:t>
            </w:r>
          </w:p>
        </w:tc>
        <w:tc>
          <w:tcPr/>
          <w:p>
            <w:pPr>
              <w:pStyle w:val="Compact"/>
              <w:jc w:val="left"/>
            </w:pPr>
            <w:r>
              <w:t xml:space="preserve">[4]</w:t>
            </w:r>
          </w:p>
        </w:tc>
      </w:tr>
      <w:tr>
        <w:tc>
          <w:tcPr/>
          <w:p>
            <w:pPr>
              <w:pStyle w:val="Compact"/>
              <w:jc w:val="left"/>
            </w:pPr>
            <w:r>
              <w:t xml:space="preserve">3T FY26</w:t>
            </w:r>
          </w:p>
        </w:tc>
        <w:tc>
          <w:tcPr/>
          <w:p>
            <w:pPr>
              <w:pStyle w:val="Compact"/>
              <w:jc w:val="left"/>
            </w:pPr>
            <w:r>
              <w:t xml:space="preserve">408,0</w:t>
            </w:r>
          </w:p>
        </w:tc>
        <w:tc>
          <w:tcPr/>
          <w:p>
            <w:pPr>
              <w:pStyle w:val="Compact"/>
              <w:jc w:val="left"/>
            </w:pPr>
            <w:r>
              <w:t xml:space="preserve">+143 %</w:t>
            </w:r>
          </w:p>
        </w:tc>
        <w:tc>
          <w:tcPr/>
          <w:p>
            <w:pPr>
              <w:pStyle w:val="Compact"/>
              <w:jc w:val="left"/>
            </w:pPr>
            <w:r>
              <w:t xml:space="preserve">~+8 % (est.; SCAR y cierre del Gobierno)</w:t>
            </w:r>
          </w:p>
        </w:tc>
        <w:tc>
          <w:tcPr/>
          <w:p>
            <w:pPr>
              <w:pStyle w:val="Compact"/>
              <w:jc w:val="left"/>
            </w:pPr>
            <w:r>
              <w:t xml:space="preserve">[4]</w:t>
            </w:r>
          </w:p>
        </w:tc>
      </w:tr>
      <w:tr>
        <w:tc>
          <w:tcPr/>
          <w:p>
            <w:pPr>
              <w:pStyle w:val="Compact"/>
              <w:jc w:val="left"/>
            </w:pPr>
            <w:r>
              <w:t xml:space="preserve">4T FY26</w:t>
            </w:r>
          </w:p>
        </w:tc>
        <w:tc>
          <w:tcPr/>
          <w:p>
            <w:pPr>
              <w:pStyle w:val="Compact"/>
              <w:jc w:val="left"/>
            </w:pPr>
            <w:r>
              <w:t xml:space="preserve">641,6</w:t>
            </w:r>
          </w:p>
        </w:tc>
        <w:tc>
          <w:tcPr/>
          <w:p>
            <w:pPr>
              <w:pStyle w:val="Compact"/>
              <w:jc w:val="left"/>
            </w:pPr>
            <w:r>
              <w:t xml:space="preserve">+133 %</w:t>
            </w:r>
          </w:p>
        </w:tc>
        <w:tc>
          <w:tcPr/>
          <w:p>
            <w:pPr>
              <w:pStyle w:val="Compact"/>
              <w:jc w:val="left"/>
            </w:pPr>
            <w:r>
              <w:t xml:space="preserve">~+27 % (est.)</w:t>
            </w:r>
          </w:p>
        </w:tc>
        <w:tc>
          <w:tcPr/>
          <w:p>
            <w:pPr>
              <w:pStyle w:val="Compact"/>
              <w:jc w:val="left"/>
            </w:pPr>
            <w:r>
              <w:t xml:space="preserve">[5]</w:t>
            </w:r>
          </w:p>
        </w:tc>
      </w:tr>
      <w:tr>
        <w:tc>
          <w:tcPr/>
          <w:p>
            <w:pPr>
              <w:pStyle w:val="Compact"/>
              <w:jc w:val="left"/>
            </w:pPr>
            <w:r>
              <w:rPr>
                <w:bCs/>
                <w:b/>
              </w:rPr>
              <w:t xml:space="preserve">FY26</w:t>
            </w:r>
          </w:p>
        </w:tc>
        <w:tc>
          <w:tcPr/>
          <w:p>
            <w:pPr>
              <w:pStyle w:val="Compact"/>
              <w:jc w:val="left"/>
            </w:pPr>
            <w:r>
              <w:rPr>
                <w:bCs/>
                <w:b/>
              </w:rPr>
              <w:t xml:space="preserve">1.976,8</w:t>
            </w:r>
          </w:p>
        </w:tc>
        <w:tc>
          <w:tcPr/>
          <w:p>
            <w:pPr>
              <w:pStyle w:val="Compact"/>
              <w:jc w:val="left"/>
            </w:pPr>
            <w:r>
              <w:rPr>
                <w:bCs/>
                <w:b/>
              </w:rPr>
              <w:t xml:space="preserve">+141 %</w:t>
            </w:r>
          </w:p>
        </w:tc>
        <w:tc>
          <w:tcPr/>
          <w:p>
            <w:pPr>
              <w:pStyle w:val="Compact"/>
              <w:jc w:val="left"/>
            </w:pPr>
            <w:r>
              <w:rPr>
                <w:bCs/>
                <w:b/>
              </w:rPr>
              <w:t xml:space="preserve">+18 %</w:t>
            </w:r>
            <w:r>
              <w:t xml:space="preserve"> </w:t>
            </w:r>
            <w:r>
              <w:t xml:space="preserve">(pro forma con BlueHalo: 1.663,3 M en FY25)</w:t>
            </w:r>
          </w:p>
        </w:tc>
        <w:tc>
          <w:tcPr/>
          <w:p>
            <w:pPr>
              <w:pStyle w:val="Compact"/>
              <w:jc w:val="left"/>
            </w:pPr>
            <w:r>
              <w:t xml:space="preserve">[3]</w:t>
            </w:r>
          </w:p>
        </w:tc>
      </w:tr>
      <w:tr>
        <w:tc>
          <w:tcPr/>
          <w:p>
            <w:pPr>
              <w:pStyle w:val="Compact"/>
              <w:jc w:val="left"/>
            </w:pPr>
            <w:r>
              <w:rPr>
                <w:bCs/>
                <w:b/>
              </w:rPr>
              <w:t xml:space="preserve">1T FY27 (may-jul 2026)</w:t>
            </w:r>
          </w:p>
        </w:tc>
        <w:tc>
          <w:tcPr/>
          <w:p>
            <w:pPr>
              <w:pStyle w:val="Compact"/>
              <w:jc w:val="left"/>
            </w:pPr>
            <w:r>
              <w:rPr>
                <w:bCs/>
                <w:b/>
              </w:rPr>
              <w:t xml:space="preserve">480,5</w:t>
            </w:r>
          </w:p>
        </w:tc>
        <w:tc>
          <w:tcPr/>
          <w:p>
            <w:pPr>
              <w:pStyle w:val="Compact"/>
              <w:jc w:val="left"/>
            </w:pPr>
            <w:r>
              <w:rPr>
                <w:bCs/>
                <w:b/>
              </w:rPr>
              <w:t xml:space="preserve">+5,7 %</w:t>
            </w:r>
          </w:p>
        </w:tc>
        <w:tc>
          <w:tcPr/>
          <w:p>
            <w:pPr>
              <w:pStyle w:val="Compact"/>
              <w:jc w:val="left"/>
            </w:pPr>
            <w:r>
              <w:rPr>
                <w:bCs/>
                <w:b/>
              </w:rPr>
              <w:t xml:space="preserve">+1 %</w:t>
            </w:r>
            <w:r>
              <w:t xml:space="preserve"> </w:t>
            </w:r>
            <w:r>
              <w:t xml:space="preserve">con ESAero en los dos años;</w:t>
            </w:r>
            <w:r>
              <w:t xml:space="preserve"> </w:t>
            </w:r>
            <w:r>
              <w:rPr>
                <w:bCs/>
                <w:b/>
              </w:rPr>
              <w:t xml:space="preserve">−3,5 %</w:t>
            </w:r>
            <w:r>
              <w:t xml:space="preserve"> </w:t>
            </w:r>
            <w:r>
              <w:t xml:space="preserve">sin ESAero (41,8 M)</w:t>
            </w:r>
          </w:p>
        </w:tc>
        <w:tc>
          <w:tcPr/>
          <w:p>
            <w:pPr>
              <w:pStyle w:val="Compact"/>
              <w:jc w:val="left"/>
            </w:pPr>
            <w:r>
              <w:t xml:space="preserve">[1][2]</w:t>
            </w:r>
          </w:p>
        </w:tc>
      </w:tr>
      <w:tr>
        <w:tc>
          <w:tcPr/>
          <w:p>
            <w:pPr>
              <w:pStyle w:val="Compact"/>
              <w:jc w:val="left"/>
            </w:pPr>
            <w:r>
              <w:t xml:space="preserve">Últimos 12 meses (ago-25 a jul-26)</w:t>
            </w:r>
          </w:p>
        </w:tc>
        <w:tc>
          <w:tcPr/>
          <w:p>
            <w:pPr>
              <w:pStyle w:val="Compact"/>
              <w:jc w:val="left"/>
            </w:pPr>
            <w:r>
              <w:t xml:space="preserve">2.002,6</w:t>
            </w:r>
          </w:p>
        </w:tc>
        <w:tc>
          <w:tcPr/>
          <w:p>
            <w:pPr>
              <w:pStyle w:val="Compact"/>
              <w:jc w:val="left"/>
            </w:pPr>
            <w:r>
              <w:t xml:space="preserve">+84 %</w:t>
            </w:r>
          </w:p>
        </w:tc>
        <w:tc>
          <w:tcPr/>
          <w:p>
            <w:pPr>
              <w:pStyle w:val="Compact"/>
              <w:jc w:val="left"/>
            </w:pPr>
            <w:r>
              <w:rPr>
                <w:bCs/>
                <w:b/>
              </w:rPr>
              <w:t xml:space="preserve">+16 %</w:t>
            </w:r>
            <w:r>
              <w:t xml:space="preserve"> </w:t>
            </w:r>
            <w:r>
              <w:t xml:space="preserve">(est.)</w:t>
            </w:r>
          </w:p>
        </w:tc>
        <w:tc>
          <w:tcPr/>
          <w:p>
            <w:pPr>
              <w:pStyle w:val="Compact"/>
              <w:jc w:val="left"/>
            </w:pPr>
            <w:r>
              <w:t xml:space="preserve">cálculo</w:t>
            </w:r>
          </w:p>
        </w:tc>
      </w:tr>
      <w:tr>
        <w:tc>
          <w:tcPr/>
          <w:p>
            <w:pPr>
              <w:pStyle w:val="Compact"/>
              <w:jc w:val="left"/>
            </w:pPr>
            <w:r>
              <w:t xml:space="preserve">Guía FY27</w:t>
            </w:r>
          </w:p>
        </w:tc>
        <w:tc>
          <w:tcPr/>
          <w:p>
            <w:pPr>
              <w:pStyle w:val="Compact"/>
              <w:jc w:val="left"/>
            </w:pPr>
            <w:r>
              <w:t xml:space="preserve">2.175 (punto medio)</w:t>
            </w:r>
          </w:p>
        </w:tc>
        <w:tc>
          <w:tcPr/>
          <w:p>
            <w:pPr>
              <w:pStyle w:val="Compact"/>
              <w:jc w:val="left"/>
            </w:pPr>
            <w:r>
              <w:t xml:space="preserve">+10 %</w:t>
            </w:r>
          </w:p>
        </w:tc>
        <w:tc>
          <w:tcPr/>
          <w:p>
            <w:pPr>
              <w:pStyle w:val="Compact"/>
              <w:jc w:val="left"/>
            </w:pPr>
            <w:r>
              <w:t xml:space="preserve">+5,8 % frente al FY26 pro forma con ESAero (2.056 M)</w:t>
            </w:r>
          </w:p>
        </w:tc>
        <w:tc>
          <w:tcPr/>
          <w:p>
            <w:pPr>
              <w:pStyle w:val="Compact"/>
              <w:jc w:val="left"/>
            </w:pPr>
            <w:r>
              <w:t xml:space="preserve">[1][3]</w:t>
            </w:r>
          </w:p>
        </w:tc>
      </w:tr>
      <w:tr>
        <w:tc>
          <w:tcPr/>
          <w:p>
            <w:pPr>
              <w:pStyle w:val="Compact"/>
              <w:jc w:val="left"/>
            </w:pPr>
            <w:r>
              <w:t xml:space="preserve">Consenso FY28</w:t>
            </w:r>
          </w:p>
        </w:tc>
        <w:tc>
          <w:tcPr/>
          <w:p>
            <w:pPr>
              <w:pStyle w:val="Compact"/>
              <w:jc w:val="left"/>
            </w:pPr>
            <w:r>
              <w:t xml:space="preserve">2.540</w:t>
            </w:r>
          </w:p>
        </w:tc>
        <w:tc>
          <w:tcPr/>
          <w:p>
            <w:pPr>
              <w:pStyle w:val="Compact"/>
              <w:jc w:val="left"/>
            </w:pPr>
            <w:r>
              <w:t xml:space="preserve">+15 %</w:t>
            </w:r>
          </w:p>
        </w:tc>
        <w:tc>
          <w:tcPr/>
          <w:p>
            <w:pPr>
              <w:pStyle w:val="Compact"/>
              <w:jc w:val="left"/>
            </w:pPr>
            <w:r>
              <w:t xml:space="preserve">—</w:t>
            </w:r>
          </w:p>
        </w:tc>
        <w:tc>
          <w:tcPr/>
          <w:p>
            <w:pPr>
              <w:pStyle w:val="Compact"/>
              <w:jc w:val="left"/>
            </w:pPr>
            <w:r>
              <w:t xml:space="preserve">[7]</w:t>
            </w:r>
          </w:p>
        </w:tc>
      </w:tr>
    </w:tbl>
    <w:p>
      <w:pPr>
        <w:pStyle w:val="BodyText"/>
      </w:pPr>
      <w:r>
        <w:t xml:space="preserve">Cómo se separa: el 10-K da las ventas «pro forma» como si BlueHalo y ESAero hubieran sido de la empresa desde mayo de 2024 [3]. BlueHalo vendió 919 M en el FY26, un 9 % más que en su año anterior (~843 M). El negocio de siempre de AeroVironment creció más: un 26 % en el FY26. Los trimestres orgánicos marcados «est.» son estimaciones mías, porque BlueHalo no publicaba trimestres.</w:t>
      </w:r>
    </w:p>
    <w:p>
      <w:pPr>
        <w:numPr>
          <w:ilvl w:val="0"/>
          <w:numId w:val="1003"/>
        </w:numPr>
        <w:pStyle w:val="Compact"/>
      </w:pPr>
      <w:r>
        <w:rPr>
          <w:bCs/>
          <w:b/>
        </w:rPr>
        <w:t xml:space="preserve">Qué pasó en el 1T FY27</w:t>
      </w:r>
      <w:r>
        <w:t xml:space="preserve">: Switchblade vendió 56,9 M menos «por retraso de pedidos» (al contrato marco de 990 M le quedan «un par de cientos de millones»), el espacio cayó por la cancelación de SCAR y la ciberseguridad perdió alcance en algunos contratos. Los drones pequeños subieron un 71 % [2][17].</w:t>
      </w:r>
    </w:p>
    <w:p>
      <w:pPr>
        <w:numPr>
          <w:ilvl w:val="0"/>
          <w:numId w:val="1003"/>
        </w:numPr>
        <w:pStyle w:val="Compact"/>
      </w:pPr>
      <w:r>
        <w:rPr>
          <w:bCs/>
          <w:b/>
        </w:rPr>
        <w:t xml:space="preserve">Aceleración: −19,7 pp</w:t>
      </w:r>
      <w:r>
        <w:t xml:space="preserve"> </w:t>
      </w:r>
      <w:r>
        <w:t xml:space="preserve">(+1 % en el trimestre frente a una media de ~+20 % en los cuatro anteriores). Puntúa 0.</w:t>
      </w:r>
    </w:p>
    <w:p>
      <w:pPr>
        <w:numPr>
          <w:ilvl w:val="0"/>
          <w:numId w:val="1003"/>
        </w:numPr>
        <w:pStyle w:val="Compact"/>
      </w:pPr>
      <w:r>
        <w:rPr>
          <w:bCs/>
          <w:b/>
        </w:rPr>
        <w:t xml:space="preserve">Proyección propia a 2 años: +11 % anual</w:t>
      </w:r>
      <w:r>
        <w:t xml:space="preserve"> </w:t>
      </w:r>
      <w:r>
        <w:t xml:space="preserve">(de 2.065 M a 2.550 M en los 12 meses a jul-2028), algo por debajo del consenso (~2.620 M en la misma ventana, estimación con el consenso del FY28).</w:t>
      </w:r>
    </w:p>
    <w:p>
      <w:pPr>
        <w:numPr>
          <w:ilvl w:val="0"/>
          <w:numId w:val="1003"/>
        </w:numPr>
        <w:pStyle w:val="Compact"/>
      </w:pPr>
      <w:r>
        <w:rPr>
          <w:bCs/>
          <w:b/>
        </w:rPr>
        <w:t xml:space="preserve">Guía</w:t>
      </w:r>
      <w:r>
        <w:t xml:space="preserve">: solo anual. FY27 (a abril de 2027) sin cambios en el 1T: ventas de 2.125 a 2.225 M y EBITDA ajustado de 305 a 325 M; reparto 45/55 entre semestres y 86 % ya visible [1][17]. La dirección lo llama «crecimiento orgánico del 10 %», pero unos 7 puntos vienen de un año entero de ESAero. A perímetro constante, la guía implica un +7,5 % en lo que queda del año. Es la cifra que va en</w:t>
      </w:r>
      <w:r>
        <w:t xml:space="preserve"> </w:t>
      </w:r>
      <w:r>
        <w:rPr>
          <w:rStyle w:val="VerbatimChar"/>
        </w:rPr>
        <w:t xml:space="preserve">guia_12m_pct</w:t>
      </w:r>
      <w:r>
        <w:t xml:space="preserve">.</w:t>
      </w:r>
    </w:p>
    <w:p>
      <w:pPr>
        <w:numPr>
          <w:ilvl w:val="0"/>
          <w:numId w:val="1003"/>
        </w:numPr>
        <w:pStyle w:val="Compact"/>
      </w:pPr>
      <w:r>
        <w:rPr>
          <w:bCs/>
          <w:b/>
        </w:rPr>
        <w:t xml:space="preserve">Historial con la guía del FY26</w:t>
      </w:r>
      <w:r>
        <w:t xml:space="preserve">: empezó en 1.900-2.000 M, la subió (1.950-2.000 M) en diciembre, la recortó (1.850-1.950 M) en marzo y acabó en 1.976,8 M. El exceso sobre la primera guía es de +0,4 pp [4][5].</w:t>
      </w:r>
    </w:p>
    <w:p>
      <w:pPr>
        <w:numPr>
          <w:ilvl w:val="0"/>
          <w:numId w:val="1003"/>
        </w:numPr>
        <w:pStyle w:val="Compact"/>
      </w:pPr>
      <w:r>
        <w:rPr>
          <w:bCs/>
          <w:b/>
        </w:rPr>
        <w:t xml:space="preserve">Cartera</w:t>
      </w:r>
      <w:r>
        <w:t xml:space="preserve">: 1.458 M financiada (+37 % en un año) y 1.367 M sin financiar. Pedidos del trimestre de 683 M, 1,4 veces las ventas [1][2].</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2028: ~30.000 M USD</w:t>
      </w:r>
      <w:r>
        <w:t xml:space="preserve">, estimación propia. Sale de lo que compra EE. UU. en drones pequeños y medianos, municiones merodeadoras, antidrones y láseres, más aliados (Europa, Taiwán, Oriente Medio). La petición de presupuesto FY27 del Pentágono pide</w:t>
      </w:r>
      <w:r>
        <w:t xml:space="preserve"> </w:t>
      </w:r>
      <w:r>
        <w:rPr>
          <w:bCs/>
          <w:b/>
        </w:rPr>
        <w:t xml:space="preserve">~54.000-75.000 M</w:t>
      </w:r>
      <w:r>
        <w:t xml:space="preserve"> </w:t>
      </w:r>
      <w:r>
        <w:t xml:space="preserve">para drones y antidrones (DAWG), pero una parte va por una ley de reconciliación incierta y mucho es para drones baratos de muchos fabricantes [18].</w:t>
      </w:r>
      <w:r>
        <w:t xml:space="preserve"> </w:t>
      </w:r>
      <w:r>
        <w:rPr>
          <w:bCs/>
          <w:b/>
        </w:rPr>
        <w:t xml:space="preserve">Penetración 6,9 %.</w:t>
      </w:r>
    </w:p>
    <w:p>
      <w:pPr>
        <w:numPr>
          <w:ilvl w:val="0"/>
          <w:numId w:val="1004"/>
        </w:numPr>
        <w:pStyle w:val="Compact"/>
      </w:pPr>
      <w:r>
        <w:rPr>
          <w:bCs/>
          <w:b/>
        </w:rPr>
        <w:t xml:space="preserve">Posición 3/5</w:t>
      </w:r>
      <w:r>
        <w:t xml:space="preserve">: líder histórico en drones pequeños y Switchblade, pero pierde terreno en lo nuevo. En 2026 el Pentágono eligió a 25 empresas para los drones de ataque baratos (Drone Dominance), con precios de 3.000-5.000 USD por unidad, y los primeros ganadores fueron empresas poco conocidas [18]. Gana en láseres (LOCUST) y en el programa P550 («más del 80 %» de los pedidos, según la empresa) [17].</w:t>
      </w:r>
    </w:p>
    <w:p>
      <w:pPr>
        <w:numPr>
          <w:ilvl w:val="0"/>
          <w:numId w:val="1004"/>
        </w:numPr>
        <w:pStyle w:val="Compact"/>
      </w:pPr>
      <w:r>
        <w:rPr>
          <w:bCs/>
          <w:b/>
        </w:rPr>
        <w:t xml:space="preserve">Rivales</w:t>
      </w:r>
      <w:r>
        <w:t xml:space="preserve">: Anduril (Altius, Roadrunner, antidrones), Teledyne FLIR, Red Cat/Teal, Shield AI, Kratos, Textron, Lockheed y Raytheon en antidrones, y en Europa Rheinmetall, Saab, Helsing y Quantum Systems.</w:t>
      </w:r>
    </w:p>
    <w:p>
      <w:pPr>
        <w:numPr>
          <w:ilvl w:val="0"/>
          <w:numId w:val="1004"/>
        </w:numPr>
        <w:pStyle w:val="Compact"/>
      </w:pPr>
      <w:r>
        <w:rPr>
          <w:bCs/>
          <w:b/>
        </w:rPr>
        <w:t xml:space="preserve">Por qué podría ganar</w:t>
      </w:r>
      <w:r>
        <w:t xml:space="preserve">: tiene producto probado en combate, capacidad de fábrica (Salt Lake City, Albuquerque, Huntsville y el nuevo campus del sur de California) y presencia en el Ejército.</w:t>
      </w:r>
      <w:r>
        <w:t xml:space="preserve"> </w:t>
      </w:r>
      <w:r>
        <w:rPr>
          <w:bCs/>
          <w:b/>
        </w:rPr>
        <w:t xml:space="preserve">Por qué podría perder</w:t>
      </w:r>
      <w:r>
        <w:t xml:space="preserve">: el valor se va al software autónomo y a la producción masiva barata, donde su margen y su ventaja son menores.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 o 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El precio objetivo medio baja de 266,7 USD en julio a 216,5 USD en octubre. BofA lo baja de 450 a 225 y luego a 185. RBC pasa a Neutral. El consenso de ventas del FY27 sigue pegado a la guía</w:t>
            </w:r>
          </w:p>
        </w:tc>
        <w:tc>
          <w:tcPr/>
          <w:p>
            <w:pPr>
              <w:pStyle w:val="Compact"/>
              <w:jc w:val="left"/>
            </w:pPr>
            <w:r>
              <w:t xml:space="preserve">[6][7][8]</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127,13 USD frente a una media de 197,5 que baja. Mínimo de 52 semanas ese día</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−34,6 % frente a +17,3 % del Nasdaq y −12,4 % del ETF de defensa ITA</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Mejora del múltiplo ≥ 20 %</w:t>
            </w:r>
          </w:p>
        </w:tc>
        <w:tc>
          <w:tcPr/>
          <w:p>
            <w:pPr>
              <w:pStyle w:val="Compact"/>
              <w:jc w:val="left"/>
            </w:pPr>
            <w:r>
              <w:t xml:space="preserve">No</w:t>
            </w:r>
          </w:p>
        </w:tc>
        <w:tc>
          <w:tcPr/>
          <w:p>
            <w:pPr>
              <w:pStyle w:val="Compact"/>
              <w:jc w:val="left"/>
            </w:pPr>
            <w:r>
              <w:t xml:space="preserve">~20x EBITDA, el mínimo de los 12 meses (desde ~60x en oct-2025)</w:t>
            </w:r>
          </w:p>
        </w:tc>
        <w:tc>
          <w:tcPr/>
          <w:p>
            <w:pPr>
              <w:pStyle w:val="Compact"/>
              <w:jc w:val="left"/>
            </w:pPr>
            <w:r>
              <w:t xml:space="preserve">[15]</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El margen operativo contable mejora 13 pp, pero por menos amortización; el margen EBITDA ajustado baja (11,1 % frente a 12,4 %) y el FCF del trimestre es de −36 M</w:t>
            </w:r>
          </w:p>
        </w:tc>
        <w:tc>
          <w:tcPr/>
          <w:p>
            <w:pPr>
              <w:pStyle w:val="Compact"/>
              <w:jc w:val="left"/>
            </w:pPr>
            <w:r>
              <w:t xml:space="preserve">[1][2]</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reformulación de cuentas, demandas colectivas, BlackRock vende un 30 % y un 12,9 % de las acciones está prestado a corto</w:t>
            </w:r>
          </w:p>
        </w:tc>
        <w:tc>
          <w:tcPr/>
          <w:p>
            <w:pPr>
              <w:pStyle w:val="Compact"/>
              <w:jc w:val="left"/>
            </w:pPr>
            <w:r>
              <w:t xml:space="preserve">[7][10][11]</w:t>
            </w:r>
          </w:p>
        </w:tc>
      </w:tr>
      <w:tr>
        <w:tc>
          <w:tcPr/>
          <w:p>
            <w:pPr>
              <w:pStyle w:val="Compact"/>
              <w:jc w:val="left"/>
            </w:pPr>
            <w:r>
              <w:t xml:space="preserve">7</w:t>
            </w:r>
          </w:p>
        </w:tc>
        <w:tc>
          <w:tcPr/>
          <w:p>
            <w:pPr>
              <w:pStyle w:val="Compact"/>
              <w:jc w:val="left"/>
            </w:pPr>
            <w:r>
              <w:t xml:space="preserve">Compras de directivos o de inversores de referencia</w:t>
            </w:r>
          </w:p>
        </w:tc>
        <w:tc>
          <w:tcPr/>
          <w:p>
            <w:pPr>
              <w:pStyle w:val="Compact"/>
              <w:jc w:val="left"/>
            </w:pPr>
            <w:r>
              <w:t xml:space="preserve">No</w:t>
            </w:r>
          </w:p>
        </w:tc>
        <w:tc>
          <w:tcPr/>
          <w:p>
            <w:pPr>
              <w:pStyle w:val="Compact"/>
              <w:jc w:val="left"/>
            </w:pPr>
            <w:r>
              <w:t xml:space="preserve">Solo ventas pequeñas de directivos. Arlington (vendedor de BlueHalo) conserva el 23,7 % y ya ha vendido ~5,7 M de acciones</w:t>
            </w:r>
          </w:p>
        </w:tc>
        <w:tc>
          <w:tcPr/>
          <w:p>
            <w:pPr>
              <w:pStyle w:val="Compact"/>
              <w:jc w:val="left"/>
            </w:pPr>
            <w:r>
              <w:t xml:space="preserve">[14][16]</w:t>
            </w:r>
          </w:p>
        </w:tc>
      </w:tr>
      <w:tr>
        <w:tc>
          <w:tcPr/>
          <w:p>
            <w:pPr>
              <w:pStyle w:val="Compact"/>
              <w:jc w:val="left"/>
            </w:pPr>
            <w:r>
              <w:t xml:space="preserve">8</w:t>
            </w:r>
          </w:p>
        </w:tc>
        <w:tc>
          <w:tcPr/>
          <w:p>
            <w:pPr>
              <w:pStyle w:val="Compact"/>
              <w:jc w:val="left"/>
            </w:pPr>
            <w:r>
              <w:t xml:space="preserve">Catalizador nuevo en 6 meses</w:t>
            </w:r>
          </w:p>
        </w:tc>
        <w:tc>
          <w:tcPr/>
          <w:p>
            <w:pPr>
              <w:pStyle w:val="Compact"/>
              <w:jc w:val="left"/>
            </w:pPr>
            <w:r>
              <w:rPr>
                <w:bCs/>
                <w:b/>
              </w:rPr>
              <w:t xml:space="preserve">Sí</w:t>
            </w:r>
          </w:p>
        </w:tc>
        <w:tc>
          <w:tcPr/>
          <w:p>
            <w:pPr>
              <w:pStyle w:val="Compact"/>
              <w:jc w:val="left"/>
            </w:pPr>
            <w:r>
              <w:t xml:space="preserve">Presupuesto de drones FY27 (diciembre), producción del láser LOCUST, contrato marco de 500 M del antidrón Titan, P550, resultados del 2T a principios de diciembre</w:t>
            </w:r>
          </w:p>
        </w:tc>
        <w:tc>
          <w:tcPr/>
          <w:p>
            <w:pPr>
              <w:pStyle w:val="Compact"/>
              <w:jc w:val="left"/>
            </w:pPr>
            <w:r>
              <w:t xml:space="preserve">[1][17][18]</w:t>
            </w:r>
          </w:p>
        </w:tc>
      </w:tr>
    </w:tbl>
    <w:p>
      <w:pPr>
        <w:pStyle w:val="BodyText"/>
      </w:pPr>
      <w:r>
        <w:rPr>
          <w:bCs/>
          <w:b/>
        </w:rPr>
        <w:t xml:space="preserve">Euforia: no.</w:t>
      </w:r>
      <w:r>
        <w:t xml:space="preserve"> </w:t>
      </w:r>
      <w:r>
        <w:t xml:space="preserve">La acción ha caído un 69 % en 12 meses (de 409,83 a 127,13 USD) y está en mínimos de un año. Bloque C: 2,5 de 20.</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¿Es rentable de forma estable?</w:t>
      </w:r>
      <w:r>
        <w:t xml:space="preserve"> </w:t>
      </w:r>
      <w:r>
        <w:t xml:space="preserve">En EBITDA ajustado, sí: 127,8 M en el FY24, 146,4 M en el FY25, 287 M en el FY26 y una guía de 315 M para el FY27 [1][4]. En beneficio contable, no: pierde dinero por la amortización de lo comprado (173 M previstos en el FY27) y por el deterioro de 241 M de Espacio. Por eso</w:t>
      </w:r>
      <w:r>
        <w:t xml:space="preserve"> </w:t>
      </w:r>
      <w:r>
        <w:rPr>
          <w:bCs/>
          <w:b/>
        </w:rPr>
        <w:t xml:space="preserve">valoro por EV/EBITDA</w:t>
      </w:r>
      <w:r>
        <w:t xml:space="preserve">, como a Saab y Rheinmetall. El EV/ventas la compararía mal con el software (margen bruto del 26 %) y el beneficio contable está distorsionado por las compras.</w:t>
      </w:r>
    </w:p>
    <w:p>
      <w:pPr>
        <w:numPr>
          <w:ilvl w:val="0"/>
          <w:numId w:val="1005"/>
        </w:numPr>
        <w:pStyle w:val="Compact"/>
      </w:pPr>
      <w:r>
        <w:rPr>
          <w:bCs/>
          <w:b/>
        </w:rPr>
        <w:t xml:space="preserve">Margen bruto 26,5 %</w:t>
      </w:r>
      <w:r>
        <w:t xml:space="preserve"> </w:t>
      </w:r>
      <w:r>
        <w:t xml:space="preserve">en 12 meses (contable; ~30 % sin la amortización de la compra). El margen de producto es del 40 % y el de servicios solo del 8 % [17]. Puntúa 1 de 5.</w:t>
      </w:r>
    </w:p>
    <w:p>
      <w:pPr>
        <w:numPr>
          <w:ilvl w:val="0"/>
          <w:numId w:val="1005"/>
        </w:numPr>
        <w:pStyle w:val="Compact"/>
      </w:pPr>
      <w:r>
        <w:rPr>
          <w:bCs/>
          <w:b/>
        </w:rPr>
        <w:t xml:space="preserve">Margen EBITDA ajustado ~14,6 %</w:t>
      </w:r>
      <w:r>
        <w:t xml:space="preserve"> </w:t>
      </w:r>
      <w:r>
        <w:t xml:space="preserve">previsto para los 12 meses siguientes (11,1 % en el 1T, que es el trimestre flojo).</w:t>
      </w:r>
    </w:p>
    <w:p>
      <w:pPr>
        <w:numPr>
          <w:ilvl w:val="0"/>
          <w:numId w:val="1005"/>
        </w:numPr>
        <w:pStyle w:val="Compact"/>
      </w:pPr>
      <w:r>
        <w:rPr>
          <w:bCs/>
          <w:b/>
        </w:rPr>
        <w:t xml:space="preserve">FCF de 12 meses: −25 M</w:t>
      </w:r>
      <w:r>
        <w:t xml:space="preserve"> </w:t>
      </w:r>
      <w:r>
        <w:t xml:space="preserve">(flujo operativo +58,8 M e inversiones −83,8 M). La empresa prevé FCF negativo en el FY27, porque invierte el 12-14 % de las ventas en fábricas, y positivo en el FY28 [17]. Camino a la rentabilidad: equilibrio en ≤ 24 meses.</w:t>
      </w:r>
    </w:p>
    <w:p>
      <w:pPr>
        <w:numPr>
          <w:ilvl w:val="0"/>
          <w:numId w:val="1005"/>
        </w:numPr>
        <w:pStyle w:val="Compact"/>
      </w:pPr>
      <w:r>
        <w:rPr>
          <w:bCs/>
          <w:b/>
        </w:rPr>
        <w:t xml:space="preserve">Regla del 40: 15</w:t>
      </w:r>
      <w:r>
        <w:t xml:space="preserve"> </w:t>
      </w:r>
      <w:r>
        <w:t xml:space="preserve">(16 % de crecimiento orgánico menos 1 % de margen FCF). Puntúa 0. Bloque D: 3 de 15.</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e inversiones 675 M; deuda 747,5 M</w:t>
      </w:r>
      <w:r>
        <w:t xml:space="preserve"> </w:t>
      </w:r>
      <w:r>
        <w:t xml:space="preserve">en un bono convertible al 0 % que vence en julio de 2030, con precio de conversión de 322,40 USD (2,5 veces el precio de hoy, así que hoy no diluye). Línea de crédito sin usar de 337 M. La deuda neta es de ~73 M [1][2].</w:t>
      </w:r>
    </w:p>
    <w:p>
      <w:pPr>
        <w:numPr>
          <w:ilvl w:val="0"/>
          <w:numId w:val="1006"/>
        </w:numPr>
        <w:pStyle w:val="Compact"/>
      </w:pPr>
      <w:r>
        <w:rPr>
          <w:bCs/>
          <w:b/>
        </w:rPr>
        <w:t xml:space="preserve">Pista: amplia</w:t>
      </w:r>
      <w:r>
        <w:t xml:space="preserve"> </w:t>
      </w:r>
      <w:r>
        <w:t xml:space="preserve">(más de 36 meses con una quema de ~25 M).</w:t>
      </w:r>
    </w:p>
    <w:p>
      <w:pPr>
        <w:numPr>
          <w:ilvl w:val="0"/>
          <w:numId w:val="1006"/>
        </w:numPr>
        <w:pStyle w:val="Compact"/>
      </w:pPr>
      <w:r>
        <w:rPr>
          <w:bCs/>
          <w:b/>
        </w:rPr>
        <w:t xml:space="preserve">Dilución: el punto débil.</w:t>
      </w:r>
      <w:r>
        <w:t xml:space="preserve"> </w:t>
      </w:r>
      <w:r>
        <w:t xml:space="preserve">En 12 meses solo hay un 1,8 % más de acciones (de 49,9 a 50,8 M), y por eso el método puntúa 5 de 5. Pero en dos años hay</w:t>
      </w:r>
      <w:r>
        <w:t xml:space="preserve"> </w:t>
      </w:r>
      <w:r>
        <w:rPr>
          <w:bCs/>
          <w:b/>
        </w:rPr>
        <w:t xml:space="preserve">un 80 % más</w:t>
      </w:r>
      <w:r>
        <w:t xml:space="preserve">: 17,7 M de acciones para BlueHalo (mayo de 2025), 4,06 M en una ampliación a 248 USD (julio de 2025) y 0,67 M para ESAero (marzo de 2026) [2][3]. Cuentas por acción: las ventas por acción suben un 55 % en dos años, pero el</w:t>
      </w:r>
      <w:r>
        <w:t xml:space="preserve"> </w:t>
      </w:r>
      <w:r>
        <w:rPr>
          <w:bCs/>
          <w:b/>
        </w:rPr>
        <w:t xml:space="preserve">EBITDA ajustado por acción, solo un 22 %</w:t>
      </w:r>
      <w:r>
        <w:t xml:space="preserve"> </w:t>
      </w:r>
      <w:r>
        <w:t xml:space="preserve">(de 4,55 USD en el FY24 a 5,57 USD en los últimos 12 meses). Las compras crearon poco valor por acción, y una parte (Espacio) ya se ha deteriorado.</w:t>
      </w:r>
    </w:p>
    <w:p>
      <w:pPr>
        <w:numPr>
          <w:ilvl w:val="0"/>
          <w:numId w:val="1006"/>
        </w:numPr>
        <w:pStyle w:val="Compact"/>
      </w:pPr>
      <w:r>
        <w:t xml:space="preserve">Pagos en acciones: 1,6 % de las ventas (31,8 M en 12 meses). Sin dividendo. Bloque E: 10 de 10, una cifra que exagera la calidad por cómo se mide la dilución.</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Wahid Nawabi</w:t>
      </w:r>
      <w:r>
        <w:t xml:space="preserve">, consejero delegado desde 2016 y presidente: multiplicó las ventas por 6 en diez años, pero con compras pagadas en acciones. Tiene 162.200 acciones (~20 M USD) y no compra.</w:t>
      </w:r>
      <w:r>
        <w:t xml:space="preserve"> </w:t>
      </w:r>
      <w:r>
        <w:rPr>
          <w:bCs/>
          <w:b/>
        </w:rPr>
        <w:t xml:space="preserve">Cambio de director financiero</w:t>
      </w:r>
      <w:r>
        <w:t xml:space="preserve"> </w:t>
      </w:r>
      <w:r>
        <w:t xml:space="preserve">en 2026: Kevin McDonnell (demandado en las dos demandas colectivas) sale y entra Sean Woodward [2][14].</w:t>
      </w:r>
    </w:p>
    <w:p>
      <w:pPr>
        <w:numPr>
          <w:ilvl w:val="0"/>
          <w:numId w:val="1007"/>
        </w:numPr>
        <w:pStyle w:val="Compact"/>
      </w:pPr>
      <w:r>
        <w:rPr>
          <w:bCs/>
          <w:b/>
        </w:rPr>
        <w:t xml:space="preserve">Historial 2/5</w:t>
      </w:r>
      <w:r>
        <w:t xml:space="preserve">: falló en el 2T y el 3T del FY26 (recortó la guía en marzo) y batió en el 4T y en el 1T FY27 (BPA ajustado de 0,59 USD frente a 0,30 esperado) [4][5]. Rehízo las cuentas del 3T FY26 y tiene dos debilidades materiales de control interno (sistemas de BlueHalo y el cálculo del deterioro) [10].</w:t>
      </w:r>
    </w:p>
    <w:p>
      <w:pPr>
        <w:numPr>
          <w:ilvl w:val="0"/>
          <w:numId w:val="1007"/>
        </w:numPr>
        <w:pStyle w:val="Compact"/>
      </w:pPr>
      <w:r>
        <w:rPr>
          <w:bCs/>
          <w:b/>
        </w:rPr>
        <w:t xml:space="preserve">Dirección 2/5</w:t>
      </w:r>
      <w:r>
        <w:t xml:space="preserve">: pagó ~4.100 M USD en acciones por BlueHalo cuando la acción estaba en ~150 USD, y una parte (Espacio) ya se ha deteriorado. Los dos consejeros de Arlington dimitieron en junio, y Arlington puede vender su 23,7 %.</w:t>
      </w:r>
    </w:p>
    <w:bookmarkEnd w:id="27"/>
    <w:bookmarkStart w:id="28" w:name="valoración"/>
    <w:p>
      <w:pPr>
        <w:pStyle w:val="Heading2"/>
      </w:pPr>
      <w:r>
        <w:t xml:space="preserve">9. Valoración</w:t>
      </w:r>
    </w:p>
    <w:p>
      <w:pPr>
        <w:pStyle w:val="FirstParagraph"/>
      </w:pPr>
      <w:r>
        <w:rPr>
          <w:bCs/>
          <w:b/>
        </w:rPr>
        <w:t xml:space="preserve">Métrica: EV/EBITDA ajustado de los 12 meses siguientes</w:t>
      </w:r>
      <w:r>
        <w:t xml:space="preserve"> </w:t>
      </w:r>
      <w:r>
        <w:t xml:space="preserve">(explicación en la sección 6).</w:t>
      </w:r>
    </w:p>
    <w:p>
      <w:pPr>
        <w:numPr>
          <w:ilvl w:val="0"/>
          <w:numId w:val="1008"/>
        </w:numPr>
        <w:pStyle w:val="Compact"/>
      </w:pPr>
      <w:r>
        <w:rPr>
          <w:bCs/>
          <w:b/>
        </w:rPr>
        <w:t xml:space="preserve">Hoy</w:t>
      </w:r>
      <w:r>
        <w:t xml:space="preserve">: valor de empresa ≈ 6.544 M USD (127,13 × 50,9 M de acciones + 747,5 M de deuda − 675 M de caja). EBITDA de los 12 meses siguientes ≈ 325 M (guía del FY27, menos el 1T real, más un 1T del FY28 estimado):</w:t>
      </w:r>
      <w:r>
        <w:t xml:space="preserve"> </w:t>
      </w:r>
      <w:r>
        <w:rPr>
          <w:bCs/>
          <w:b/>
        </w:rPr>
        <w:t xml:space="preserve">20,1x</w:t>
      </w:r>
      <w:r>
        <w:t xml:space="preserve">. En ventas, 2,9x. Mediana de 3 años</w:t>
      </w:r>
      <w:r>
        <w:t xml:space="preserve"> </w:t>
      </w:r>
      <w:r>
        <w:rPr>
          <w:bCs/>
          <w:b/>
        </w:rPr>
        <w:t xml:space="preserve">~30,7x</w:t>
      </w:r>
      <w:r>
        <w:t xml:space="preserve"> </w:t>
      </w:r>
      <w:r>
        <w:t xml:space="preserve">y mínimo</w:t>
      </w:r>
      <w:r>
        <w:t xml:space="preserve"> </w:t>
      </w:r>
      <w:r>
        <w:rPr>
          <w:bCs/>
          <w:b/>
        </w:rPr>
        <w:t xml:space="preserve">~19x</w:t>
      </w:r>
      <w:r>
        <w:t xml:space="preserve"> </w:t>
      </w:r>
      <w:r>
        <w:t xml:space="preserve">(estimación propia). Comparables: Rheinmetall 10,8x, Saab 20,3x, Kongsberg ~21x, Elbit 33x y Kratos 71x (estos dos, con el EBITDA pasado).</w:t>
      </w:r>
      <w:r>
        <w:t xml:space="preserve"> </w:t>
      </w:r>
      <w:r>
        <w:rPr>
          <w:bCs/>
          <w:b/>
        </w:rPr>
        <w:t xml:space="preserve">Mediana: 21x.</w:t>
      </w:r>
    </w:p>
    <w:p>
      <w:pPr>
        <w:numPr>
          <w:ilvl w:val="0"/>
          <w:numId w:val="1008"/>
        </w:numPr>
        <w:pStyle w:val="Compact"/>
      </w:pPr>
      <w:r>
        <w:rPr>
          <w:bCs/>
          <w:b/>
        </w:rPr>
        <w:t xml:space="preserve">Ventas del informe</w:t>
      </w:r>
      <w:r>
        <w:t xml:space="preserve"> </w:t>
      </w:r>
      <w:r>
        <w:t xml:space="preserve">(12 meses a jul-2028): bajista 2.250 M, base 2.550 M y alcista 2.800 M.</w:t>
      </w:r>
      <w:r>
        <w:t xml:space="preserve"> </w:t>
      </w:r>
      <w:r>
        <w:rPr>
          <w:bCs/>
          <w:b/>
        </w:rPr>
        <w:t xml:space="preserve">Consenso: ~2.620 M</w:t>
      </w:r>
      <w:r>
        <w:t xml:space="preserve"> </w:t>
      </w:r>
      <w:r>
        <w:t xml:space="preserve">(estimación con el consenso del FY28, 2.540 M, más un trimestre del FY29). La regla mecánica da menos (2.219, 2.378 y 2.443 M) porque parte del crecimiento orgánico de hoy y de la guía. v11 toma la menor de las dos: la mecánica en los tres escenarios.</w:t>
      </w:r>
    </w:p>
    <w:p>
      <w:pPr>
        <w:numPr>
          <w:ilvl w:val="0"/>
          <w:numId w:val="1008"/>
        </w:numPr>
        <w:pStyle w:val="Compact"/>
      </w:pPr>
      <w:r>
        <w:rPr>
          <w:bCs/>
          <w:b/>
        </w:rPr>
        <w:t xml:space="preserve">Probabilidades 35/50/15</w:t>
      </w:r>
      <w:r>
        <w:t xml:space="preserve"> </w:t>
      </w:r>
      <w:r>
        <w:t xml:space="preserve">en lugar de 25/50/25, porque la ejecución es dudosa (guía recortada, cuentas rehechas, control interno débil). Con 25/50/25 la ponderada sería +8,0 %, y la señal seguiría siendo Vender por la puntuación.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 EV/EBITDA</w:t>
            </w:r>
          </w:p>
        </w:tc>
        <w:tc>
          <w:tcPr/>
          <w:p>
            <w:pPr>
              <w:pStyle w:val="Compact"/>
              <w:jc w:val="left"/>
            </w:pPr>
            <w:r>
              <w:t xml:space="preserve">Margen EBITDA</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2.219</w:t>
            </w:r>
          </w:p>
        </w:tc>
        <w:tc>
          <w:tcPr/>
          <w:p>
            <w:pPr>
              <w:pStyle w:val="Compact"/>
              <w:jc w:val="left"/>
            </w:pPr>
            <w:r>
              <w:t xml:space="preserve">12,1x</w:t>
            </w:r>
          </w:p>
        </w:tc>
        <w:tc>
          <w:tcPr/>
          <w:p>
            <w:pPr>
              <w:pStyle w:val="Compact"/>
              <w:jc w:val="left"/>
            </w:pPr>
            <w:r>
              <w:t xml:space="preserve">14,6 %</w:t>
            </w:r>
          </w:p>
        </w:tc>
        <w:tc>
          <w:tcPr/>
          <w:p>
            <w:pPr>
              <w:pStyle w:val="Compact"/>
              <w:jc w:val="left"/>
            </w:pPr>
            <w:r>
              <w:t xml:space="preserve">73,6 USD</w:t>
            </w:r>
          </w:p>
        </w:tc>
        <w:tc>
          <w:tcPr/>
          <w:p>
            <w:pPr>
              <w:pStyle w:val="Compact"/>
              <w:jc w:val="left"/>
            </w:pPr>
            <w:r>
              <w:t xml:space="preserve">−42,1 %</w:t>
            </w:r>
          </w:p>
        </w:tc>
        <w:tc>
          <w:tcPr/>
          <w:p>
            <w:pPr>
              <w:pStyle w:val="Compact"/>
              <w:jc w:val="left"/>
            </w:pPr>
            <w:r>
              <w:t xml:space="preserve">35 %</w:t>
            </w:r>
          </w:p>
        </w:tc>
      </w:tr>
      <w:tr>
        <w:tc>
          <w:tcPr/>
          <w:p>
            <w:pPr>
              <w:pStyle w:val="Compact"/>
              <w:jc w:val="left"/>
            </w:pPr>
            <w:r>
              <w:t xml:space="preserve">Base</w:t>
            </w:r>
          </w:p>
        </w:tc>
        <w:tc>
          <w:tcPr/>
          <w:p>
            <w:pPr>
              <w:pStyle w:val="Compact"/>
              <w:jc w:val="left"/>
            </w:pPr>
            <w:r>
              <w:t xml:space="preserve">2.378</w:t>
            </w:r>
          </w:p>
        </w:tc>
        <w:tc>
          <w:tcPr/>
          <w:p>
            <w:pPr>
              <w:pStyle w:val="Compact"/>
              <w:jc w:val="left"/>
            </w:pPr>
            <w:r>
              <w:t xml:space="preserve">20,1x</w:t>
            </w:r>
          </w:p>
        </w:tc>
        <w:tc>
          <w:tcPr/>
          <w:p>
            <w:pPr>
              <w:pStyle w:val="Compact"/>
              <w:jc w:val="left"/>
            </w:pPr>
            <w:r>
              <w:t xml:space="preserve">14,6 %</w:t>
            </w:r>
          </w:p>
        </w:tc>
        <w:tc>
          <w:tcPr/>
          <w:p>
            <w:pPr>
              <w:pStyle w:val="Compact"/>
              <w:jc w:val="left"/>
            </w:pPr>
            <w:r>
              <w:t xml:space="preserve">132,9 USD</w:t>
            </w:r>
          </w:p>
        </w:tc>
        <w:tc>
          <w:tcPr/>
          <w:p>
            <w:pPr>
              <w:pStyle w:val="Compact"/>
              <w:jc w:val="left"/>
            </w:pPr>
            <w:r>
              <w:t xml:space="preserve">+4,5 %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2.443</w:t>
            </w:r>
          </w:p>
        </w:tc>
        <w:tc>
          <w:tcPr/>
          <w:p>
            <w:pPr>
              <w:pStyle w:val="Compact"/>
              <w:jc w:val="left"/>
            </w:pPr>
            <w:r>
              <w:t xml:space="preserve">30,7x</w:t>
            </w:r>
          </w:p>
        </w:tc>
        <w:tc>
          <w:tcPr/>
          <w:p>
            <w:pPr>
              <w:pStyle w:val="Compact"/>
              <w:jc w:val="left"/>
            </w:pPr>
            <w:r>
              <w:t xml:space="preserve">14,6 %</w:t>
            </w:r>
          </w:p>
        </w:tc>
        <w:tc>
          <w:tcPr/>
          <w:p>
            <w:pPr>
              <w:pStyle w:val="Compact"/>
              <w:jc w:val="left"/>
            </w:pPr>
            <w:r>
              <w:t xml:space="preserve">209,6 USD</w:t>
            </w:r>
          </w:p>
        </w:tc>
        <w:tc>
          <w:tcPr/>
          <w:p>
            <w:pPr>
              <w:pStyle w:val="Compact"/>
              <w:jc w:val="left"/>
            </w:pPr>
            <w:r>
              <w:t xml:space="preserve">+64,9 %</w:t>
            </w:r>
          </w:p>
        </w:tc>
        <w:tc>
          <w:tcPr/>
          <w:p>
            <w:pPr>
              <w:pStyle w:val="Compact"/>
              <w:jc w:val="left"/>
            </w:pPr>
            <w:r>
              <w:t xml:space="preserve">15 %</w:t>
            </w:r>
          </w:p>
        </w:tc>
      </w:tr>
      <w:tr>
        <w:tc>
          <w:tcPr/>
          <w:p>
            <w:pPr>
              <w:pStyle w:val="Compact"/>
              <w:jc w:val="left"/>
            </w:pPr>
            <w:r>
              <w:rPr>
                <w:bCs/>
                <w:b/>
              </w:rPr>
              <w:t xml:space="preserve">Ponderado (v11 y v9)</w:t>
            </w:r>
          </w:p>
        </w:tc>
        <w:tc>
          <w:tcPr/>
          <w:p>
            <w:pPr>
              <w:pStyle w:val="Compact"/>
            </w:pPr>
          </w:p>
        </w:tc>
        <w:tc>
          <w:tcPr/>
          <w:p>
            <w:pPr>
              <w:pStyle w:val="Compact"/>
            </w:pPr>
          </w:p>
        </w:tc>
        <w:tc>
          <w:tcPr/>
          <w:p>
            <w:pPr>
              <w:pStyle w:val="Compact"/>
            </w:pPr>
          </w:p>
        </w:tc>
        <w:tc>
          <w:tcPr/>
          <w:p>
            <w:pPr>
              <w:pStyle w:val="Compact"/>
              <w:jc w:val="left"/>
            </w:pPr>
            <w:r>
              <w:rPr>
                <w:bCs/>
                <w:b/>
              </w:rPr>
              <w:t xml:space="preserve">123,7 USD</w:t>
            </w:r>
          </w:p>
        </w:tc>
        <w:tc>
          <w:tcPr/>
          <w:p>
            <w:pPr>
              <w:pStyle w:val="Compact"/>
              <w:jc w:val="left"/>
            </w:pPr>
            <w:r>
              <w:rPr>
                <w:bCs/>
                <w:b/>
              </w:rPr>
              <w:t xml:space="preserve">−2,7 %</w:t>
            </w:r>
          </w:p>
        </w:tc>
        <w:tc>
          <w:tcPr/>
          <w:p>
            <w:pPr>
              <w:pStyle w:val="Compact"/>
            </w:pPr>
          </w:p>
        </w:tc>
      </w:tr>
    </w:tbl>
    <w:p>
      <w:pPr>
        <w:numPr>
          <w:ilvl w:val="0"/>
          <w:numId w:val="1009"/>
        </w:numPr>
        <w:pStyle w:val="Compact"/>
      </w:pPr>
      <w:r>
        <w:rPr>
          <w:bCs/>
          <w:b/>
        </w:rPr>
        <w:t xml:space="preserve">Asimetría 1,5.</w:t>
      </w:r>
      <w:r>
        <w:t xml:space="preserve"> </w:t>
      </w:r>
      <w:r>
        <w:rPr>
          <w:bCs/>
          <w:b/>
        </w:rPr>
        <w:t xml:space="preserve">Compra hasta 117,8 USD</w:t>
      </w:r>
      <w:r>
        <w:t xml:space="preserve">, pero solo si la puntuación pasara de 60, y está en 37,8.</w:t>
      </w:r>
    </w:p>
    <w:p>
      <w:pPr>
        <w:numPr>
          <w:ilvl w:val="0"/>
          <w:numId w:val="1009"/>
        </w:numPr>
        <w:pStyle w:val="Compact"/>
      </w:pPr>
      <w:r>
        <w:rPr>
          <w:bCs/>
          <w:b/>
        </w:rPr>
        <w:t xml:space="preserve">Contraste con el consenso</w:t>
      </w:r>
      <w:r>
        <w:t xml:space="preserve">: los analistas ponen un objetivo medio de 216,5 USD (+70 %), con 17 de 22 en Comprar. Los objetivos llevan cuatro meses bajando: el mercado de analistas va por detrás del precio.</w:t>
      </w:r>
    </w:p>
    <w:p>
      <w:pPr>
        <w:numPr>
          <w:ilvl w:val="0"/>
          <w:numId w:val="1009"/>
        </w:numPr>
        <w:pStyle w:val="Compact"/>
      </w:pPr>
      <w:r>
        <w:rPr>
          <w:bCs/>
          <w:b/>
        </w:rPr>
        <w:t xml:space="preserve">DCF inverso</w:t>
      </w:r>
      <w:r>
        <w:t xml:space="preserve">: el precio descuenta un crecimiento de ventas de ~13 % anual durante 10 años (coste de capital 9,5 %, margen FCF a largo plazo 10 %, crecimiento final 2,5 %). Es más que su crecimiento orgánico de hoy (+1 % en el trimestre y un +7,5 % guiado). No está barata para lo que crece.</w:t>
      </w:r>
    </w:p>
    <w:p>
      <w:pPr>
        <w:numPr>
          <w:ilvl w:val="0"/>
          <w:numId w:val="1009"/>
        </w:numPr>
        <w:pStyle w:val="Compact"/>
      </w:pPr>
      <w:r>
        <w:rPr>
          <w:bCs/>
          <w:b/>
        </w:rPr>
        <w:t xml:space="preserve">Frente a Saab y Rheinmetall</w:t>
      </w:r>
      <w:r>
        <w:t xml:space="preserve"> </w:t>
      </w:r>
      <w:r>
        <w:t xml:space="preserve">(los dos analizados hoy):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AeroVironment</w:t>
            </w:r>
          </w:p>
        </w:tc>
        <w:tc>
          <w:tcPr/>
          <w:p>
            <w:pPr>
              <w:pStyle w:val="Compact"/>
              <w:jc w:val="left"/>
            </w:pPr>
            <w:r>
              <w:t xml:space="preserve">Saab</w:t>
            </w:r>
          </w:p>
        </w:tc>
        <w:tc>
          <w:tcPr/>
          <w:p>
            <w:pPr>
              <w:pStyle w:val="Compact"/>
              <w:jc w:val="left"/>
            </w:pPr>
            <w:r>
              <w:t xml:space="preserve">Rheinmetall</w:t>
            </w:r>
          </w:p>
        </w:tc>
      </w:tr>
      <w:tr>
        <w:tc>
          <w:tcPr/>
          <w:p>
            <w:pPr>
              <w:pStyle w:val="Compact"/>
              <w:jc w:val="left"/>
            </w:pPr>
            <w:r>
              <w:t xml:space="preserve">Señal (v11)</w:t>
            </w:r>
          </w:p>
        </w:tc>
        <w:tc>
          <w:tcPr/>
          <w:p>
            <w:pPr>
              <w:pStyle w:val="Compact"/>
              <w:jc w:val="left"/>
            </w:pPr>
            <w:r>
              <w:t xml:space="preserve">Vender</w:t>
            </w:r>
          </w:p>
        </w:tc>
        <w:tc>
          <w:tcPr/>
          <w:p>
            <w:pPr>
              <w:pStyle w:val="Compact"/>
              <w:jc w:val="left"/>
            </w:pPr>
            <w:r>
              <w:t xml:space="preserve">Comprar (baja)</w:t>
            </w:r>
          </w:p>
        </w:tc>
        <w:tc>
          <w:tcPr/>
          <w:p>
            <w:pPr>
              <w:pStyle w:val="Compact"/>
              <w:jc w:val="left"/>
            </w:pPr>
            <w:r>
              <w:t xml:space="preserve">Mantener</w:t>
            </w:r>
          </w:p>
        </w:tc>
      </w:tr>
      <w:tr>
        <w:tc>
          <w:tcPr/>
          <w:p>
            <w:pPr>
              <w:pStyle w:val="Compact"/>
              <w:jc w:val="left"/>
            </w:pPr>
            <w:r>
              <w:t xml:space="preserve">Puntuación</w:t>
            </w:r>
          </w:p>
        </w:tc>
        <w:tc>
          <w:tcPr/>
          <w:p>
            <w:pPr>
              <w:pStyle w:val="Compact"/>
              <w:jc w:val="left"/>
            </w:pPr>
            <w:r>
              <w:t xml:space="preserve">37,8</w:t>
            </w:r>
          </w:p>
        </w:tc>
        <w:tc>
          <w:tcPr/>
          <w:p>
            <w:pPr>
              <w:pStyle w:val="Compact"/>
              <w:jc w:val="left"/>
            </w:pPr>
            <w:r>
              <w:t xml:space="preserve">63,3</w:t>
            </w:r>
          </w:p>
        </w:tc>
        <w:tc>
          <w:tcPr/>
          <w:p>
            <w:pPr>
              <w:pStyle w:val="Compact"/>
              <w:jc w:val="left"/>
            </w:pPr>
            <w:r>
              <w:t xml:space="preserve">64,3</w:t>
            </w:r>
          </w:p>
        </w:tc>
      </w:tr>
      <w:tr>
        <w:tc>
          <w:tcPr/>
          <w:p>
            <w:pPr>
              <w:pStyle w:val="Compact"/>
              <w:jc w:val="left"/>
            </w:pPr>
            <w:r>
              <w:t xml:space="preserve">Crecimiento orgánico (último trimestre)</w:t>
            </w:r>
          </w:p>
        </w:tc>
        <w:tc>
          <w:tcPr/>
          <w:p>
            <w:pPr>
              <w:pStyle w:val="Compact"/>
              <w:jc w:val="left"/>
            </w:pPr>
            <w:r>
              <w:t xml:space="preserve">+1 %</w:t>
            </w:r>
          </w:p>
        </w:tc>
        <w:tc>
          <w:tcPr/>
          <w:p>
            <w:pPr>
              <w:pStyle w:val="Compact"/>
              <w:jc w:val="left"/>
            </w:pPr>
            <w:r>
              <w:t xml:space="preserve">+30 %</w:t>
            </w:r>
          </w:p>
        </w:tc>
        <w:tc>
          <w:tcPr/>
          <w:p>
            <w:pPr>
              <w:pStyle w:val="Compact"/>
              <w:jc w:val="left"/>
            </w:pPr>
            <w:r>
              <w:t xml:space="preserve">+39 % (semestre)</w:t>
            </w:r>
          </w:p>
        </w:tc>
      </w:tr>
      <w:tr>
        <w:tc>
          <w:tcPr/>
          <w:p>
            <w:pPr>
              <w:pStyle w:val="Compact"/>
              <w:jc w:val="left"/>
            </w:pPr>
            <w:r>
              <w:t xml:space="preserve">EV/EBITDA de los 12 meses siguientes</w:t>
            </w:r>
          </w:p>
        </w:tc>
        <w:tc>
          <w:tcPr/>
          <w:p>
            <w:pPr>
              <w:pStyle w:val="Compact"/>
              <w:jc w:val="left"/>
            </w:pPr>
            <w:r>
              <w:t xml:space="preserve">20,1x</w:t>
            </w:r>
          </w:p>
        </w:tc>
        <w:tc>
          <w:tcPr/>
          <w:p>
            <w:pPr>
              <w:pStyle w:val="Compact"/>
              <w:jc w:val="left"/>
            </w:pPr>
            <w:r>
              <w:t xml:space="preserve">20,3x</w:t>
            </w:r>
          </w:p>
        </w:tc>
        <w:tc>
          <w:tcPr/>
          <w:p>
            <w:pPr>
              <w:pStyle w:val="Compact"/>
              <w:jc w:val="left"/>
            </w:pPr>
            <w:r>
              <w:t xml:space="preserve">10,8x</w:t>
            </w:r>
          </w:p>
        </w:tc>
      </w:tr>
      <w:tr>
        <w:tc>
          <w:tcPr/>
          <w:p>
            <w:pPr>
              <w:pStyle w:val="Compact"/>
              <w:jc w:val="left"/>
            </w:pPr>
            <w:r>
              <w:t xml:space="preserve">Múltiplo por punto de crecimiento</w:t>
            </w:r>
          </w:p>
        </w:tc>
        <w:tc>
          <w:tcPr/>
          <w:p>
            <w:pPr>
              <w:pStyle w:val="Compact"/>
              <w:jc w:val="left"/>
            </w:pPr>
            <w:r>
              <w:t xml:space="preserve">2,5x</w:t>
            </w:r>
          </w:p>
        </w:tc>
        <w:tc>
          <w:tcPr/>
          <w:p>
            <w:pPr>
              <w:pStyle w:val="Compact"/>
              <w:jc w:val="left"/>
            </w:pPr>
            <w:r>
              <w:t xml:space="preserve">0,9x</w:t>
            </w:r>
          </w:p>
        </w:tc>
        <w:tc>
          <w:tcPr/>
          <w:p>
            <w:pPr>
              <w:pStyle w:val="Compact"/>
              <w:jc w:val="left"/>
            </w:pPr>
            <w:r>
              <w:t xml:space="preserve">0,3x</w:t>
            </w:r>
          </w:p>
        </w:tc>
      </w:tr>
      <w:tr>
        <w:tc>
          <w:tcPr/>
          <w:p>
            <w:pPr>
              <w:pStyle w:val="Compact"/>
              <w:jc w:val="left"/>
            </w:pPr>
            <w:r>
              <w:t xml:space="preserve">Rentabilidad ponderada</w:t>
            </w:r>
          </w:p>
        </w:tc>
        <w:tc>
          <w:tcPr/>
          <w:p>
            <w:pPr>
              <w:pStyle w:val="Compact"/>
              <w:jc w:val="left"/>
            </w:pPr>
            <w:r>
              <w:t xml:space="preserve">−2,7 %</w:t>
            </w:r>
          </w:p>
        </w:tc>
        <w:tc>
          <w:tcPr/>
          <w:p>
            <w:pPr>
              <w:pStyle w:val="Compact"/>
              <w:jc w:val="left"/>
            </w:pPr>
            <w:r>
              <w:t xml:space="preserve">+8,2 %</w:t>
            </w:r>
          </w:p>
        </w:tc>
        <w:tc>
          <w:tcPr/>
          <w:p>
            <w:pPr>
              <w:pStyle w:val="Compact"/>
              <w:jc w:val="left"/>
            </w:pPr>
            <w:r>
              <w:t xml:space="preserve">+3,5 %</w:t>
            </w:r>
          </w:p>
        </w:tc>
      </w:tr>
      <w:tr>
        <w:tc>
          <w:tcPr/>
          <w:p>
            <w:pPr>
              <w:pStyle w:val="Compact"/>
              <w:jc w:val="left"/>
            </w:pPr>
            <w:r>
              <w:t xml:space="preserve">Caída o subida en 12 meses</w:t>
            </w:r>
          </w:p>
        </w:tc>
        <w:tc>
          <w:tcPr/>
          <w:p>
            <w:pPr>
              <w:pStyle w:val="Compact"/>
              <w:jc w:val="left"/>
            </w:pPr>
            <w:r>
              <w:t xml:space="preserve">−69 %</w:t>
            </w:r>
          </w:p>
        </w:tc>
        <w:tc>
          <w:tcPr/>
          <w:p>
            <w:pPr>
              <w:pStyle w:val="Compact"/>
              <w:jc w:val="left"/>
            </w:pPr>
            <w:r>
              <w:t xml:space="preserve">+16 %</w:t>
            </w:r>
          </w:p>
        </w:tc>
        <w:tc>
          <w:tcPr/>
          <w:p>
            <w:pPr>
              <w:pStyle w:val="Compact"/>
              <w:jc w:val="left"/>
            </w:pPr>
            <w:r>
              <w:t xml:space="preserve">−49 %</w:t>
            </w:r>
          </w:p>
        </w:tc>
      </w:tr>
      <w:tr>
        <w:tc>
          <w:tcPr/>
          <w:p>
            <w:pPr>
              <w:pStyle w:val="Compact"/>
              <w:jc w:val="left"/>
            </w:pPr>
            <w:r>
              <w:t xml:space="preserve">Cartera de pedidos / ventas</w:t>
            </w:r>
          </w:p>
        </w:tc>
        <w:tc>
          <w:tcPr/>
          <w:p>
            <w:pPr>
              <w:pStyle w:val="Compact"/>
              <w:jc w:val="left"/>
            </w:pPr>
            <w:r>
              <w:t xml:space="preserve">1,4 años (con la no financiada)</w:t>
            </w:r>
          </w:p>
        </w:tc>
        <w:tc>
          <w:tcPr/>
          <w:p>
            <w:pPr>
              <w:pStyle w:val="Compact"/>
              <w:jc w:val="left"/>
            </w:pPr>
            <w:r>
              <w:t xml:space="preserve">3,6 años</w:t>
            </w:r>
          </w:p>
        </w:tc>
        <w:tc>
          <w:tcPr/>
          <w:p>
            <w:pPr>
              <w:pStyle w:val="Compact"/>
              <w:jc w:val="left"/>
            </w:pPr>
            <w:r>
              <w:t xml:space="preserve">~6 años</w:t>
            </w:r>
          </w:p>
        </w:tc>
      </w:tr>
    </w:tbl>
    <w:p>
      <w:pPr>
        <w:pStyle w:val="BodyText"/>
      </w:pPr>
      <w:r>
        <w:t xml:space="preserve">Lectura: AeroVironment cuesta lo mismo que Saab en EBITDA, pero crece mucho menos y con peor calidad. Rheinmetall crece el doble a la mitad de precio.</w:t>
      </w:r>
      <w:r>
        <w:t xml:space="preserve"> </w:t>
      </w:r>
      <w:r>
        <w:rPr>
          <w:bCs/>
          <w:b/>
        </w:rPr>
        <w:t xml:space="preserve">De las tres empresas de defensa analizadas, AeroVironment es la peor opción hoy.</w:t>
      </w:r>
      <w:r>
        <w:t xml:space="preserve"> </w:t>
      </w:r>
      <w:r>
        <w:t xml:space="preserve">La caída del 69 % refleja un problema real (el crecimiento orgánico se ha parado) y no solo un castigo del sector.</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de bolsa en EE. UU.</w:t>
      </w:r>
      <w:r>
        <w:t xml:space="preserve"> </w:t>
      </w:r>
      <w:r>
        <w:t xml:space="preserve">(24/7 Wall St., Barchart, Motley Fool, MarketBeat): el tono ha pasado de «el próximo Palantir» (diciembre de 2025) a «¿es hora de vender?» (7-oct-2026). Se repite que la reformulación y la demanda explican solo una parte, porque Kratos cae aún más sin problemas contables: el castigo es de todo el sector de drones cotizados [11][13].</w:t>
      </w:r>
    </w:p>
    <w:p>
      <w:pPr>
        <w:numPr>
          <w:ilvl w:val="0"/>
          <w:numId w:val="1010"/>
        </w:numPr>
        <w:pStyle w:val="Compact"/>
      </w:pPr>
      <w:r>
        <w:rPr>
          <w:bCs/>
          <w:b/>
        </w:rPr>
        <w:t xml:space="preserve">Reddit (r/stocks, r/wallstreetbets)</w:t>
      </w:r>
      <w:r>
        <w:t xml:space="preserve">: hubo hilos alcistas en febrero y marzo antes de la reformulación. No he localizado hilos recientes con las búsquedas: el interés minorista se ha enfriado [13].</w:t>
      </w:r>
    </w:p>
    <w:p>
      <w:pPr>
        <w:numPr>
          <w:ilvl w:val="0"/>
          <w:numId w:val="1010"/>
        </w:numPr>
        <w:pStyle w:val="Compact"/>
      </w:pPr>
      <w:r>
        <w:rPr>
          <w:bCs/>
          <w:b/>
        </w:rPr>
        <w:t xml:space="preserve">Posiciones</w:t>
      </w:r>
      <w:r>
        <w:t xml:space="preserve">: el 12,9 % de las acciones en circulación está prestado a corto, un nivel alto. BlackRock vendió un 30 % de su posición en el 2T26 [7][8].</w:t>
      </w:r>
    </w:p>
    <w:p>
      <w:pPr>
        <w:numPr>
          <w:ilvl w:val="0"/>
          <w:numId w:val="1010"/>
        </w:numPr>
        <w:pStyle w:val="Compact"/>
      </w:pPr>
      <w:r>
        <w:rPr>
          <w:bCs/>
          <w:b/>
        </w:rPr>
        <w:t xml:space="preserve">Foros en castellano</w:t>
      </w:r>
      <w:r>
        <w:t xml:space="preserve"> </w:t>
      </w:r>
      <w:r>
        <w:t xml:space="preserve">(Rankia, Investing.com ES): no he encontrado hilos activos. Solo hay notas de agencia traducidas (TIKR) sobre la subida de junio y la mejora de Raymond James [12].</w:t>
      </w:r>
    </w:p>
    <w:p>
      <w:pPr>
        <w:numPr>
          <w:ilvl w:val="0"/>
          <w:numId w:val="1010"/>
        </w:numPr>
        <w:pStyle w:val="Compact"/>
      </w:pPr>
      <w:r>
        <w:rPr>
          <w:bCs/>
          <w:b/>
        </w:rPr>
        <w:t xml:space="preserve">Contraste con los datos</w:t>
      </w:r>
      <w:r>
        <w:t xml:space="preserve">: el pesimismo tiene base (orgánico plano, Switchblade retrasado, control interno), pero los analistas siguen en Comprar con objetivos un 70 % por encima. No es capitulación: falta que los analistas recorten sus estimaciones, no solo los precios objetivo. La señal 6 no se marca.</w:t>
      </w:r>
    </w:p>
    <w:bookmarkEnd w:id="29"/>
    <w:bookmarkStart w:id="30" w:name="riesgos-robustez-y-qué-rompería-la-tesis"/>
    <w:p>
      <w:pPr>
        <w:pStyle w:val="Heading2"/>
      </w:pPr>
      <w:r>
        <w:t xml:space="preserve">11. Riesgos, robustez y qué rompería la tesis</w:t>
      </w:r>
    </w:p>
    <w:p>
      <w:pPr>
        <w:pStyle w:val="FirstParagraph"/>
      </w:pPr>
      <w:r>
        <w:rPr>
          <w:bCs/>
          <w:b/>
        </w:rPr>
        <w:t xml:space="preserve">Alertas del motor (</w:t>
      </w:r>
      <w:r>
        <w:rPr>
          <w:rStyle w:val="VerbatimChar"/>
          <w:bCs/>
          <w:b/>
        </w:rPr>
        <w:t xml:space="preserve">calc.alertas</w:t>
      </w:r>
      <w:r>
        <w:rPr>
          <w:bCs/>
          <w:b/>
        </w:rPr>
        <w:t xml:space="preserve">): ninguna.</w:t>
      </w:r>
      <w:r>
        <w:t xml:space="preserve"> </w:t>
      </w:r>
      <w:r>
        <w:t xml:space="preserve">v11 no avisa de nada: la regla mecánica va por debajo de las ventas del informe y del consenso, la guía es anual, el exceso sobre la guía es pequeño, el EBITDA de los 12 meses siguientes está escrito y cuadra con el margen implícito, y los pagos en acciones son el 1,6 % de las ventas. Hay dos riesgos que el motor no mide y que se explican abajo: la dilución a dos años y el crecimiento por compras.</w:t>
      </w:r>
    </w:p>
    <w:p>
      <w:pPr>
        <w:pStyle w:val="BodyText"/>
      </w:pPr>
      <w:r>
        <w:rPr>
          <w:bCs/>
          <w:b/>
        </w:rPr>
        <w:t xml:space="preserve">Prueba de robustez</w:t>
      </w:r>
      <w:r>
        <w:t xml:space="preserve"> </w:t>
      </w:r>
      <w:r>
        <w:t xml:space="preserve">(</w:t>
      </w:r>
      <w:r>
        <w:rPr>
          <w:rStyle w:val="VerbatimChar"/>
        </w:rPr>
        <w:t xml:space="preserve">node herramientas/robustez-growth.mjs … --precios</w:t>
      </w:r>
      <w:r>
        <w:t xml:space="preserve">):</w:t>
      </w:r>
      <w:r>
        <w:t xml:space="preserve"> </w:t>
      </w:r>
      <w:r>
        <w:rPr>
          <w:bCs/>
          <w:b/>
        </w:rPr>
        <w:t xml:space="preserve">FRÁGIL</w:t>
      </w:r>
      <w:r>
        <w:t xml:space="preserve">. La señal robusta es</w:t>
      </w:r>
      <w:r>
        <w:t xml:space="preserve"> </w:t>
      </w:r>
      <w:r>
        <w:rPr>
          <w:bCs/>
          <w:b/>
        </w:rPr>
        <w:t xml:space="preserve">Vender</w:t>
      </w:r>
      <w:r>
        <w:t xml:space="preserve">.</w:t>
      </w:r>
      <w:r>
        <w:t xml:space="preserve"> </w:t>
      </w:r>
      <w:r>
        <w:t xml:space="preserve">- Lo frágil es la cifra, no la decisión. La herramienta cambia a «Mantener» con las ventas del informe (ponderada +4,9 %) porque en sus variantes solo mira la rentabilidad. Pero la puntuación sigue en 37,8 en todas las variantes, y con menos de 50 el método dice Vender. Ninguna variante llega a Comprar.</w:t>
      </w:r>
      <w:r>
        <w:t xml:space="preserve"> </w:t>
      </w:r>
      <w:r>
        <w:t xml:space="preserve">-</w:t>
      </w:r>
      <w:r>
        <w:t xml:space="preserve"> </w:t>
      </w:r>
      <w:r>
        <w:rPr>
          <w:bCs/>
          <w:b/>
        </w:rPr>
        <w:t xml:space="preserve">G2 (el objetivo se mueve con el precio)</w:t>
      </w:r>
      <w:r>
        <w:t xml:space="preserve">: al revisar el precio se deja fijo el objetivo de 123,7 USD. A 121,80 USD, la ponderada es +1,6 %.</w:t>
      </w:r>
      <w:r>
        <w:t xml:space="preserve"> </w:t>
      </w:r>
      <w:r>
        <w:t xml:space="preserve">-</w:t>
      </w:r>
      <w:r>
        <w:t xml:space="preserve"> </w:t>
      </w:r>
      <w:r>
        <w:rPr>
          <w:bCs/>
          <w:b/>
        </w:rPr>
        <w:t xml:space="preserve">G6 (bajista del −42 %)</w:t>
      </w:r>
      <w:r>
        <w:t xml:space="preserve">: si algún día entrara, sería con poco peso y en tramos.</w:t>
      </w:r>
      <w:r>
        <w:t xml:space="preserve"> </w:t>
      </w:r>
      <w:r>
        <w:t xml:space="preserve">-</w:t>
      </w:r>
      <w:r>
        <w:t xml:space="preserve"> </w:t>
      </w:r>
      <w:r>
        <w:rPr>
          <w:bCs/>
          <w:b/>
        </w:rPr>
        <w:t xml:space="preserve">G8 (lo que descuenta el precio)</w:t>
      </w:r>
      <w:r>
        <w:t xml:space="preserve">: un 13 % anual durante 10 años, por encima del crecimiento que proyecto al final del periodo. No debilita la señal: la refuerza.</w:t>
      </w:r>
    </w:p>
    <w:p>
      <w:pPr>
        <w:pStyle w:val="BodyText"/>
      </w:pPr>
      <w:r>
        <w:rPr>
          <w:bCs/>
          <w:b/>
        </w:rPr>
        <w:t xml:space="preserve">Pruebas propias de sensibilidad</w:t>
      </w:r>
      <w:r>
        <w:t xml:space="preserve"> </w:t>
      </w:r>
      <w:r>
        <w:t xml:space="preserve">(motor v11, cambiando un dato cada vez):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Variante</w:t>
            </w:r>
          </w:p>
        </w:tc>
        <w:tc>
          <w:tcPr/>
          <w:p>
            <w:pPr>
              <w:pStyle w:val="Compact"/>
              <w:jc w:val="left"/>
            </w:pPr>
            <w:r>
              <w:t xml:space="preserve">Puntuación</w:t>
            </w:r>
          </w:p>
        </w:tc>
        <w:tc>
          <w:tcPr/>
          <w:p>
            <w:pPr>
              <w:pStyle w:val="Compact"/>
              <w:jc w:val="left"/>
            </w:pPr>
            <w:r>
              <w:t xml:space="preserve">Ponderada</w:t>
            </w:r>
          </w:p>
        </w:tc>
        <w:tc>
          <w:tcPr/>
          <w:p>
            <w:pPr>
              <w:pStyle w:val="Compact"/>
              <w:jc w:val="left"/>
            </w:pPr>
            <w:r>
              <w:t xml:space="preserve">Señal</w:t>
            </w:r>
          </w:p>
        </w:tc>
      </w:tr>
      <w:tr>
        <w:tc>
          <w:tcPr/>
          <w:p>
            <w:pPr>
              <w:pStyle w:val="Compact"/>
              <w:jc w:val="left"/>
            </w:pPr>
            <w:r>
              <w:t xml:space="preserve">Vigente (orgánico a perímetro constante)</w:t>
            </w:r>
          </w:p>
        </w:tc>
        <w:tc>
          <w:tcPr/>
          <w:p>
            <w:pPr>
              <w:pStyle w:val="Compact"/>
              <w:jc w:val="left"/>
            </w:pPr>
            <w:r>
              <w:t xml:space="preserve">37,8</w:t>
            </w:r>
          </w:p>
        </w:tc>
        <w:tc>
          <w:tcPr/>
          <w:p>
            <w:pPr>
              <w:pStyle w:val="Compact"/>
              <w:jc w:val="left"/>
            </w:pPr>
            <w:r>
              <w:t xml:space="preserve">−2,7 %</w:t>
            </w:r>
          </w:p>
        </w:tc>
        <w:tc>
          <w:tcPr/>
          <w:p>
            <w:pPr>
              <w:pStyle w:val="Compact"/>
              <w:jc w:val="left"/>
            </w:pPr>
            <w:r>
              <w:t xml:space="preserve">Vender</w:t>
            </w:r>
          </w:p>
        </w:tc>
      </w:tr>
      <w:tr>
        <w:tc>
          <w:tcPr/>
          <w:p>
            <w:pPr>
              <w:pStyle w:val="Compact"/>
              <w:jc w:val="left"/>
            </w:pPr>
            <w:r>
              <w:t xml:space="preserve">Crecimiento publicado, con las compras (+84 %)</w:t>
            </w:r>
          </w:p>
        </w:tc>
        <w:tc>
          <w:tcPr/>
          <w:p>
            <w:pPr>
              <w:pStyle w:val="Compact"/>
              <w:jc w:val="left"/>
            </w:pPr>
            <w:r>
              <w:t xml:space="preserve">47,8</w:t>
            </w:r>
          </w:p>
        </w:tc>
        <w:tc>
          <w:tcPr/>
          <w:p>
            <w:pPr>
              <w:pStyle w:val="Compact"/>
              <w:jc w:val="left"/>
            </w:pPr>
            <w:r>
              <w:t xml:space="preserve">+4,1 %</w:t>
            </w:r>
          </w:p>
        </w:tc>
        <w:tc>
          <w:tcPr/>
          <w:p>
            <w:pPr>
              <w:pStyle w:val="Compact"/>
              <w:jc w:val="left"/>
            </w:pPr>
            <w:r>
              <w:t xml:space="preserve">Vender</w:t>
            </w:r>
          </w:p>
        </w:tc>
      </w:tr>
      <w:tr>
        <w:tc>
          <w:tcPr/>
          <w:p>
            <w:pPr>
              <w:pStyle w:val="Compact"/>
              <w:jc w:val="left"/>
            </w:pPr>
            <w:r>
              <w:t xml:space="preserve">Orgánico puro, sin ESAero (último trimestre −3,5 %)</w:t>
            </w:r>
          </w:p>
        </w:tc>
        <w:tc>
          <w:tcPr/>
          <w:p>
            <w:pPr>
              <w:pStyle w:val="Compact"/>
              <w:jc w:val="left"/>
            </w:pPr>
            <w:r>
              <w:t xml:space="preserve">36,2</w:t>
            </w:r>
          </w:p>
        </w:tc>
        <w:tc>
          <w:tcPr/>
          <w:p>
            <w:pPr>
              <w:pStyle w:val="Compact"/>
              <w:jc w:val="left"/>
            </w:pPr>
            <w:r>
              <w:t xml:space="preserve">−2,7 %</w:t>
            </w:r>
          </w:p>
        </w:tc>
        <w:tc>
          <w:tcPr/>
          <w:p>
            <w:pPr>
              <w:pStyle w:val="Compact"/>
              <w:jc w:val="left"/>
            </w:pPr>
            <w:r>
              <w:t xml:space="preserve">Vender</w:t>
            </w:r>
          </w:p>
        </w:tc>
      </w:tr>
      <w:tr>
        <w:tc>
          <w:tcPr/>
          <w:p>
            <w:pPr>
              <w:pStyle w:val="Compact"/>
              <w:jc w:val="left"/>
            </w:pPr>
            <w:r>
              <w:t xml:space="preserve">Probabilidades 25/50/25</w:t>
            </w:r>
          </w:p>
        </w:tc>
        <w:tc>
          <w:tcPr/>
          <w:p>
            <w:pPr>
              <w:pStyle w:val="Compact"/>
              <w:jc w:val="left"/>
            </w:pPr>
            <w:r>
              <w:t xml:space="preserve">37,8</w:t>
            </w:r>
          </w:p>
        </w:tc>
        <w:tc>
          <w:tcPr/>
          <w:p>
            <w:pPr>
              <w:pStyle w:val="Compact"/>
              <w:jc w:val="left"/>
            </w:pPr>
            <w:r>
              <w:t xml:space="preserve">+8,0 %</w:t>
            </w:r>
          </w:p>
        </w:tc>
        <w:tc>
          <w:tcPr/>
          <w:p>
            <w:pPr>
              <w:pStyle w:val="Compact"/>
              <w:jc w:val="left"/>
            </w:pPr>
            <w:r>
              <w:t xml:space="preserve">Vender</w:t>
            </w:r>
          </w:p>
        </w:tc>
      </w:tr>
      <w:tr>
        <w:tc>
          <w:tcPr/>
          <w:p>
            <w:pPr>
              <w:pStyle w:val="Compact"/>
              <w:jc w:val="left"/>
            </w:pPr>
            <w:r>
              <w:t xml:space="preserve">Historial y dirección 3 y 3</w:t>
            </w:r>
          </w:p>
        </w:tc>
        <w:tc>
          <w:tcPr/>
          <w:p>
            <w:pPr>
              <w:pStyle w:val="Compact"/>
              <w:jc w:val="left"/>
            </w:pPr>
            <w:r>
              <w:t xml:space="preserve">39,8</w:t>
            </w:r>
          </w:p>
        </w:tc>
        <w:tc>
          <w:tcPr/>
          <w:p>
            <w:pPr>
              <w:pStyle w:val="Compact"/>
              <w:jc w:val="left"/>
            </w:pPr>
            <w:r>
              <w:t xml:space="preserve">−2,7 %</w:t>
            </w:r>
          </w:p>
        </w:tc>
        <w:tc>
          <w:tcPr/>
          <w:p>
            <w:pPr>
              <w:pStyle w:val="Compact"/>
              <w:jc w:val="left"/>
            </w:pPr>
            <w:r>
              <w:t xml:space="preserve">Vender</w:t>
            </w:r>
          </w:p>
        </w:tc>
      </w:tr>
      <w:tr>
        <w:tc>
          <w:tcPr/>
          <w:p>
            <w:pPr>
              <w:pStyle w:val="Compact"/>
              <w:jc w:val="left"/>
            </w:pPr>
            <w:r>
              <w:t xml:space="preserve">Todo a favor (sin guía, posición 4, ejecución 4 y 4, inflexión sí, 25/50/25)</w:t>
            </w:r>
          </w:p>
        </w:tc>
        <w:tc>
          <w:tcPr/>
          <w:p>
            <w:pPr>
              <w:pStyle w:val="Compact"/>
              <w:jc w:val="left"/>
            </w:pPr>
            <w:r>
              <w:t xml:space="preserve">45,7</w:t>
            </w:r>
          </w:p>
        </w:tc>
        <w:tc>
          <w:tcPr/>
          <w:p>
            <w:pPr>
              <w:pStyle w:val="Compact"/>
              <w:jc w:val="left"/>
            </w:pPr>
            <w:r>
              <w:t xml:space="preserve">+11,4 %</w:t>
            </w:r>
          </w:p>
        </w:tc>
        <w:tc>
          <w:tcPr/>
          <w:p>
            <w:pPr>
              <w:pStyle w:val="Compact"/>
              <w:jc w:val="left"/>
            </w:pPr>
            <w:r>
              <w:t xml:space="preserve">Vender</w:t>
            </w:r>
          </w:p>
        </w:tc>
      </w:tr>
    </w:tbl>
    <w:p>
      <w:pPr>
        <w:pStyle w:val="BodyText"/>
      </w:pPr>
      <w:r>
        <w:rPr>
          <w:bCs/>
          <w:b/>
        </w:rPr>
        <w:t xml:space="preserve">Lectura honesta</w:t>
      </w:r>
      <w:r>
        <w:t xml:space="preserve">: aunque se le dé todo a favor, no llega a 50 puntos. La decisión de no comprar es sólida. La rentabilidad, en cambio, depende mucho de las probabilidades y del crecimiento, y por eso el veredicto de la herramienta es FRÁGIL.</w:t>
      </w:r>
    </w:p>
    <w:p>
      <w:pPr>
        <w:pStyle w:val="BodyText"/>
      </w:pPr>
      <w:r>
        <w:rPr>
          <w:bCs/>
          <w:b/>
        </w:rPr>
        <w:t xml:space="preserve">Riesgos del negocio:</w:t>
      </w:r>
      <w:r>
        <w:t xml:space="preserve"> </w:t>
      </w:r>
      <w:r>
        <w:t xml:space="preserve">-</w:t>
      </w:r>
      <w:r>
        <w:t xml:space="preserve"> </w:t>
      </w:r>
      <w:r>
        <w:rPr>
          <w:bCs/>
          <w:b/>
        </w:rPr>
        <w:t xml:space="preserve">Crecimiento orgánico parado</w:t>
      </w:r>
      <w:r>
        <w:t xml:space="preserve">: Switchblade depende de pedidos que se retrasan, y el contrato marco está casi agotado.</w:t>
      </w:r>
      <w:r>
        <w:t xml:space="preserve"> </w:t>
      </w:r>
      <w:r>
        <w:t xml:space="preserve">-</w:t>
      </w:r>
      <w:r>
        <w:t xml:space="preserve"> </w:t>
      </w:r>
      <w:r>
        <w:rPr>
          <w:bCs/>
          <w:b/>
        </w:rPr>
        <w:t xml:space="preserve">Drones baratos y competencia nueva</w:t>
      </w:r>
      <w:r>
        <w:t xml:space="preserve">: el Pentágono compra en masa a muchos fabricantes a 3.000-5.000 USD por unidad, lo que presiona el precio y el margen.</w:t>
      </w:r>
      <w:r>
        <w:t xml:space="preserve"> </w:t>
      </w:r>
      <w:r>
        <w:t xml:space="preserve">-</w:t>
      </w:r>
      <w:r>
        <w:t xml:space="preserve"> </w:t>
      </w:r>
      <w:r>
        <w:rPr>
          <w:bCs/>
          <w:b/>
        </w:rPr>
        <w:t xml:space="preserve">Control interno y litigios</w:t>
      </w:r>
      <w:r>
        <w:t xml:space="preserve">: dos debilidades materiales, dos demandas colectivas (periodo de jun-2025 a jun-2026) y un nuevo director financiero.</w:t>
      </w:r>
      <w:r>
        <w:t xml:space="preserve"> </w:t>
      </w:r>
      <w:r>
        <w:t xml:space="preserve">-</w:t>
      </w:r>
      <w:r>
        <w:t xml:space="preserve"> </w:t>
      </w:r>
      <w:r>
        <w:rPr>
          <w:bCs/>
          <w:b/>
        </w:rPr>
        <w:t xml:space="preserve">Concentración</w:t>
      </w:r>
      <w:r>
        <w:t xml:space="preserve">: el Gobierno de EE. UU. es el 80 % de las ventas. Hay riesgo de presupuestos prorrogados o de cierre del Gobierno (ya retrasó el 3T FY26).</w:t>
      </w:r>
      <w:r>
        <w:t xml:space="preserve"> </w:t>
      </w:r>
      <w:r>
        <w:t xml:space="preserve">-</w:t>
      </w:r>
      <w:r>
        <w:t xml:space="preserve"> </w:t>
      </w:r>
      <w:r>
        <w:rPr>
          <w:bCs/>
          <w:b/>
        </w:rPr>
        <w:t xml:space="preserve">Oferta de acciones</w:t>
      </w:r>
      <w:r>
        <w:t xml:space="preserve">: Arlington tiene el 23,7 % y ya no tiene consejeros.</w:t>
      </w:r>
      <w:r>
        <w:t xml:space="preserve"> </w:t>
      </w:r>
      <w:r>
        <w:t xml:space="preserve">-</w:t>
      </w:r>
      <w:r>
        <w:t xml:space="preserve"> </w:t>
      </w:r>
      <w:r>
        <w:rPr>
          <w:bCs/>
          <w:b/>
        </w:rPr>
        <w:t xml:space="preserve">Más deterioros</w:t>
      </w:r>
      <w:r>
        <w:t xml:space="preserve">: quedan 2.494 M de fondo de comercio, el 57 % de los fondos propios.</w:t>
      </w:r>
      <w:r>
        <w:t xml:space="preserve"> </w:t>
      </w:r>
      <w:r>
        <w:t xml:space="preserve">-</w:t>
      </w:r>
      <w:r>
        <w:t xml:space="preserve"> </w:t>
      </w:r>
      <w:r>
        <w:rPr>
          <w:bCs/>
          <w:b/>
        </w:rPr>
        <w:t xml:space="preserve">Riesgo de IA: medio.</w:t>
      </w:r>
      <w:r>
        <w:t xml:space="preserve"> </w:t>
      </w:r>
      <w:r>
        <w:t xml:space="preserve">La IA no sustituye a un dron ni a un láser, y AeroVironment la usa (autonomía, antidrones). Pero desplaza el valor hacia el software autónomo y la producción barata en masa, donde nacen rivales «nativos de IA» como Anduril, Shield AI o Helsing. Si el dron se vuelve un producto barato y lo que cuenta es el software, el fabricante pierde poder de precio. El riesgo es más alto que en Saab, que vende cazas y submarinos.</w:t>
      </w:r>
    </w:p>
    <w:p>
      <w:pPr>
        <w:pStyle w:val="BodyText"/>
      </w:pPr>
      <w:r>
        <w:rPr>
          <w:bCs/>
          <w:b/>
        </w:rPr>
        <w:t xml:space="preserve">Señales que romperían la tesis aún más</w:t>
      </w:r>
      <w:r>
        <w:t xml:space="preserve"> </w:t>
      </w:r>
      <w:r>
        <w:t xml:space="preserve">(para no volver a mirarla): otro trimestre con crecimiento orgánico negativo, un recorte de la guía del FY27, una nueva reformulación o deterioro, o que Arlington coloque un paquete grande de acciones.</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Evento</w:t>
            </w:r>
          </w:p>
        </w:tc>
      </w:tr>
      <w:tr>
        <w:tc>
          <w:tcPr/>
          <w:p>
            <w:pPr>
              <w:pStyle w:val="Compact"/>
              <w:jc w:val="left"/>
            </w:pPr>
            <w:r>
              <w:t xml:space="preserve">Oct-dic 2026</w:t>
            </w:r>
          </w:p>
        </w:tc>
        <w:tc>
          <w:tcPr/>
          <w:p>
            <w:pPr>
              <w:pStyle w:val="Compact"/>
              <w:jc w:val="left"/>
            </w:pPr>
            <w:r>
              <w:t xml:space="preserve">Presupuesto de defensa FY27 de EE. UU. (la empresa supone una prórroga corta y la aprobación hacia diciembre); ley de reconciliación con la partida de drones [17][18]</w:t>
            </w:r>
          </w:p>
        </w:tc>
      </w:tr>
      <w:tr>
        <w:tc>
          <w:tcPr/>
          <w:p>
            <w:pPr>
              <w:pStyle w:val="Compact"/>
              <w:jc w:val="left"/>
            </w:pPr>
            <w:r>
              <w:t xml:space="preserve">Principios de dic-2026</w:t>
            </w:r>
          </w:p>
        </w:tc>
        <w:tc>
          <w:tcPr/>
          <w:p>
            <w:pPr>
              <w:pStyle w:val="Compact"/>
              <w:jc w:val="left"/>
            </w:pPr>
            <w:r>
              <w:t xml:space="preserve">Resultados del 2T FY27 (la dirección avisó de que el EBITDA baja frente al 1T por más I+D) [17]</w:t>
            </w:r>
          </w:p>
        </w:tc>
      </w:tr>
      <w:tr>
        <w:tc>
          <w:tcPr/>
          <w:p>
            <w:pPr>
              <w:pStyle w:val="Compact"/>
              <w:jc w:val="left"/>
            </w:pPr>
            <w:r>
              <w:t xml:space="preserve">2S FY27 (nov-26 a abr-27)</w:t>
            </w:r>
          </w:p>
        </w:tc>
        <w:tc>
          <w:tcPr/>
          <w:p>
            <w:pPr>
              <w:pStyle w:val="Compact"/>
              <w:jc w:val="left"/>
            </w:pPr>
            <w:r>
              <w:t xml:space="preserve">Pedidos internacionales de Switchblade, producción de LOCUST, Red Dragon y Freedom Eagle-1; el 55 % de las ventas del año cae en este semestre</w:t>
            </w:r>
          </w:p>
        </w:tc>
      </w:tr>
      <w:tr>
        <w:tc>
          <w:tcPr/>
          <w:p>
            <w:pPr>
              <w:pStyle w:val="Compact"/>
              <w:jc w:val="left"/>
            </w:pPr>
            <w:r>
              <w:t xml:space="preserve">Primavera de 2027</w:t>
            </w:r>
          </w:p>
        </w:tc>
        <w:tc>
          <w:tcPr/>
          <w:p>
            <w:pPr>
              <w:pStyle w:val="Compact"/>
              <w:jc w:val="left"/>
            </w:pPr>
            <w:r>
              <w:t xml:space="preserve">Apertura del campus del sur de California</w:t>
            </w:r>
          </w:p>
        </w:tc>
      </w:tr>
      <w:tr>
        <w:tc>
          <w:tcPr/>
          <w:p>
            <w:pPr>
              <w:pStyle w:val="Compact"/>
              <w:jc w:val="left"/>
            </w:pPr>
            <w:r>
              <w:t xml:space="preserve">2027</w:t>
            </w:r>
          </w:p>
        </w:tc>
        <w:tc>
          <w:tcPr/>
          <w:p>
            <w:pPr>
              <w:pStyle w:val="Compact"/>
              <w:jc w:val="left"/>
            </w:pPr>
            <w:r>
              <w:t xml:space="preserve">Avance de las demandas colectivas; certificación del control interno con el 10-K del FY27 (junio)</w:t>
            </w:r>
          </w:p>
        </w:tc>
      </w:tr>
    </w:tbl>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 (~20 %)</w:t>
      </w:r>
      <w:r>
        <w:t xml:space="preserve">: Nu (+19 %), Axon (+36 %), Shopify (+18 %), Snowflake (+13 %) y Samsara (+15 %), a precio actual con v11. La liquidez es de ≈27 EUR, así que solo cabe sustituir. Alphabet se vende mañana y no cuenta como exposición a IA.</w:t>
      </w:r>
    </w:p>
    <w:p>
      <w:pPr>
        <w:numPr>
          <w:ilvl w:val="0"/>
          <w:numId w:val="1011"/>
        </w:numPr>
        <w:pStyle w:val="Compact"/>
      </w:pPr>
      <w:r>
        <w:rPr>
          <w:bCs/>
          <w:b/>
        </w:rPr>
        <w:t xml:space="preserve">AeroVironment no sustituye a ninguna y no entra en la lista de suplentes.</w:t>
      </w:r>
      <w:r>
        <w:t xml:space="preserve"> </w:t>
      </w:r>
      <w:r>
        <w:t xml:space="preserve">La señal es Vender (no comprar), con +1,6 % al precio actual frente al +13 % de la peor del bolsillo (Snowflake). La lista de suplentes no cambia: MongoDB, Toast, Zscaler, Dexcom, Datadog, argenx, Natera y Saab.</w:t>
      </w:r>
    </w:p>
    <w:p>
      <w:pPr>
        <w:numPr>
          <w:ilvl w:val="0"/>
          <w:numId w:val="1011"/>
        </w:numPr>
        <w:pStyle w:val="Compact"/>
      </w:pPr>
      <w:r>
        <w:rPr>
          <w:bCs/>
          <w:b/>
        </w:rPr>
        <w:t xml:space="preserve">Si se quiere defensa en el bolsillo</w:t>
      </w:r>
      <w:r>
        <w:t xml:space="preserve">, la candidata sigue siendo</w:t>
      </w:r>
      <w:r>
        <w:t xml:space="preserve"> </w:t>
      </w:r>
      <w:r>
        <w:rPr>
          <w:bCs/>
          <w:b/>
        </w:rPr>
        <w:t xml:space="preserve">Saab</w:t>
      </w:r>
      <w:r>
        <w:t xml:space="preserve"> </w:t>
      </w:r>
      <w:r>
        <w:t xml:space="preserve">(8.ª suplente, Comprar con convicción baja): crece un 30 % orgánico frente al 1 % de AeroVironment, al mismo múltiplo, con caja neta y sin problemas contables. Rheinmetall (Mantener) es la alternativa barata.</w:t>
      </w:r>
    </w:p>
    <w:p>
      <w:pPr>
        <w:numPr>
          <w:ilvl w:val="0"/>
          <w:numId w:val="1011"/>
        </w:numPr>
        <w:pStyle w:val="Compact"/>
      </w:pPr>
      <w:r>
        <w:rPr>
          <w:bCs/>
          <w:b/>
        </w:rPr>
        <w:t xml:space="preserve">Qué haría falta para revisarla</w:t>
      </w:r>
      <w:r>
        <w:t xml:space="preserve">: dos trimestres seguidos con crecimiento orgánico de más del 15 %, la guía del FY27 cumplida o subida, el control interno arreglado y que el precio deje de caer (sobre la media de 200 sesiones). Con todo eso, la puntuación podría acercarse a 60. Hoy está lejos.</w:t>
      </w:r>
    </w:p>
    <w:p>
      <w:pPr>
        <w:numPr>
          <w:ilvl w:val="0"/>
          <w:numId w:val="1011"/>
        </w:numPr>
        <w:pStyle w:val="Compact"/>
      </w:pPr>
      <w:r>
        <w:t xml:space="preserve">No hay ninguna empresa de defensa en la cartera value.</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5</w:t>
            </w:r>
          </w:p>
        </w:tc>
        <w:tc>
          <w:tcPr/>
          <w:p>
            <w:pPr>
              <w:pStyle w:val="Compact"/>
              <w:jc w:val="left"/>
            </w:pPr>
            <w:r>
              <w:t xml:space="preserve">25</w:t>
            </w:r>
          </w:p>
        </w:tc>
        <w:tc>
          <w:tcPr/>
          <w:p>
            <w:pPr>
              <w:pStyle w:val="Compact"/>
              <w:jc w:val="left"/>
            </w:pPr>
            <w:r>
              <w:t xml:space="preserve">Orgánico 12 meses +16 % (2), proyección propia a 2 años +11 % (1), aceleración −19,7 pp (0)</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6,9 % (3), tecnología 4, posición 3</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señal (catalizador); sin euforia</w:t>
            </w:r>
          </w:p>
        </w:tc>
      </w:tr>
      <w:tr>
        <w:tc>
          <w:tcPr/>
          <w:p>
            <w:pPr>
              <w:pStyle w:val="Compact"/>
              <w:jc w:val="left"/>
            </w:pPr>
            <w:r>
              <w:t xml:space="preserve">D. Economía unitaria</w:t>
            </w:r>
          </w:p>
        </w:tc>
        <w:tc>
          <w:tcPr/>
          <w:p>
            <w:pPr>
              <w:pStyle w:val="Compact"/>
              <w:jc w:val="left"/>
            </w:pPr>
            <w:r>
              <w:t xml:space="preserve">3</w:t>
            </w:r>
          </w:p>
        </w:tc>
        <w:tc>
          <w:tcPr/>
          <w:p>
            <w:pPr>
              <w:pStyle w:val="Compact"/>
              <w:jc w:val="left"/>
            </w:pPr>
            <w:r>
              <w:t xml:space="preserve">15</w:t>
            </w:r>
          </w:p>
        </w:tc>
        <w:tc>
          <w:tcPr/>
          <w:p>
            <w:pPr>
              <w:pStyle w:val="Compact"/>
              <w:jc w:val="left"/>
            </w:pPr>
            <w:r>
              <w:t xml:space="preserve">Margen bruto 26,5 % (1), regla del 40 = 15 (0), equilibrio de FCF en ≤ 24 meses (2)</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c>
          <w:tcPr/>
          <w:p>
            <w:pPr>
              <w:pStyle w:val="Compact"/>
              <w:jc w:val="left"/>
            </w:pPr>
            <w:r>
              <w:t xml:space="preserve">Pista amplia; dilución de 12 meses 1,8 % (la de dos años, 80 %, no puntúa)</w:t>
            </w:r>
          </w:p>
        </w:tc>
      </w:tr>
      <w:tr>
        <w:tc>
          <w:tcPr/>
          <w:p>
            <w:pPr>
              <w:pStyle w:val="Compact"/>
              <w:jc w:val="left"/>
            </w:pPr>
            <w:r>
              <w:t xml:space="preserve">F. Ejecución y dirección</w:t>
            </w:r>
          </w:p>
        </w:tc>
        <w:tc>
          <w:tcPr/>
          <w:p>
            <w:pPr>
              <w:pStyle w:val="Compact"/>
              <w:jc w:val="left"/>
            </w:pPr>
            <w:r>
              <w:t xml:space="preserve">4</w:t>
            </w:r>
          </w:p>
        </w:tc>
        <w:tc>
          <w:tcPr/>
          <w:p>
            <w:pPr>
              <w:pStyle w:val="Compact"/>
              <w:jc w:val="left"/>
            </w:pPr>
            <w:r>
              <w:t xml:space="preserve">10</w:t>
            </w:r>
          </w:p>
        </w:tc>
        <w:tc>
          <w:tcPr/>
          <w:p>
            <w:pPr>
              <w:pStyle w:val="Compact"/>
              <w:jc w:val="left"/>
            </w:pPr>
            <w:r>
              <w:t xml:space="preserve">Historial 2, dirección 2</w:t>
            </w:r>
          </w:p>
        </w:tc>
      </w:tr>
      <w:tr>
        <w:tc>
          <w:tcPr/>
          <w:p>
            <w:pPr>
              <w:pStyle w:val="Compact"/>
              <w:jc w:val="left"/>
            </w:pPr>
            <w:r>
              <w:rPr>
                <w:bCs/>
                <w:b/>
              </w:rPr>
              <w:t xml:space="preserve">Total</w:t>
            </w:r>
          </w:p>
        </w:tc>
        <w:tc>
          <w:tcPr/>
          <w:p>
            <w:pPr>
              <w:pStyle w:val="Compact"/>
              <w:jc w:val="left"/>
            </w:pPr>
            <w:r>
              <w:rPr>
                <w:bCs/>
                <w:b/>
              </w:rPr>
              <w:t xml:space="preserve">37,8</w:t>
            </w:r>
          </w:p>
        </w:tc>
        <w:tc>
          <w:tcPr/>
          <w:p>
            <w:pPr>
              <w:pStyle w:val="Compact"/>
              <w:jc w:val="left"/>
            </w:pPr>
            <w:r>
              <w:rPr>
                <w:bCs/>
                <w:b/>
              </w:rPr>
              <w:t xml:space="preserve">100</w:t>
            </w:r>
          </w:p>
        </w:tc>
        <w:tc>
          <w:tcPr/>
          <w:p>
            <w:pPr>
              <w:pStyle w:val="Compact"/>
            </w:pPr>
          </w:p>
        </w:tc>
      </w:tr>
    </w:tbl>
    <w:p>
      <w:pPr>
        <w:pStyle w:val="BodyText"/>
      </w:pPr>
      <w:r>
        <w:rPr>
          <w:bCs/>
          <w:b/>
        </w:rPr>
        <w:t xml:space="preserve">Mejora de método propuesta</w:t>
      </w:r>
      <w:r>
        <w:t xml:space="preserve"> </w:t>
      </w:r>
      <w:r>
        <w:t xml:space="preserve">(no aplicada; para probar con el backtest):</w:t>
      </w:r>
      <w:r>
        <w:t xml:space="preserve"> </w:t>
      </w:r>
      <w:r>
        <w:t xml:space="preserve">1.</w:t>
      </w:r>
      <w:r>
        <w:t xml:space="preserve"> </w:t>
      </w:r>
      <w:r>
        <w:rPr>
          <w:bCs/>
          <w:b/>
        </w:rPr>
        <w:t xml:space="preserve">Crecimiento orgánico</w:t>
      </w:r>
      <w:r>
        <w:t xml:space="preserve">: un campo</w:t>
      </w:r>
      <w:r>
        <w:t xml:space="preserve"> </w:t>
      </w:r>
      <w:r>
        <w:rPr>
          <w:rStyle w:val="VerbatimChar"/>
        </w:rPr>
        <w:t xml:space="preserve">crecimiento.ventas_12m_publicado_pct</w:t>
      </w:r>
      <w:r>
        <w:t xml:space="preserve"> </w:t>
      </w:r>
      <w:r>
        <w:t xml:space="preserve">y una alerta cuando el publicado y el orgánico se separan más de 10 pp (aquí, +84 % frente a +16 %). Hoy el método no distingue el crecimiento comprado del propio, y quien rellena el JSON puede inflar el bloque A sin querer.</w:t>
      </w:r>
      <w:r>
        <w:t xml:space="preserve"> </w:t>
      </w:r>
      <w:r>
        <w:t xml:space="preserve">2.</w:t>
      </w:r>
      <w:r>
        <w:t xml:space="preserve"> </w:t>
      </w:r>
      <w:r>
        <w:rPr>
          <w:bCs/>
          <w:b/>
        </w:rPr>
        <w:t xml:space="preserve">Dilución a dos años</w:t>
      </w:r>
      <w:r>
        <w:t xml:space="preserve">: un campo</w:t>
      </w:r>
      <w:r>
        <w:t xml:space="preserve"> </w:t>
      </w:r>
      <w:r>
        <w:rPr>
          <w:rStyle w:val="VerbatimChar"/>
        </w:rPr>
        <w:t xml:space="preserve">finanzas.dilucion_2a_pct</w:t>
      </w:r>
      <w:r>
        <w:t xml:space="preserve"> </w:t>
      </w:r>
      <w:r>
        <w:t xml:space="preserve">y una alerta si pasa del 25 %. Una compra pagada en acciones hace un año (aquí, +80 % de acciones en dos años) no cuenta en el bloque E y da 10 sobre 10 a una empresa muy diluida. También ayudaría ver el EBITDA o las ventas por acción.</w:t>
      </w:r>
    </w:p>
    <w:bookmarkEnd w:id="33"/>
    <w:bookmarkStart w:id="34" w:name="fuentes"/>
    <w:p>
      <w:pPr>
        <w:pStyle w:val="Heading2"/>
      </w:pPr>
      <w:r>
        <w:t xml:space="preserve">Fuentes</w:t>
      </w:r>
    </w:p>
    <w:p>
      <w:pPr>
        <w:pStyle w:val="FirstParagraph"/>
      </w:pPr>
      <w:r>
        <w:t xml:space="preserve">[1] AeroVironment, nota de resultados del 1T FY27 (8-K del 9-sep-2026, anexo 99.1, SEC): ventas, márgenes, EBITDA ajustado, flujo de caja, balance, cartera y guía FY27</w:t>
      </w:r>
      <w:r>
        <w:t xml:space="preserve"> </w:t>
      </w:r>
      <w:r>
        <w:t xml:space="preserve">[2] AeroVironment, 10-Q del 1T FY27 (10-sep-2026, SEC): ventas por grupo y por cliente, Switchblade, ESAero, SCAR, bono convertible, debilidades materiales, demandas colectivas, acciones</w:t>
      </w:r>
      <w:r>
        <w:t xml:space="preserve"> </w:t>
      </w:r>
      <w:r>
        <w:t xml:space="preserve">[3] AeroVironment, 10-K del FY26 (29-jun-2026, SEC): ventas pro forma con BlueHalo y con ESAero, ventas de BlueHalo en el FY26, fondo de comercio</w:t>
      </w:r>
      <w:r>
        <w:t xml:space="preserve"> </w:t>
      </w:r>
      <w:r>
        <w:t xml:space="preserve">[4] AeroVironment, notas de resultados del FY25 (24-jun-2025), del 2T FY26 (9-dic-2025) y del 3T FY26 (10-mar-2026) (8-K, SEC): guías del FY26 y EBITDA ajustado del FY24 y del FY25</w:t>
      </w:r>
      <w:r>
        <w:t xml:space="preserve"> </w:t>
      </w:r>
      <w:r>
        <w:t xml:space="preserve">[5] AeroVironment, nota del 4T FY26 (8-K del 29-jun-2026, SEC)</w:t>
      </w:r>
      <w:r>
        <w:t xml:space="preserve"> </w:t>
      </w:r>
      <w:r>
        <w:t xml:space="preserve">[6] MarketScreener, consenso de AeroVironment (14-oct-2026)</w:t>
      </w:r>
      <w:r>
        <w:t xml:space="preserve"> </w:t>
      </w:r>
      <w:r>
        <w:t xml:space="preserve">[7] StockAnalysis.com, previsiones y ratios de AVAV (14-oct-2026)</w:t>
      </w:r>
      <w:r>
        <w:t xml:space="preserve"> </w:t>
      </w:r>
      <w:r>
        <w:t xml:space="preserve">[8] Quiver Quantitative (25-sep-2026) y MarketBeat (24-jul-2026): objetivos, ventas de iniciados, BlackRock</w:t>
      </w:r>
      <w:r>
        <w:t xml:space="preserve"> </w:t>
      </w:r>
      <w:r>
        <w:t xml:space="preserve">[9] Yahoo Finance chart API (AVAV, ^IXIC, ^GSPC, ITA, KTOS): cierre de 127,13 USD el 13-oct y 121,80 USD a las 18:01 UTC del 14-oct; Nasdaq.com (histórico) como segunda fuente del cierre</w:t>
      </w:r>
      <w:r>
        <w:t xml:space="preserve"> </w:t>
      </w:r>
      <w:r>
        <w:t xml:space="preserve">[10] AeroVironment, 8-K del 22-jun-2026 (punto 4.02, SEC): reformulación, debilidad material, dimisión de los consejeros de Arlington</w:t>
      </w:r>
      <w:r>
        <w:t xml:space="preserve"> </w:t>
      </w:r>
      <w:r>
        <w:t xml:space="preserve">[11] 24/7 Wall St. (7-oct-2026 y notas de sep-oct 2026 sobre el sector de drones)</w:t>
      </w:r>
      <w:r>
        <w:t xml:space="preserve"> </w:t>
      </w:r>
      <w:r>
        <w:t xml:space="preserve">[12] TIKR (jun-2026, en castellano) y SentiSense (22-jun-2026)</w:t>
      </w:r>
      <w:r>
        <w:t xml:space="preserve"> </w:t>
      </w:r>
      <w:r>
        <w:t xml:space="preserve">[13] AOL / 24/7 Wall St. (feb-2026, hilos de Reddit) y Barchart (dic-2025)</w:t>
      </w:r>
      <w:r>
        <w:t xml:space="preserve"> </w:t>
      </w:r>
      <w:r>
        <w:t xml:space="preserve">[14] AeroVironment, DEF 14A (14-ago-2026, SEC) y Schedule 13G/A de BlackRock (27-jul-2026)</w:t>
      </w:r>
      <w:r>
        <w:t xml:space="preserve"> </w:t>
      </w:r>
      <w:r>
        <w:t xml:space="preserve">[15] Múltiplos históricos: estimación propia con cierres mensuales de Yahoo, acciones del XBRL de la SEC y EBITDA ajustado real o guiado; comparables de StockAnalysis (Kratos, Elbit) y de los informes growth de Saab y Rheinmetall</w:t>
      </w:r>
      <w:r>
        <w:t xml:space="preserve"> </w:t>
      </w:r>
      <w:r>
        <w:t xml:space="preserve">[16] SEC, formularios 4 de ago-sep 2026</w:t>
      </w:r>
      <w:r>
        <w:t xml:space="preserve"> </w:t>
      </w:r>
      <w:r>
        <w:t xml:space="preserve">[17] Transcripción de la conferencia del 1T FY27 (Motley Fool, 10-sep-2026)</w:t>
      </w:r>
      <w:r>
        <w:t xml:space="preserve"> </w:t>
      </w:r>
      <w:r>
        <w:t xml:space="preserve">[18] DroneXL (21-abr-2026), Ars Technica, Migflug y Defense News (3-feb-2026): presupuesto de drones FY27 y programa Drone Dominance</w:t>
      </w:r>
    </w:p>
    <w:p>
      <w:pPr>
        <w:pStyle w:val="BodyText"/>
      </w:pPr>
      <w:r>
        <w:rPr>
          <w:iCs/>
          <w:i/>
        </w:rPr>
        <w:t xml:space="preserve">Limitaciones: son estimaciones propias, y así se dice en cada caso, el reparto trimestral del crecimiento orgánico del FY26 (BlueHalo no publicaba trimestres), las ventas de ESAero antes de su compra, el EBITDA del 1T FY28, la mediana y el mínimo del múltiplo a 3 años, el mercado alcanzable y el consenso en la ventana a jul-2028. No he localizado foros en castellano ni hilos recientes de Reddit o Seeking Alpha. Las cifras del presupuesto de drones son de prensa especializada, no del documento oficial.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2026-10-14T18:03:43Z</dcterms:created>
  <dcterms:modified xsi:type="dcterms:W3CDTF">2026-10-14T18:03:43Z</dcterms:modified>
</cp:coreProperties>
</file>

<file path=docProps/custom.xml><?xml version="1.0" encoding="utf-8"?>
<Properties xmlns="http://schemas.openxmlformats.org/officeDocument/2006/custom-properties" xmlns:vt="http://schemas.openxmlformats.org/officeDocument/2006/docPropsVTypes"/>
</file>