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fd55102cdc1571c69ea407f2c1e611ae80619f"/>
    <w:p>
      <w:pPr>
        <w:pStyle w:val="Heading1"/>
      </w:pPr>
      <w:r>
        <w:t xml:space="preserve">Alnylam Pharmaceuticals (ALNY): análisis growth, 14-oct-2026</w:t>
      </w:r>
    </w:p>
    <w:p>
      <w:pPr>
        <w:pStyle w:val="FirstParagraph"/>
      </w:pPr>
      <w:r>
        <w:rPr>
          <w:bCs/>
          <w:b/>
        </w:rPr>
        <w:t xml:space="preserve">Señal (método v11, vigente): Vender / no comprar</w:t>
      </w:r>
      <w:r>
        <w:t xml:space="preserve"> </w:t>
      </w:r>
      <w:r>
        <w:t xml:space="preserve">· Puntuación 62,7/100 · Señales de cambio de tendencia 2/8 · EV/beneficio bruto NTM 5,9x</w:t>
      </w:r>
      <w:r>
        <w:t xml:space="preserve"> </w:t>
      </w:r>
      <w:r>
        <w:t xml:space="preserve">Precio 223,82 USD (cierre del 13-oct) · Objetivo 12 m 201,3 USD · Ponderada −10,1 % · Base −5,0 % · Bajista −51,8 % · Alcista +70,4 % · Compra hasta 191,7 USD</w:t>
      </w:r>
      <w:r>
        <w:t xml:space="preserve"> </w:t>
      </w:r>
      <w:r>
        <w:rPr>
          <w:bCs/>
          <w:b/>
        </w:rPr>
        <w:t xml:space="preserve">Al precio actual</w:t>
      </w:r>
      <w:r>
        <w:t xml:space="preserve"> </w:t>
      </w:r>
      <w:r>
        <w:t xml:space="preserve">(225,46 USD, 14-oct, 17:58 UTC; objetivo fijo): ponderada −10,7 %, base −5,7 %, bajista −52,2 %.</w:t>
      </w:r>
      <w:r>
        <w:t xml:space="preserve"> </w:t>
      </w:r>
      <w:r>
        <w:rPr>
          <w:bCs/>
          <w:b/>
        </w:rPr>
        <w:t xml:space="preserve">Referencia v9</w:t>
      </w:r>
      <w:r>
        <w:t xml:space="preserve">: Comprar con convicción baja; ponderada +32,3 %, base +44,1 %, bajista −40,5 %, compra hasta 282 USD. La diferencia sale de una sola cosa: v9 proyecta 11.606 M USD de ventas y v11 usa las del informe, 7.600 M, en línea con el consenso.</w:t>
      </w:r>
      <w:r>
        <w:t xml:space="preserve"> </w:t>
      </w:r>
      <w:r>
        <w:rPr>
          <w:bCs/>
          <w:b/>
        </w:rPr>
        <w:t xml:space="preserve">Robustez</w:t>
      </w:r>
      <w:r>
        <w:t xml:space="preserve">: frágil. La señal robusta es Vender, pero con pesos 25/50/25 sería Mantener (sección 11).</w:t>
      </w:r>
      <w:r>
        <w:t xml:space="preserve"> </w:t>
      </w:r>
      <w:r>
        <w:t xml:space="preserve">Alertas de robustez (</w:t>
      </w:r>
      <w:r>
        <w:rPr>
          <w:rStyle w:val="VerbatimChar"/>
        </w:rPr>
        <w:t xml:space="preserve">calc.alertas</w:t>
      </w:r>
      <w:r>
        <w:t xml:space="preserve">): proyección mecánica muy por encima de la del informe; exceso sobre la guía de 50,4 pp.</w:t>
      </w:r>
      <w:r>
        <w:t xml:space="preserve"> </w:t>
      </w:r>
      <w:r>
        <w:t xml:space="preserve">Peso orientativo:</w:t>
      </w:r>
      <w:r>
        <w:t xml:space="preserve"> </w:t>
      </w:r>
      <w:r>
        <w:rPr>
          <w:bCs/>
          <w:b/>
        </w:rPr>
        <w:t xml:space="preserve">no entra</w:t>
      </w:r>
      <w:r>
        <w:t xml:space="preserve">. No sustituye a nadie y no entra en la lista de suplentes (sección 13).</w:t>
      </w:r>
    </w:p>
    <w:p>
      <w:pPr>
        <w:pStyle w:val="BlockText"/>
      </w:pPr>
      <w:r>
        <w:rPr>
          <w:bCs/>
          <w:b/>
        </w:rPr>
        <w:t xml:space="preserve">Valorada por EV/ventas NTM, no por EV/EBITDA.</w:t>
      </w:r>
      <w:r>
        <w:t xml:space="preserve"> </w:t>
      </w:r>
      <w:r>
        <w:t xml:space="preserve">Alnylam gana dinero desde hace solo cuatro trimestres. En 2025 la mayor parte del beneficio operativo vino de un pago único de Roche, y el margen aún está subiendo deprisa: del −2 % al 18 % en un año, con un objetivo propio del 30 %. Con un margen que todavía no está estabilizado, el EV/EBITDA (unas 16 veces el EBITDA ajustado de los próximos 12 meses) castigaría a la empresa por estar a mitad de camino. Así además se mide igual que argenx, su comparable directo. Lectura en una línea: el negocio sigue creciendo mucho, pero la compañía ha recortado su previsión de ventas, la acción ha caído a la mitad y aún no hay ninguna señal de que la percepción esté girando.</w:t>
      </w:r>
    </w:p>
    <w:bookmarkStart w:id="20" w:name="resumen-en-lenguaje-llano"/>
    <w:p>
      <w:pPr>
        <w:pStyle w:val="Heading2"/>
      </w:pPr>
      <w:r>
        <w:t xml:space="preserve">Resumen en lenguaje llano</w:t>
      </w:r>
    </w:p>
    <w:p>
      <w:pPr>
        <w:numPr>
          <w:ilvl w:val="0"/>
          <w:numId w:val="1001"/>
        </w:numPr>
        <w:pStyle w:val="Compact"/>
      </w:pPr>
      <w:r>
        <w:rPr>
          <w:bCs/>
          <w:b/>
        </w:rPr>
        <w:t xml:space="preserve">Qué es</w:t>
      </w:r>
      <w:r>
        <w:t xml:space="preserve">: el pionero de los fármacos de ARN de interferencia, que «apagan» el gen que fabrica una proteína dañina. Su producto estrella es Amvuttra, una inyección cada tres meses para la amiloidosis por transtiretina (ATTR), una enfermedad que daña el corazón y los nervios.</w:t>
      </w:r>
    </w:p>
    <w:p>
      <w:pPr>
        <w:numPr>
          <w:ilvl w:val="0"/>
          <w:numId w:val="1001"/>
        </w:numPr>
        <w:pStyle w:val="Compact"/>
      </w:pPr>
      <w:r>
        <w:rPr>
          <w:bCs/>
          <w:b/>
        </w:rPr>
        <w:t xml:space="preserve">Cómo va el negocio</w:t>
      </w:r>
      <w:r>
        <w:t xml:space="preserve">: ingresa 4.804 M USD en 12 meses, casi el doble que un año antes, y gana dinero.</w:t>
      </w:r>
    </w:p>
    <w:p>
      <w:pPr>
        <w:numPr>
          <w:ilvl w:val="0"/>
          <w:numId w:val="1001"/>
        </w:numPr>
        <w:pStyle w:val="Compact"/>
      </w:pPr>
      <w:r>
        <w:rPr>
          <w:bCs/>
          <w:b/>
        </w:rPr>
        <w:t xml:space="preserve">Qué ha fallado</w:t>
      </w:r>
      <w:r>
        <w:t xml:space="preserve">: el 30-jul recortó en 200 M USD su previsión de ventas de 2026. La acción cayó un 28 % ese día y acumula un −52 % en 12 meses.</w:t>
      </w:r>
    </w:p>
    <w:p>
      <w:pPr>
        <w:numPr>
          <w:ilvl w:val="0"/>
          <w:numId w:val="1001"/>
        </w:numPr>
        <w:pStyle w:val="Compact"/>
      </w:pPr>
      <w:r>
        <w:rPr>
          <w:bCs/>
          <w:b/>
        </w:rPr>
        <w:t xml:space="preserve">Precio</w:t>
      </w:r>
      <w:r>
        <w:t xml:space="preserve">: barata frente a su historia, a 4,7 veces las ventas de los próximos 12 meses cuando lo normal en tres años era 10.</w:t>
      </w:r>
    </w:p>
    <w:p>
      <w:pPr>
        <w:numPr>
          <w:ilvl w:val="0"/>
          <w:numId w:val="1001"/>
        </w:numPr>
        <w:pStyle w:val="Compact"/>
      </w:pPr>
      <w:r>
        <w:rPr>
          <w:bCs/>
          <w:b/>
        </w:rPr>
        <w:t xml:space="preserve">Por qué no compra el método</w:t>
      </w:r>
      <w:r>
        <w:t xml:space="preserve">: con ventas realistas y un múltiplo que se comprime al frenar el crecimiento, el objetivo queda por debajo del precio. El escenario malo, además, es muy malo: la mitad del precio. Y solo hay 2 de 8 señales de giro.</w:t>
      </w:r>
    </w:p>
    <w:p>
      <w:pPr>
        <w:numPr>
          <w:ilvl w:val="0"/>
          <w:numId w:val="1001"/>
        </w:numPr>
        <w:pStyle w:val="Compact"/>
      </w:pPr>
      <w:r>
        <w:rPr>
          <w:bCs/>
          <w:b/>
        </w:rPr>
        <w:t xml:space="preserve">Qué la haría interesante</w:t>
      </w:r>
      <w:r>
        <w:t xml:space="preserve">: que vuelva a cumplir su previsión y que el precio deje de caer, recuperando su media de 200 sesiones. O un precio por debajo de 192 USD.</w:t>
      </w:r>
    </w:p>
    <w:bookmarkEnd w:id="20"/>
    <w:bookmarkStart w:id="21" w:name="la-tesis-en-cinco-líneas"/>
    <w:p>
      <w:pPr>
        <w:pStyle w:val="Heading2"/>
      </w:pPr>
      <w:r>
        <w:t xml:space="preserve">1. La tesis en cinco líneas</w:t>
      </w:r>
    </w:p>
    <w:p>
      <w:pPr>
        <w:numPr>
          <w:ilvl w:val="0"/>
          <w:numId w:val="1002"/>
        </w:numPr>
        <w:pStyle w:val="Compact"/>
      </w:pPr>
      <w:r>
        <w:t xml:space="preserve">Alnylam ha convertido una tecnología premio Nobel (ARN de interferencia) en seis fármacos aprobados. Amvuttra ya es el 78 % de los ingresos y crece más del 100 % desde que en marzo de 2025 se aprobó para la cardiomiopatía ATTR (ATTR-CM).</w:t>
      </w:r>
    </w:p>
    <w:p>
      <w:pPr>
        <w:numPr>
          <w:ilvl w:val="0"/>
          <w:numId w:val="1002"/>
        </w:numPr>
        <w:pStyle w:val="Compact"/>
      </w:pPr>
      <w:r>
        <w:t xml:space="preserve">El 30-jul la empresa reconoció que había sobrestimado la demanda. Los pacientes que ya tomaban otro fármaco (segunda línea) y esperaban una alternativa se cambiaron de golpe en 2025, y esa ola se ha acabado. Ahora el crecimiento depende de los pacientes nuevos (primera línea), donde compite con tafamidis de Pfizer y Attruby de BridgeBio.</w:t>
      </w:r>
    </w:p>
    <w:p>
      <w:pPr>
        <w:numPr>
          <w:ilvl w:val="0"/>
          <w:numId w:val="1002"/>
        </w:numPr>
        <w:pStyle w:val="Compact"/>
      </w:pPr>
      <w:r>
        <w:t xml:space="preserve">La valoración se ha desplomado: de ~12 veces las ventas de los próximos 12 meses a 4,7. El EV/beneficio bruto es de 5,9x, de los más bajos del universo growth analizado.</w:t>
      </w:r>
    </w:p>
    <w:p>
      <w:pPr>
        <w:numPr>
          <w:ilvl w:val="0"/>
          <w:numId w:val="1002"/>
        </w:numPr>
        <w:pStyle w:val="Compact"/>
      </w:pPr>
      <w:r>
        <w:t xml:space="preserve">El problema es que todo apunta a la baja: revisiones, precio, sentimiento y directivos sin comprar. Además, el bajista es de −52 %, porque un fármaco que se frena se vende con múltiplos de farmacéutica madura.</w:t>
      </w:r>
    </w:p>
    <w:p>
      <w:pPr>
        <w:numPr>
          <w:ilvl w:val="0"/>
          <w:numId w:val="1002"/>
        </w:numPr>
        <w:pStyle w:val="Compact"/>
      </w:pPr>
      <w:r>
        <w:t xml:space="preserve">Conclusión: es un buen negocio en mal momento de percepción, y el método no compra caídas sin giro. Vender / no comprar por poco: la ponderada está en el límite de −10 %.</w:t>
      </w:r>
    </w:p>
    <w:bookmarkEnd w:id="21"/>
    <w:bookmarkStart w:id="22" w:name="negocio-y-tecnología"/>
    <w:p>
      <w:pPr>
        <w:pStyle w:val="Heading2"/>
      </w:pPr>
      <w:r>
        <w:t xml:space="preserve">2. Negocio y tecnología</w:t>
      </w:r>
    </w:p>
    <w:p>
      <w:pPr>
        <w:numPr>
          <w:ilvl w:val="0"/>
          <w:numId w:val="1003"/>
        </w:numPr>
        <w:pStyle w:val="Compact"/>
      </w:pPr>
      <w:r>
        <w:rPr>
          <w:bCs/>
          <w:b/>
        </w:rPr>
        <w:t xml:space="preserve">Productos</w:t>
      </w:r>
      <w:r>
        <w:t xml:space="preserve"> </w:t>
      </w:r>
      <w:r>
        <w:t xml:space="preserve">[1][2].</w:t>
      </w:r>
      <w:r>
        <w:t xml:space="preserve"> </w:t>
      </w:r>
      <w:r>
        <w:rPr>
          <w:bCs/>
          <w:b/>
        </w:rPr>
        <w:t xml:space="preserve">Amvuttra</w:t>
      </w:r>
      <w:r>
        <w:t xml:space="preserve"> </w:t>
      </w:r>
      <w:r>
        <w:t xml:space="preserve">(vutrisiran): 1.012 M USD en el 2T, +106 %.</w:t>
      </w:r>
      <w:r>
        <w:t xml:space="preserve"> </w:t>
      </w:r>
      <w:r>
        <w:rPr>
          <w:bCs/>
          <w:b/>
        </w:rPr>
        <w:t xml:space="preserve">Onpattro</w:t>
      </w:r>
      <w:r>
        <w:t xml:space="preserve"> </w:t>
      </w:r>
      <w:r>
        <w:t xml:space="preserve">(patisiran, el antiguo, intravenoso): 18 M, −65 %.</w:t>
      </w:r>
      <w:r>
        <w:t xml:space="preserve"> </w:t>
      </w:r>
      <w:r>
        <w:rPr>
          <w:bCs/>
          <w:b/>
        </w:rPr>
        <w:t xml:space="preserve">Givlaari</w:t>
      </w:r>
      <w:r>
        <w:t xml:space="preserve"> </w:t>
      </w:r>
      <w:r>
        <w:t xml:space="preserve">(porfiria hepática aguda): 90 M.</w:t>
      </w:r>
      <w:r>
        <w:t xml:space="preserve"> </w:t>
      </w:r>
      <w:r>
        <w:rPr>
          <w:bCs/>
          <w:b/>
        </w:rPr>
        <w:t xml:space="preserve">Oxlumo</w:t>
      </w:r>
      <w:r>
        <w:t xml:space="preserve"> </w:t>
      </w:r>
      <w:r>
        <w:t xml:space="preserve">(hiperoxaluria primaria): 52 M. Le suman colaboraciones (Roche, Regeneron) y regalías, sobre todo de Leqvio, el fármaco del colesterol de Novartis: 119 M en el 2T.</w:t>
      </w:r>
    </w:p>
    <w:p>
      <w:pPr>
        <w:numPr>
          <w:ilvl w:val="0"/>
          <w:numId w:val="1003"/>
        </w:numPr>
        <w:pStyle w:val="Compact"/>
      </w:pPr>
      <w:r>
        <w:rPr>
          <w:bCs/>
          <w:b/>
        </w:rPr>
        <w:t xml:space="preserve">Clientes</w:t>
      </w:r>
      <w:r>
        <w:t xml:space="preserve">: cardiólogos y neurólogos; la mayor parte en EE. UU., a través de distribuidores especializados. China, con BeOne Medicines desde 2026.</w:t>
      </w:r>
    </w:p>
    <w:p>
      <w:pPr>
        <w:numPr>
          <w:ilvl w:val="0"/>
          <w:numId w:val="1003"/>
        </w:numPr>
        <w:pStyle w:val="Compact"/>
      </w:pPr>
      <w:r>
        <w:rPr>
          <w:bCs/>
          <w:b/>
        </w:rPr>
        <w:t xml:space="preserve">Cartera</w:t>
      </w:r>
      <w:r>
        <w:t xml:space="preserve"> </w:t>
      </w:r>
      <w:r>
        <w:t xml:space="preserve">[1].</w:t>
      </w:r>
      <w:r>
        <w:t xml:space="preserve"> </w:t>
      </w:r>
      <w:r>
        <w:rPr>
          <w:bCs/>
          <w:b/>
        </w:rPr>
        <w:t xml:space="preserve">Nucresiran</w:t>
      </w:r>
      <w:r>
        <w:t xml:space="preserve">: un silenciador de TTR de nueva generación, una o dos dosis al año y sin regalías a Sanofi; lanzamiento previsto en polineuropatía en 2028 y en cardiomiopatía en 2030.</w:t>
      </w:r>
      <w:r>
        <w:t xml:space="preserve"> </w:t>
      </w:r>
      <w:r>
        <w:rPr>
          <w:bCs/>
          <w:b/>
        </w:rPr>
        <w:t xml:space="preserve">Zilebesiran</w:t>
      </w:r>
      <w:r>
        <w:t xml:space="preserve">: hipertensión, con Roche, en fase 3 de resultados cardiovasculares (ZENITH).</w:t>
      </w:r>
      <w:r>
        <w:t xml:space="preserve"> </w:t>
      </w:r>
      <w:r>
        <w:rPr>
          <w:bCs/>
          <w:b/>
        </w:rPr>
        <w:t xml:space="preserve">Mivelsiran</w:t>
      </w:r>
      <w:r>
        <w:t xml:space="preserve">: alzhéimer y angiopatía amiloide.</w:t>
      </w:r>
      <w:r>
        <w:t xml:space="preserve"> </w:t>
      </w:r>
      <w:r>
        <w:rPr>
          <w:bCs/>
          <w:b/>
        </w:rPr>
        <w:t xml:space="preserve">ALN-HTT02</w:t>
      </w:r>
      <w:r>
        <w:t xml:space="preserve">: huntington, con datos el 23-oct. Además, obesidad (ALN-6222, ALN-2232) y cemdisiran (miastenia, con Regeneron; decisión de la FDA en noviembre).</w:t>
      </w:r>
    </w:p>
    <w:p>
      <w:pPr>
        <w:numPr>
          <w:ilvl w:val="0"/>
          <w:numId w:val="1003"/>
        </w:numPr>
        <w:pStyle w:val="Compact"/>
      </w:pPr>
      <w:r>
        <w:rPr>
          <w:bCs/>
          <w:b/>
        </w:rPr>
        <w:t xml:space="preserve">Tecnología 4/5</w:t>
      </w:r>
      <w:r>
        <w:t xml:space="preserve">: es la plataforma líder en ARN de interferencia, con la química GalNAc, más de 20 años de datos y patentes, y llega ya a varios tejidos (hígado, sistema nervioso central, grasa). No se le da el 5 porque hay rivales que replican la técnica, como Arrowhead, Ionis (antisentido) e Intellia (edición genética de TTR).</w:t>
      </w:r>
    </w:p>
    <w:p>
      <w:pPr>
        <w:numPr>
          <w:ilvl w:val="0"/>
          <w:numId w:val="1003"/>
        </w:numPr>
        <w:pStyle w:val="Compact"/>
      </w:pPr>
      <w:r>
        <w:rPr>
          <w:bCs/>
          <w:b/>
        </w:rPr>
        <w:t xml:space="preserve">Posición 4/5</w:t>
      </w:r>
      <w:r>
        <w:t xml:space="preserve">: Amvuttra es el único silenciador aprobado en todo el espectro de la ATTR y se llevaría más del 50 % de los inicios nuevos entre los médicos que ya lo recetan [6]. Pero en cardiomiopatía el líder por ventas sigue siendo tafamidis (Pfizer), y Attruby crece deprisa (222 M en el 2T, el triple que un año antes) [6].</w:t>
      </w:r>
    </w:p>
    <w:bookmarkEnd w:id="22"/>
    <w:bookmarkStart w:id="23" w:name="crecimiento"/>
    <w:p>
      <w:pPr>
        <w:pStyle w:val="Heading2"/>
      </w:pPr>
      <w:r>
        <w:t xml:space="preserve">3. Crecimiento</w:t>
      </w:r>
    </w:p>
    <w:p>
      <w:pPr>
        <w:pStyle w:val="FirstParagraph"/>
      </w:pPr>
      <w:r>
        <w:t xml:space="preserve">Ingresos totales y de producto (M USD) [1][2]: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Ingresos totales</w:t>
            </w:r>
          </w:p>
        </w:tc>
        <w:tc>
          <w:tcPr/>
          <w:p>
            <w:pPr>
              <w:pStyle w:val="Compact"/>
              <w:jc w:val="left"/>
            </w:pPr>
            <w:r>
              <w:t xml:space="preserve">Crec. interanual</w:t>
            </w:r>
          </w:p>
        </w:tc>
        <w:tc>
          <w:tcPr/>
          <w:p>
            <w:pPr>
              <w:pStyle w:val="Compact"/>
              <w:jc w:val="left"/>
            </w:pPr>
            <w:r>
              <w:t xml:space="preserve">Ventas de producto</w:t>
            </w:r>
          </w:p>
        </w:tc>
        <w:tc>
          <w:tcPr/>
          <w:p>
            <w:pPr>
              <w:pStyle w:val="Compact"/>
              <w:jc w:val="left"/>
            </w:pPr>
            <w:r>
              <w:t xml:space="preserve">Crec. interanual</w:t>
            </w:r>
          </w:p>
        </w:tc>
      </w:tr>
      <w:tr>
        <w:tc>
          <w:tcPr/>
          <w:p>
            <w:pPr>
              <w:pStyle w:val="Compact"/>
              <w:jc w:val="left"/>
            </w:pPr>
            <w:r>
              <w:t xml:space="preserve">2T 2025</w:t>
            </w:r>
          </w:p>
        </w:tc>
        <w:tc>
          <w:tcPr/>
          <w:p>
            <w:pPr>
              <w:pStyle w:val="Compact"/>
              <w:jc w:val="left"/>
            </w:pPr>
            <w:r>
              <w:t xml:space="preserve">773,7</w:t>
            </w:r>
          </w:p>
        </w:tc>
        <w:tc>
          <w:tcPr/>
          <w:p>
            <w:pPr>
              <w:pStyle w:val="Compact"/>
              <w:jc w:val="left"/>
            </w:pPr>
            <w:r>
              <w:t xml:space="preserve">+17,3 %</w:t>
            </w:r>
          </w:p>
        </w:tc>
        <w:tc>
          <w:tcPr/>
          <w:p>
            <w:pPr>
              <w:pStyle w:val="Compact"/>
              <w:jc w:val="left"/>
            </w:pPr>
            <w:r>
              <w:t xml:space="preserve">672,2</w:t>
            </w:r>
          </w:p>
        </w:tc>
        <w:tc>
          <w:tcPr/>
          <w:p>
            <w:pPr>
              <w:pStyle w:val="Compact"/>
              <w:jc w:val="left"/>
            </w:pPr>
            <w:r>
              <w:t xml:space="preserve">n.d.</w:t>
            </w:r>
          </w:p>
        </w:tc>
      </w:tr>
      <w:tr>
        <w:tc>
          <w:tcPr/>
          <w:p>
            <w:pPr>
              <w:pStyle w:val="Compact"/>
              <w:jc w:val="left"/>
            </w:pPr>
            <w:r>
              <w:t xml:space="preserve">3T 2025</w:t>
            </w:r>
          </w:p>
        </w:tc>
        <w:tc>
          <w:tcPr/>
          <w:p>
            <w:pPr>
              <w:pStyle w:val="Compact"/>
              <w:jc w:val="left"/>
            </w:pPr>
            <w:r>
              <w:t xml:space="preserve">1.249,0 (incluye ~300 M de un hito único de Roche)</w:t>
            </w:r>
          </w:p>
        </w:tc>
        <w:tc>
          <w:tcPr/>
          <w:p>
            <w:pPr>
              <w:pStyle w:val="Compact"/>
              <w:jc w:val="left"/>
            </w:pPr>
            <w:r>
              <w:t xml:space="preserve">+149,3 %</w:t>
            </w:r>
          </w:p>
        </w:tc>
        <w:tc>
          <w:tcPr/>
          <w:p>
            <w:pPr>
              <w:pStyle w:val="Compact"/>
              <w:jc w:val="left"/>
            </w:pPr>
            <w:r>
              <w:t xml:space="preserve">851,1</w:t>
            </w:r>
          </w:p>
        </w:tc>
        <w:tc>
          <w:tcPr/>
          <w:p>
            <w:pPr>
              <w:pStyle w:val="Compact"/>
              <w:jc w:val="left"/>
            </w:pPr>
            <w:r>
              <w:t xml:space="preserve">+103 %</w:t>
            </w:r>
          </w:p>
        </w:tc>
      </w:tr>
      <w:tr>
        <w:tc>
          <w:tcPr/>
          <w:p>
            <w:pPr>
              <w:pStyle w:val="Compact"/>
              <w:jc w:val="left"/>
            </w:pPr>
            <w:r>
              <w:t xml:space="preserve">4T 2025</w:t>
            </w:r>
          </w:p>
        </w:tc>
        <w:tc>
          <w:tcPr/>
          <w:p>
            <w:pPr>
              <w:pStyle w:val="Compact"/>
              <w:jc w:val="left"/>
            </w:pPr>
            <w:r>
              <w:t xml:space="preserve">1.097,0</w:t>
            </w:r>
          </w:p>
        </w:tc>
        <w:tc>
          <w:tcPr/>
          <w:p>
            <w:pPr>
              <w:pStyle w:val="Compact"/>
              <w:jc w:val="left"/>
            </w:pPr>
            <w:r>
              <w:t xml:space="preserve">+85,0 %</w:t>
            </w:r>
          </w:p>
        </w:tc>
        <w:tc>
          <w:tcPr/>
          <w:p>
            <w:pPr>
              <w:pStyle w:val="Compact"/>
              <w:jc w:val="left"/>
            </w:pPr>
            <w:r>
              <w:t xml:space="preserve">994,7</w:t>
            </w:r>
          </w:p>
        </w:tc>
        <w:tc>
          <w:tcPr/>
          <w:p>
            <w:pPr>
              <w:pStyle w:val="Compact"/>
              <w:jc w:val="left"/>
            </w:pPr>
            <w:r>
              <w:t xml:space="preserve">+121 %</w:t>
            </w:r>
          </w:p>
        </w:tc>
      </w:tr>
      <w:tr>
        <w:tc>
          <w:tcPr/>
          <w:p>
            <w:pPr>
              <w:pStyle w:val="Compact"/>
              <w:jc w:val="left"/>
            </w:pPr>
            <w:r>
              <w:t xml:space="preserve">1T 2026</w:t>
            </w:r>
          </w:p>
        </w:tc>
        <w:tc>
          <w:tcPr/>
          <w:p>
            <w:pPr>
              <w:pStyle w:val="Compact"/>
              <w:jc w:val="left"/>
            </w:pPr>
            <w:r>
              <w:t xml:space="preserve">1.167,2</w:t>
            </w:r>
          </w:p>
        </w:tc>
        <w:tc>
          <w:tcPr/>
          <w:p>
            <w:pPr>
              <w:pStyle w:val="Compact"/>
              <w:jc w:val="left"/>
            </w:pPr>
            <w:r>
              <w:t xml:space="preserve">+96,4 %</w:t>
            </w:r>
          </w:p>
        </w:tc>
        <w:tc>
          <w:tcPr/>
          <w:p>
            <w:pPr>
              <w:pStyle w:val="Compact"/>
              <w:jc w:val="left"/>
            </w:pPr>
            <w:r>
              <w:t xml:space="preserve">1.036,1</w:t>
            </w:r>
          </w:p>
        </w:tc>
        <w:tc>
          <w:tcPr/>
          <w:p>
            <w:pPr>
              <w:pStyle w:val="Compact"/>
              <w:jc w:val="left"/>
            </w:pPr>
            <w:r>
              <w:t xml:space="preserve">+121 %</w:t>
            </w:r>
          </w:p>
        </w:tc>
      </w:tr>
      <w:tr>
        <w:tc>
          <w:tcPr/>
          <w:p>
            <w:pPr>
              <w:pStyle w:val="Compact"/>
              <w:jc w:val="left"/>
            </w:pPr>
            <w:r>
              <w:t xml:space="preserve">2T 2026</w:t>
            </w:r>
          </w:p>
        </w:tc>
        <w:tc>
          <w:tcPr/>
          <w:p>
            <w:pPr>
              <w:pStyle w:val="Compact"/>
              <w:jc w:val="left"/>
            </w:pPr>
            <w:r>
              <w:t xml:space="preserve">1.290,9</w:t>
            </w:r>
          </w:p>
        </w:tc>
        <w:tc>
          <w:tcPr/>
          <w:p>
            <w:pPr>
              <w:pStyle w:val="Compact"/>
              <w:jc w:val="left"/>
            </w:pPr>
            <w:r>
              <w:t xml:space="preserve">+66,9 %</w:t>
            </w:r>
          </w:p>
        </w:tc>
        <w:tc>
          <w:tcPr/>
          <w:p>
            <w:pPr>
              <w:pStyle w:val="Compact"/>
              <w:jc w:val="left"/>
            </w:pPr>
            <w:r>
              <w:t xml:space="preserve">1.172,1</w:t>
            </w:r>
          </w:p>
        </w:tc>
        <w:tc>
          <w:tcPr/>
          <w:p>
            <w:pPr>
              <w:pStyle w:val="Compact"/>
              <w:jc w:val="left"/>
            </w:pPr>
            <w:r>
              <w:t xml:space="preserve">+74 %</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w:t>
            </w:r>
          </w:p>
        </w:tc>
        <w:tc>
          <w:tcPr/>
          <w:p>
            <w:pPr>
              <w:pStyle w:val="Compact"/>
              <w:jc w:val="left"/>
            </w:pPr>
            <w:r>
              <w:t xml:space="preserve">Ingresos totales</w:t>
            </w:r>
          </w:p>
        </w:tc>
        <w:tc>
          <w:tcPr/>
          <w:p>
            <w:pPr>
              <w:pStyle w:val="Compact"/>
              <w:jc w:val="left"/>
            </w:pPr>
            <w:r>
              <w:t xml:space="preserve">Crec.</w:t>
            </w:r>
          </w:p>
        </w:tc>
        <w:tc>
          <w:tcPr/>
          <w:p>
            <w:pPr>
              <w:pStyle w:val="Compact"/>
              <w:jc w:val="left"/>
            </w:pPr>
            <w:r>
              <w:t xml:space="preserve">Ventas de producto</w:t>
            </w:r>
          </w:p>
        </w:tc>
      </w:tr>
      <w:tr>
        <w:tc>
          <w:tcPr/>
          <w:p>
            <w:pPr>
              <w:pStyle w:val="Compact"/>
              <w:jc w:val="left"/>
            </w:pPr>
            <w:r>
              <w:t xml:space="preserve">2023</w:t>
            </w:r>
          </w:p>
        </w:tc>
        <w:tc>
          <w:tcPr/>
          <w:p>
            <w:pPr>
              <w:pStyle w:val="Compact"/>
              <w:jc w:val="left"/>
            </w:pPr>
            <w:r>
              <w:t xml:space="preserve">1.828</w:t>
            </w:r>
          </w:p>
        </w:tc>
        <w:tc>
          <w:tcPr/>
          <w:p>
            <w:pPr>
              <w:pStyle w:val="Compact"/>
              <w:jc w:val="left"/>
            </w:pPr>
            <w:r>
              <w:t xml:space="preserve">—</w:t>
            </w:r>
          </w:p>
        </w:tc>
        <w:tc>
          <w:tcPr/>
          <w:p>
            <w:pPr>
              <w:pStyle w:val="Compact"/>
              <w:jc w:val="left"/>
            </w:pPr>
            <w:r>
              <w:t xml:space="preserve">n.d.</w:t>
            </w:r>
          </w:p>
        </w:tc>
      </w:tr>
      <w:tr>
        <w:tc>
          <w:tcPr/>
          <w:p>
            <w:pPr>
              <w:pStyle w:val="Compact"/>
              <w:jc w:val="left"/>
            </w:pPr>
            <w:r>
              <w:t xml:space="preserve">2024</w:t>
            </w:r>
          </w:p>
        </w:tc>
        <w:tc>
          <w:tcPr/>
          <w:p>
            <w:pPr>
              <w:pStyle w:val="Compact"/>
              <w:jc w:val="left"/>
            </w:pPr>
            <w:r>
              <w:t xml:space="preserve">2.248</w:t>
            </w:r>
          </w:p>
        </w:tc>
        <w:tc>
          <w:tcPr/>
          <w:p>
            <w:pPr>
              <w:pStyle w:val="Compact"/>
              <w:jc w:val="left"/>
            </w:pPr>
            <w:r>
              <w:t xml:space="preserve">+23 %</w:t>
            </w:r>
          </w:p>
        </w:tc>
        <w:tc>
          <w:tcPr/>
          <w:p>
            <w:pPr>
              <w:pStyle w:val="Compact"/>
              <w:jc w:val="left"/>
            </w:pPr>
            <w:r>
              <w:t xml:space="preserve">1.646</w:t>
            </w:r>
          </w:p>
        </w:tc>
      </w:tr>
      <w:tr>
        <w:tc>
          <w:tcPr/>
          <w:p>
            <w:pPr>
              <w:pStyle w:val="Compact"/>
              <w:jc w:val="left"/>
            </w:pPr>
            <w:r>
              <w:t xml:space="preserve">2025</w:t>
            </w:r>
          </w:p>
        </w:tc>
        <w:tc>
          <w:tcPr/>
          <w:p>
            <w:pPr>
              <w:pStyle w:val="Compact"/>
              <w:jc w:val="left"/>
            </w:pPr>
            <w:r>
              <w:t xml:space="preserve">3.714</w:t>
            </w:r>
          </w:p>
        </w:tc>
        <w:tc>
          <w:tcPr/>
          <w:p>
            <w:pPr>
              <w:pStyle w:val="Compact"/>
              <w:jc w:val="left"/>
            </w:pPr>
            <w:r>
              <w:t xml:space="preserve">+65 %</w:t>
            </w:r>
          </w:p>
        </w:tc>
        <w:tc>
          <w:tcPr/>
          <w:p>
            <w:pPr>
              <w:pStyle w:val="Compact"/>
              <w:jc w:val="left"/>
            </w:pPr>
            <w:r>
              <w:t xml:space="preserve">2.987</w:t>
            </w:r>
          </w:p>
        </w:tc>
      </w:tr>
      <w:tr>
        <w:tc>
          <w:tcPr/>
          <w:p>
            <w:pPr>
              <w:pStyle w:val="Compact"/>
              <w:jc w:val="left"/>
            </w:pPr>
            <w:r>
              <w:t xml:space="preserve">2026, guía</w:t>
            </w:r>
          </w:p>
        </w:tc>
        <w:tc>
          <w:tcPr/>
          <w:p>
            <w:pPr>
              <w:pStyle w:val="Compact"/>
              <w:jc w:val="left"/>
            </w:pPr>
            <w:r>
              <w:t xml:space="preserve">~5.500</w:t>
            </w:r>
          </w:p>
        </w:tc>
        <w:tc>
          <w:tcPr/>
          <w:p>
            <w:pPr>
              <w:pStyle w:val="Compact"/>
              <w:jc w:val="left"/>
            </w:pPr>
            <w:r>
              <w:t xml:space="preserve">~+48 %</w:t>
            </w:r>
          </w:p>
        </w:tc>
        <w:tc>
          <w:tcPr/>
          <w:p>
            <w:pPr>
              <w:pStyle w:val="Compact"/>
              <w:jc w:val="left"/>
            </w:pPr>
            <w:r>
              <w:t xml:space="preserve">4.700-5.100</w:t>
            </w:r>
          </w:p>
        </w:tc>
      </w:tr>
      <w:tr>
        <w:tc>
          <w:tcPr/>
          <w:p>
            <w:pPr>
              <w:pStyle w:val="Compact"/>
              <w:jc w:val="left"/>
            </w:pPr>
            <w:r>
              <w:t xml:space="preserve">2026, consenso</w:t>
            </w:r>
          </w:p>
        </w:tc>
        <w:tc>
          <w:tcPr/>
          <w:p>
            <w:pPr>
              <w:pStyle w:val="Compact"/>
              <w:jc w:val="left"/>
            </w:pPr>
            <w:r>
              <w:t xml:space="preserve">5.482</w:t>
            </w:r>
          </w:p>
        </w:tc>
        <w:tc>
          <w:tcPr/>
          <w:p>
            <w:pPr>
              <w:pStyle w:val="Compact"/>
              <w:jc w:val="left"/>
            </w:pPr>
            <w:r>
              <w:t xml:space="preserve">+48 %</w:t>
            </w:r>
          </w:p>
        </w:tc>
        <w:tc>
          <w:tcPr/>
          <w:p>
            <w:pPr>
              <w:pStyle w:val="Compact"/>
              <w:jc w:val="left"/>
            </w:pPr>
            <w:r>
              <w:t xml:space="preserve">—</w:t>
            </w:r>
          </w:p>
        </w:tc>
      </w:tr>
      <w:tr>
        <w:tc>
          <w:tcPr/>
          <w:p>
            <w:pPr>
              <w:pStyle w:val="Compact"/>
              <w:jc w:val="left"/>
            </w:pPr>
            <w:r>
              <w:t xml:space="preserve">2027, consenso</w:t>
            </w:r>
          </w:p>
        </w:tc>
        <w:tc>
          <w:tcPr/>
          <w:p>
            <w:pPr>
              <w:pStyle w:val="Compact"/>
              <w:jc w:val="left"/>
            </w:pPr>
            <w:r>
              <w:t xml:space="preserve">6.939</w:t>
            </w:r>
          </w:p>
        </w:tc>
        <w:tc>
          <w:tcPr/>
          <w:p>
            <w:pPr>
              <w:pStyle w:val="Compact"/>
              <w:jc w:val="left"/>
            </w:pPr>
            <w:r>
              <w:t xml:space="preserve">+27 %</w:t>
            </w:r>
          </w:p>
        </w:tc>
        <w:tc>
          <w:tcPr/>
          <w:p>
            <w:pPr>
              <w:pStyle w:val="Compact"/>
              <w:jc w:val="left"/>
            </w:pPr>
            <w:r>
              <w:t xml:space="preserve">—</w:t>
            </w:r>
          </w:p>
        </w:tc>
      </w:tr>
      <w:tr>
        <w:tc>
          <w:tcPr/>
          <w:p>
            <w:pPr>
              <w:pStyle w:val="Compact"/>
              <w:jc w:val="left"/>
            </w:pPr>
            <w:r>
              <w:t xml:space="preserve">2028, consenso</w:t>
            </w:r>
          </w:p>
        </w:tc>
        <w:tc>
          <w:tcPr/>
          <w:p>
            <w:pPr>
              <w:pStyle w:val="Compact"/>
              <w:jc w:val="left"/>
            </w:pPr>
            <w:r>
              <w:t xml:space="preserve">8.312</w:t>
            </w:r>
          </w:p>
        </w:tc>
        <w:tc>
          <w:tcPr/>
          <w:p>
            <w:pPr>
              <w:pStyle w:val="Compact"/>
              <w:jc w:val="left"/>
            </w:pPr>
            <w:r>
              <w:t xml:space="preserve">+20 %</w:t>
            </w:r>
          </w:p>
        </w:tc>
        <w:tc>
          <w:tcPr/>
          <w:p>
            <w:pPr>
              <w:pStyle w:val="Compact"/>
              <w:jc w:val="left"/>
            </w:pPr>
            <w:r>
              <w:t xml:space="preserve">—</w:t>
            </w:r>
          </w:p>
        </w:tc>
      </w:tr>
    </w:tbl>
    <w:p>
      <w:pPr>
        <w:numPr>
          <w:ilvl w:val="0"/>
          <w:numId w:val="1004"/>
        </w:numPr>
        <w:pStyle w:val="Compact"/>
      </w:pPr>
      <w:r>
        <w:rPr>
          <w:bCs/>
          <w:b/>
        </w:rPr>
        <w:t xml:space="preserve">Ingresos de los últimos 12 meses</w:t>
      </w:r>
      <w:r>
        <w:t xml:space="preserve"> </w:t>
      </w:r>
      <w:r>
        <w:t xml:space="preserve">(3T25-2T26):</w:t>
      </w:r>
      <w:r>
        <w:t xml:space="preserve"> </w:t>
      </w:r>
      <w:r>
        <w:rPr>
          <w:bCs/>
          <w:b/>
        </w:rPr>
        <w:t xml:space="preserve">4.804 M USD, +95,1 %</w:t>
      </w:r>
      <w:r>
        <w:t xml:space="preserve">.</w:t>
      </w:r>
      <w:r>
        <w:t xml:space="preserve"> </w:t>
      </w:r>
      <w:r>
        <w:rPr>
          <w:bCs/>
          <w:b/>
        </w:rPr>
        <w:t xml:space="preserve">CAGR a 2 años: +43,2 %</w:t>
      </w:r>
      <w:r>
        <w:t xml:space="preserve">. Ambos están algo inflados por el pago único de Roche.</w:t>
      </w:r>
    </w:p>
    <w:p>
      <w:pPr>
        <w:numPr>
          <w:ilvl w:val="0"/>
          <w:numId w:val="1004"/>
        </w:numPr>
        <w:pStyle w:val="Compact"/>
      </w:pPr>
      <w:r>
        <w:rPr>
          <w:bCs/>
          <w:b/>
        </w:rPr>
        <w:t xml:space="preserve">Aceleración: −20,1 pp</w:t>
      </w:r>
      <w:r>
        <w:t xml:space="preserve">. El 2T creció un 66,9 %, frente a una media del 87 % en los cuatro anteriores. En ventas de producto, el frenazo va de +121 % a +74 %.</w:t>
      </w:r>
    </w:p>
    <w:p>
      <w:pPr>
        <w:numPr>
          <w:ilvl w:val="0"/>
          <w:numId w:val="1004"/>
        </w:numPr>
        <w:pStyle w:val="Compact"/>
      </w:pPr>
      <w:r>
        <w:rPr>
          <w:bCs/>
          <w:b/>
        </w:rPr>
        <w:t xml:space="preserve">Guía</w:t>
      </w:r>
      <w:r>
        <w:t xml:space="preserve">: la de producto de 2026 bajó de 4.900-5.300 a 4.700-5.100 M USD [1]. Lo que implica para la segunda mitad es un</w:t>
      </w:r>
      <w:r>
        <w:t xml:space="preserve"> </w:t>
      </w:r>
      <w:r>
        <w:rPr>
          <w:bCs/>
          <w:b/>
        </w:rPr>
        <w:t xml:space="preserve">+45,8 %</w:t>
      </w:r>
      <w:r>
        <w:t xml:space="preserve"> </w:t>
      </w:r>
      <w:r>
        <w:t xml:space="preserve">en producto, y un +29,7 % en ingresos totales por la comparación con el hito de Roche. En 2025, en cambio, batió con creces su primera guía: la dio para crecer un 31 % y creció un 81 % [4]. De ahí el exceso de 50,4 pp, que este año no se está repitiendo.</w:t>
      </w:r>
    </w:p>
    <w:p>
      <w:pPr>
        <w:numPr>
          <w:ilvl w:val="0"/>
          <w:numId w:val="1004"/>
        </w:numPr>
        <w:pStyle w:val="Compact"/>
      </w:pPr>
      <w:r>
        <w:rPr>
          <w:bCs/>
          <w:b/>
        </w:rPr>
        <w:t xml:space="preserve">Lo bueno del 2T</w:t>
      </w:r>
      <w:r>
        <w:t xml:space="preserve">: en EE. UU. la demanda de TTR creció 129 M USD frente al 1T, más del doble que el trimestre anterior. Según la empresa, el 80 % de los pacientes nuevos de ATTR-CM empieza ya en primera línea [1][6].</w:t>
      </w:r>
    </w:p>
    <w:bookmarkEnd w:id="23"/>
    <w:bookmarkStart w:id="24" w:name="mercado-y-competencia"/>
    <w:p>
      <w:pPr>
        <w:pStyle w:val="Heading2"/>
      </w:pPr>
      <w:r>
        <w:t xml:space="preserve">4. Mercado y competencia</w:t>
      </w:r>
    </w:p>
    <w:p>
      <w:pPr>
        <w:numPr>
          <w:ilvl w:val="0"/>
          <w:numId w:val="1005"/>
        </w:numPr>
        <w:pStyle w:val="Compact"/>
      </w:pPr>
      <w:r>
        <w:rPr>
          <w:bCs/>
          <w:b/>
        </w:rPr>
        <w:t xml:space="preserve">Mercado alcanzable en 2028: ~20.000 M USD</w:t>
      </w:r>
      <w:r>
        <w:t xml:space="preserve"> </w:t>
      </w:r>
      <w:r>
        <w:t xml:space="preserve">(estimación propia): la ATTR completa (tafamidis, Attruby, Amvuttra y la polineuropatía), que hoy está en ~11.000-12.000 M y crece con el diagnóstico, más las enfermedades raras de Givlaari y Oxlumo y las regalías. La empresa estima ~200.000 pacientes de ATTR-CM en EE. UU., el 80 % sin tratar [6].</w:t>
      </w:r>
    </w:p>
    <w:p>
      <w:pPr>
        <w:numPr>
          <w:ilvl w:val="0"/>
          <w:numId w:val="1005"/>
        </w:numPr>
        <w:pStyle w:val="Compact"/>
      </w:pPr>
      <w:r>
        <w:rPr>
          <w:bCs/>
          <w:b/>
        </w:rPr>
        <w:t xml:space="preserve">Penetración</w:t>
      </w:r>
      <w:r>
        <w:t xml:space="preserve">: 4.804 / 20.000 =</w:t>
      </w:r>
      <w:r>
        <w:t xml:space="preserve"> </w:t>
      </w:r>
      <w:r>
        <w:rPr>
          <w:bCs/>
          <w:b/>
        </w:rPr>
        <w:t xml:space="preserve">24 %</w:t>
      </w:r>
      <w:r>
        <w:t xml:space="preserve">. Puntúa 1 de 5, como en argenx: castiga al líder de un nicho.</w:t>
      </w:r>
    </w:p>
    <w:p>
      <w:pPr>
        <w:numPr>
          <w:ilvl w:val="0"/>
          <w:numId w:val="1005"/>
        </w:numPr>
        <w:pStyle w:val="Compact"/>
      </w:pPr>
      <w:r>
        <w:rPr>
          <w:bCs/>
          <w:b/>
        </w:rPr>
        <w:t xml:space="preserve">Rivales</w:t>
      </w:r>
      <w:r>
        <w:t xml:space="preserve">: tafamidis (Pfizer; la empresa espera genéricos en EE. UU. en 2031), Attruby (acoramidis, BridgeBio) y, en el futuro, la edición genética de Intellia (nex-z). Uno menos: eplontersen (Ionis/AstraZeneca) fracasó en cardiomiopatía (CARDIO-TTRansform, 9-jul y 28-ago) [11].</w:t>
      </w:r>
    </w:p>
    <w:p>
      <w:pPr>
        <w:numPr>
          <w:ilvl w:val="0"/>
          <w:numId w:val="1005"/>
        </w:numPr>
        <w:pStyle w:val="Compact"/>
      </w:pPr>
      <w:r>
        <w:rPr>
          <w:bCs/>
          <w:b/>
        </w:rPr>
        <w:t xml:space="preserve">Por qué podría ganar</w:t>
      </w:r>
      <w:r>
        <w:t xml:space="preserve">: es el único silenciador con datos de mortalidad en cardiomiopatía (HELIOS-B), con una inyección cada tres meses y una siguiente generación en camino.</w:t>
      </w:r>
      <w:r>
        <w:t xml:space="preserve"> </w:t>
      </w:r>
      <w:r>
        <w:rPr>
          <w:bCs/>
          <w:b/>
        </w:rPr>
        <w:t xml:space="preserve">Por qué no gana tan deprisa</w:t>
      </w:r>
      <w:r>
        <w:t xml:space="preserve">: los cardiólogos empiezan por el estabilizador oral, que es más barato y conocido, y el paso a Amvuttra ya no es automático.</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A la baja. El consenso de ventas de 2026 pasa de ~5.550 a 5.482 M. Wolfe pasa a Infraponderar (205 USD), Stifel recorta a 318 y JPMorgan recorta en octubre. El precio objetivo medio cae de 461 USD (junio) a 371 (octubre)</w:t>
            </w:r>
          </w:p>
        </w:tc>
        <w:tc>
          <w:tcPr/>
          <w:p>
            <w:pPr>
              <w:pStyle w:val="Compact"/>
              <w:jc w:val="left"/>
            </w:pPr>
            <w:r>
              <w:t xml:space="preserve">[5][6][7][8]</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223,82 USD frente a una media de 296,8, que además baja</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−32,8 %, frente a +20,4 % del Nasdaq-100 y +16,2 % del índice de biotecnología</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De 4,4x en el mínimo del 30-jul a 4,75x hoy: +8 %, por debajo del +20 % exigido</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del 18 % en el 2T, frente al −2 % un año antes. Cuatro trimestres seguidos con beneficio</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caída del 28 %, investigaciones de bufetes y cinco sesiones seguidas a la baja a principios de octubre</w:t>
            </w:r>
          </w:p>
        </w:tc>
        <w:tc>
          <w:tcPr/>
          <w:p>
            <w:pPr>
              <w:pStyle w:val="Compact"/>
              <w:jc w:val="left"/>
            </w:pPr>
            <w:r>
              <w:t xml:space="preserve">[6][8][9]</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Ninguna compra; solo ventas programadas y ventas para pagar impuestos</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Datos en huntington (23-oct), resultados del 3T, decisión sobre cemdisiran (noviembre) y guía 2027 (enero)</w:t>
            </w:r>
          </w:p>
        </w:tc>
        <w:tc>
          <w:tcPr/>
          <w:p>
            <w:pPr>
              <w:pStyle w:val="Compact"/>
              <w:jc w:val="left"/>
            </w:pPr>
            <w:r>
              <w:t xml:space="preserve">[1]</w:t>
            </w:r>
          </w:p>
        </w:tc>
      </w:tr>
    </w:tbl>
    <w:p>
      <w:pPr>
        <w:pStyle w:val="BodyText"/>
      </w:pPr>
      <w:r>
        <w:rPr>
          <w:bCs/>
          <w:b/>
        </w:rPr>
        <w:t xml:space="preserve">Euforia: no.</w:t>
      </w:r>
      <w:r>
        <w:t xml:space="preserve"> </w:t>
      </w:r>
      <w:r>
        <w:t xml:space="preserve">La acción cae un 51,9 % en 12 meses: es lo contrario de la euforia.</w:t>
      </w:r>
    </w:p>
    <w:bookmarkEnd w:id="25"/>
    <w:bookmarkStart w:id="26"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w:t>
      </w:r>
      <w:r>
        <w:t xml:space="preserve">:</w:t>
      </w:r>
      <w:r>
        <w:t xml:space="preserve"> </w:t>
      </w:r>
      <w:r>
        <w:rPr>
          <w:bCs/>
          <w:b/>
        </w:rPr>
        <w:t xml:space="preserve">79,8 %</w:t>
      </w:r>
      <w:r>
        <w:t xml:space="preserve"> </w:t>
      </w:r>
      <w:r>
        <w:t xml:space="preserve">en 12 meses, aunque baja (76,9 % en el 2T). La causa es que, cuanto más vende Amvuttra, más alto es el tramo de regalías que paga a Sanofi: hasta el 30 % de las ventas por encima de 1.500 M USD [1]. Nucresiran no paga esa regalía, y por eso importa tanto para el margen futuro.</w:t>
      </w:r>
    </w:p>
    <w:p>
      <w:pPr>
        <w:numPr>
          <w:ilvl w:val="0"/>
          <w:numId w:val="1006"/>
        </w:numPr>
        <w:pStyle w:val="Compact"/>
      </w:pPr>
      <w:r>
        <w:rPr>
          <w:bCs/>
          <w:b/>
        </w:rPr>
        <w:t xml:space="preserve">Margen operativo</w:t>
      </w:r>
      <w:r>
        <w:t xml:space="preserve">: 18 % GAAP y 25 % ajustado (sin pagos en acciones) en el 2T. La meta Alnylam 2030 es ~30 % ajustado, con un 30 % de los ingresos en I+D [4].</w:t>
      </w:r>
    </w:p>
    <w:p>
      <w:pPr>
        <w:numPr>
          <w:ilvl w:val="0"/>
          <w:numId w:val="1006"/>
        </w:numPr>
        <w:pStyle w:val="Compact"/>
      </w:pPr>
      <w:r>
        <w:rPr>
          <w:bCs/>
          <w:b/>
        </w:rPr>
        <w:t xml:space="preserve">FCF</w:t>
      </w:r>
      <w:r>
        <w:t xml:space="preserve">: −42 M USD en 2024, 465 M en 2025 y</w:t>
      </w:r>
      <w:r>
        <w:t xml:space="preserve"> </w:t>
      </w:r>
      <w:r>
        <w:rPr>
          <w:bCs/>
          <w:b/>
        </w:rPr>
        <w:t xml:space="preserve">794 M</w:t>
      </w:r>
      <w:r>
        <w:t xml:space="preserve"> </w:t>
      </w:r>
      <w:r>
        <w:t xml:space="preserve">en los últimos 12 meses (16,5 % de los ingresos). Es</w:t>
      </w:r>
      <w:r>
        <w:t xml:space="preserve"> </w:t>
      </w:r>
      <w:r>
        <w:rPr>
          <w:bCs/>
          <w:b/>
        </w:rPr>
        <w:t xml:space="preserve">creciente</w:t>
      </w:r>
      <w:r>
        <w:t xml:space="preserve">.</w:t>
      </w:r>
    </w:p>
    <w:p>
      <w:pPr>
        <w:numPr>
          <w:ilvl w:val="0"/>
          <w:numId w:val="1006"/>
        </w:numPr>
        <w:pStyle w:val="Compact"/>
      </w:pPr>
      <w:r>
        <w:rPr>
          <w:bCs/>
          <w:b/>
        </w:rPr>
        <w:t xml:space="preserve">Regla del 40</w:t>
      </w:r>
      <w:r>
        <w:t xml:space="preserve">: 95,1 + 16,5 =</w:t>
      </w:r>
      <w:r>
        <w:t xml:space="preserve"> </w:t>
      </w:r>
      <w:r>
        <w:rPr>
          <w:bCs/>
          <w:b/>
        </w:rPr>
        <w:t xml:space="preserve">111,6</w:t>
      </w:r>
      <w:r>
        <w:t xml:space="preserve">, inflada por el crecimiento de 12 meses.</w:t>
      </w:r>
    </w:p>
    <w:p>
      <w:pPr>
        <w:numPr>
          <w:ilvl w:val="0"/>
          <w:numId w:val="1006"/>
        </w:numPr>
        <w:pStyle w:val="Compact"/>
      </w:pPr>
      <w:r>
        <w:rPr>
          <w:bCs/>
          <w:b/>
        </w:rPr>
        <w:t xml:space="preserve">EV/EBITDA, solo como contraste</w:t>
      </w:r>
      <w:r>
        <w:t xml:space="preserve">: ~16x el EBITDA ajustado de los próximos 12 meses (estimación propia: ~1.800 M) y ~18x el EBITDA de 2027 según MarketScreener [5].</w:t>
      </w:r>
    </w:p>
    <w:bookmarkEnd w:id="26"/>
    <w:bookmarkStart w:id="27" w:name="caja-deuda-y-dilución"/>
    <w:p>
      <w:pPr>
        <w:pStyle w:val="Heading2"/>
      </w:pPr>
      <w:r>
        <w:t xml:space="preserve">7. Caja, deuda y dilución</w:t>
      </w:r>
    </w:p>
    <w:p>
      <w:pPr>
        <w:numPr>
          <w:ilvl w:val="0"/>
          <w:numId w:val="1007"/>
        </w:numPr>
        <w:pStyle w:val="Compact"/>
      </w:pPr>
      <w:r>
        <w:rPr>
          <w:bCs/>
          <w:b/>
        </w:rPr>
        <w:t xml:space="preserve">Caja e inversiones</w:t>
      </w:r>
      <w:r>
        <w:t xml:space="preserve">: 3.308 M USD (30-jun) [1].</w:t>
      </w:r>
    </w:p>
    <w:p>
      <w:pPr>
        <w:numPr>
          <w:ilvl w:val="0"/>
          <w:numId w:val="1007"/>
        </w:numPr>
        <w:pStyle w:val="Compact"/>
      </w:pPr>
      <w:r>
        <w:rPr>
          <w:bCs/>
          <w:b/>
        </w:rPr>
        <w:t xml:space="preserve">Deuda y similares: 2.731 M</w:t>
      </w:r>
      <w:r>
        <w:t xml:space="preserve">. Son 1.011 M de convertibles (363 M al 1 % con vencimiento en 2027 y 661 M al 0 % en 2028, convertibles a 670 USD) y 1.720 M de pasivos por la venta de regalías de Leqvio y por la financiación de vutrisiran y zilebesiran (Blackstone), que se pagan con intereses [1]. Caja neta: ~577 M.</w:t>
      </w:r>
    </w:p>
    <w:p>
      <w:pPr>
        <w:numPr>
          <w:ilvl w:val="0"/>
          <w:numId w:val="1007"/>
        </w:numPr>
        <w:pStyle w:val="Compact"/>
      </w:pPr>
      <w:r>
        <w:rPr>
          <w:bCs/>
          <w:b/>
        </w:rPr>
        <w:t xml:space="preserve">Pista</w:t>
      </w:r>
      <w:r>
        <w:t xml:space="preserve">: el FCF es positivo, así que no quema caja.</w:t>
      </w:r>
    </w:p>
    <w:p>
      <w:pPr>
        <w:numPr>
          <w:ilvl w:val="0"/>
          <w:numId w:val="1007"/>
        </w:numPr>
        <w:pStyle w:val="Compact"/>
      </w:pPr>
      <w:r>
        <w:rPr>
          <w:bCs/>
          <w:b/>
        </w:rPr>
        <w:t xml:space="preserve">Dilución</w:t>
      </w:r>
      <w:r>
        <w:t xml:space="preserve">:</w:t>
      </w:r>
      <w:r>
        <w:t xml:space="preserve"> </w:t>
      </w:r>
      <w:r>
        <w:rPr>
          <w:bCs/>
          <w:b/>
        </w:rPr>
        <w:t xml:space="preserve">+2,3 %</w:t>
      </w:r>
      <w:r>
        <w:t xml:space="preserve"> </w:t>
      </w:r>
      <w:r>
        <w:t xml:space="preserve">en un año (133,6 M de acciones básicas frente a 130,6 M). Las convertibles están muy por encima del precio.</w:t>
      </w:r>
    </w:p>
    <w:p>
      <w:pPr>
        <w:numPr>
          <w:ilvl w:val="0"/>
          <w:numId w:val="1007"/>
        </w:numPr>
        <w:pStyle w:val="Compact"/>
      </w:pPr>
      <w:r>
        <w:rPr>
          <w:bCs/>
          <w:b/>
        </w:rPr>
        <w:t xml:space="preserve">Pagos en acciones</w:t>
      </w:r>
      <w:r>
        <w:t xml:space="preserve">: 337 M USD en 12 meses, el</w:t>
      </w:r>
      <w:r>
        <w:t xml:space="preserve"> </w:t>
      </w:r>
      <w:r>
        <w:rPr>
          <w:bCs/>
          <w:b/>
        </w:rPr>
        <w:t xml:space="preserve">7,0 %</w:t>
      </w:r>
      <w:r>
        <w:t xml:space="preserve"> </w:t>
      </w:r>
      <w:r>
        <w:t xml:space="preserve">de las ventas, lejos del 15 % de alarma.</w:t>
      </w:r>
    </w:p>
    <w:bookmarkEnd w:id="27"/>
    <w:bookmarkStart w:id="28" w:name="dirección-y-ejecución"/>
    <w:p>
      <w:pPr>
        <w:pStyle w:val="Heading2"/>
      </w:pPr>
      <w:r>
        <w:t xml:space="preserve">8. Dirección y ejecución</w:t>
      </w:r>
    </w:p>
    <w:p>
      <w:pPr>
        <w:numPr>
          <w:ilvl w:val="0"/>
          <w:numId w:val="1008"/>
        </w:numPr>
        <w:pStyle w:val="Compact"/>
      </w:pPr>
      <w:r>
        <w:rPr>
          <w:bCs/>
          <w:b/>
        </w:rPr>
        <w:t xml:space="preserve">Historial (3/5)</w:t>
      </w:r>
      <w:r>
        <w:t xml:space="preserve">: cumplió o superó sus metas a cinco años, y en 2025 batió su guía por más de 50 pp. Pero en 2026 ha tenido que recortarla a mitad de año. El director financiero lo reconoció en la llamada de resultados: «no acertamos con la guía inicial» [6].</w:t>
      </w:r>
    </w:p>
    <w:p>
      <w:pPr>
        <w:numPr>
          <w:ilvl w:val="0"/>
          <w:numId w:val="1008"/>
        </w:numPr>
        <w:pStyle w:val="Compact"/>
      </w:pPr>
      <w:r>
        <w:rPr>
          <w:bCs/>
          <w:b/>
        </w:rPr>
        <w:t xml:space="preserve">Dirección (3/5)</w:t>
      </w:r>
      <w:r>
        <w:t xml:space="preserve">: Yvonne Greenstreet es consejera delegada desde 2021. El equipo es estable y gestiona con disciplina (sin ampliaciones de capital y con FCF positivo). Le restan el error de previsión, que ha abierto investigaciones de bufetes por posible fraude bursátil (sin demanda presentada) [9], y que no haya compras de directivos tras la caída [10].</w:t>
      </w:r>
    </w:p>
    <w:bookmarkEnd w:id="28"/>
    <w:bookmarkStart w:id="29" w:name="valoración"/>
    <w:p>
      <w:pPr>
        <w:pStyle w:val="Heading2"/>
      </w:pPr>
      <w:r>
        <w:t xml:space="preserve">9. Valoración</w:t>
      </w:r>
    </w:p>
    <w:p>
      <w:pPr>
        <w:pStyle w:val="FirstParagraph"/>
      </w:pPr>
      <w:r>
        <w:rPr>
          <w:bCs/>
          <w:b/>
        </w:rPr>
        <w:t xml:space="preserve">Ventana objetivo</w:t>
      </w:r>
      <w:r>
        <w:t xml:space="preserve">: los 12 meses a junio de 2028, dos años después de los últimos 12 meses publicados.</w:t>
      </w:r>
      <w:r>
        <w:t xml:space="preserve"> </w:t>
      </w:r>
      <w:r>
        <w:rPr>
          <w:bCs/>
          <w:b/>
        </w:rPr>
        <w:t xml:space="preserve">Métrica</w:t>
      </w:r>
      <w:r>
        <w:t xml:space="preserve">: EV/ventas NTM (por qué no EV/EBITDA: ver la nota de la cabecera).</w:t>
      </w:r>
    </w:p>
    <w:p>
      <w:pPr>
        <w:numPr>
          <w:ilvl w:val="0"/>
          <w:numId w:val="1009"/>
        </w:numPr>
        <w:pStyle w:val="Compact"/>
      </w:pPr>
      <w:r>
        <w:rPr>
          <w:bCs/>
          <w:b/>
        </w:rPr>
        <w:t xml:space="preserve">EV de hoy</w:t>
      </w:r>
      <w:r>
        <w:t xml:space="preserve">: 223,82 × 136 M de acciones + 2.731 de deuda − 3.308 de caja =</w:t>
      </w:r>
      <w:r>
        <w:t xml:space="preserve"> </w:t>
      </w:r>
      <w:r>
        <w:rPr>
          <w:bCs/>
          <w:b/>
        </w:rPr>
        <w:t xml:space="preserve">29.863 M USD</w:t>
      </w:r>
      <w:r>
        <w:t xml:space="preserve">.</w:t>
      </w:r>
    </w:p>
    <w:p>
      <w:pPr>
        <w:numPr>
          <w:ilvl w:val="0"/>
          <w:numId w:val="1009"/>
        </w:numPr>
        <w:pStyle w:val="Compact"/>
      </w:pPr>
      <w:r>
        <w:rPr>
          <w:bCs/>
          <w:b/>
        </w:rPr>
        <w:t xml:space="preserve">Ventas NTM</w:t>
      </w:r>
      <w:r>
        <w:t xml:space="preserve">: ~6.285 M (+31 %; estimación propia con el consenso del 2S 2026 y del 1S 2027).</w:t>
      </w:r>
      <w:r>
        <w:t xml:space="preserve"> </w:t>
      </w:r>
      <w:r>
        <w:rPr>
          <w:bCs/>
          <w:b/>
        </w:rPr>
        <w:t xml:space="preserve">EV/ventas NTM: 4,75x</w:t>
      </w:r>
      <w:r>
        <w:t xml:space="preserve">.</w:t>
      </w:r>
      <w:r>
        <w:t xml:space="preserve"> </w:t>
      </w:r>
      <w:r>
        <w:rPr>
          <w:bCs/>
          <w:b/>
        </w:rPr>
        <w:t xml:space="preserve">EV/beneficio bruto: 5,9x</w:t>
      </w:r>
      <w:r>
        <w:t xml:space="preserve">, muy por debajo del tope de 35.</w:t>
      </w:r>
    </w:p>
    <w:p>
      <w:pPr>
        <w:numPr>
          <w:ilvl w:val="0"/>
          <w:numId w:val="1009"/>
        </w:numPr>
        <w:pStyle w:val="Compact"/>
      </w:pPr>
      <w:r>
        <w:rPr>
          <w:bCs/>
          <w:b/>
        </w:rPr>
        <w:t xml:space="preserve">Su historia</w:t>
      </w:r>
      <w:r>
        <w:t xml:space="preserve"> </w:t>
      </w:r>
      <w:r>
        <w:t xml:space="preserve">(estimación propia con precios, balance y las ventas del año siguiente): ~10-11x a finales de 2023 y a mediados de 2024, ~8x a finales de 2024 y ~12x en octubre de 2025.</w:t>
      </w:r>
      <w:r>
        <w:t xml:space="preserve"> </w:t>
      </w:r>
      <w:r>
        <w:rPr>
          <w:bCs/>
          <w:b/>
        </w:rPr>
        <w:t xml:space="preserve">Mediana: ~10x. Mínimo: ~4,4x</w:t>
      </w:r>
      <w:r>
        <w:t xml:space="preserve"> </w:t>
      </w:r>
      <w:r>
        <w:t xml:space="preserve">(30-jul-2026).</w:t>
      </w:r>
    </w:p>
    <w:p>
      <w:pPr>
        <w:numPr>
          <w:ilvl w:val="0"/>
          <w:numId w:val="1009"/>
        </w:numPr>
        <w:pStyle w:val="Compact"/>
      </w:pPr>
      <w:r>
        <w:rPr>
          <w:bCs/>
          <w:b/>
        </w:rPr>
        <w:t xml:space="preserve">Comparables</w:t>
      </w:r>
      <w:r>
        <w:t xml:space="preserve">: ~8,6x de mediana (argenx 6,9x, Vertex 8,6x e Insmed 9,4x, de sus informes del mismo día).</w:t>
      </w:r>
    </w:p>
    <w:p>
      <w:pPr>
        <w:numPr>
          <w:ilvl w:val="0"/>
          <w:numId w:val="1009"/>
        </w:numPr>
        <w:pStyle w:val="Compact"/>
      </w:pPr>
      <w:r>
        <w:rPr>
          <w:bCs/>
          <w:b/>
        </w:rPr>
        <w:t xml:space="preserve">Desaceleración</w:t>
      </w:r>
      <w:r>
        <w:t xml:space="preserve">: del 31 % de los próximos 12 meses al ~20 % del año objetivo. El múltiplo base se rebaja un 20 %.</w:t>
      </w:r>
    </w:p>
    <w:p>
      <w:pPr>
        <w:numPr>
          <w:ilvl w:val="0"/>
          <w:numId w:val="1009"/>
        </w:numPr>
        <w:pStyle w:val="Compact"/>
      </w:pPr>
      <w:r>
        <w:rPr>
          <w:bCs/>
          <w:b/>
        </w:rPr>
        <w:t xml:space="preserve">Probabilidades 35/50/15</w:t>
      </w:r>
      <w:r>
        <w:t xml:space="preserve">: depende de un solo producto (Amvuttra es el 78 % de los ingresos), como manda el método (§2.5).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(35 %)</w:t>
            </w:r>
          </w:p>
        </w:tc>
        <w:tc>
          <w:tcPr/>
          <w:p>
            <w:pPr>
              <w:pStyle w:val="Compact"/>
              <w:jc w:val="left"/>
            </w:pPr>
            <w:r>
              <w:t xml:space="preserve">6.300 (crece ~14 % al año; la primera línea no compensa)</w:t>
            </w:r>
          </w:p>
        </w:tc>
        <w:tc>
          <w:tcPr/>
          <w:p>
            <w:pPr>
              <w:pStyle w:val="Compact"/>
              <w:jc w:val="left"/>
            </w:pPr>
            <w:r>
              <w:t xml:space="preserve">2,3x</w:t>
            </w:r>
          </w:p>
        </w:tc>
        <w:tc>
          <w:tcPr/>
          <w:p>
            <w:pPr>
              <w:pStyle w:val="Compact"/>
              <w:jc w:val="left"/>
            </w:pPr>
            <w:r>
              <w:t xml:space="preserve">107,8</w:t>
            </w:r>
          </w:p>
        </w:tc>
        <w:tc>
          <w:tcPr/>
          <w:p>
            <w:pPr>
              <w:pStyle w:val="Compact"/>
              <w:jc w:val="left"/>
            </w:pPr>
            <w:r>
              <w:t xml:space="preserve">−51,8 %</w:t>
            </w:r>
          </w:p>
        </w:tc>
      </w:tr>
      <w:tr>
        <w:tc>
          <w:tcPr/>
          <w:p>
            <w:pPr>
              <w:pStyle w:val="Compact"/>
              <w:jc w:val="left"/>
            </w:pPr>
            <w:r>
              <w:t xml:space="preserve">Base (50 %)</w:t>
            </w:r>
          </w:p>
        </w:tc>
        <w:tc>
          <w:tcPr/>
          <w:p>
            <w:pPr>
              <w:pStyle w:val="Compact"/>
              <w:jc w:val="left"/>
            </w:pPr>
            <w:r>
              <w:t xml:space="preserve">7.600 (en línea con el consenso)</w:t>
            </w:r>
          </w:p>
        </w:tc>
        <w:tc>
          <w:tcPr/>
          <w:p>
            <w:pPr>
              <w:pStyle w:val="Compact"/>
              <w:jc w:val="left"/>
            </w:pPr>
            <w:r>
              <w:t xml:space="preserve">3,8x</w:t>
            </w:r>
          </w:p>
        </w:tc>
        <w:tc>
          <w:tcPr/>
          <w:p>
            <w:pPr>
              <w:pStyle w:val="Compact"/>
              <w:jc w:val="left"/>
            </w:pPr>
            <w:r>
              <w:t xml:space="preserve">212,6</w:t>
            </w:r>
          </w:p>
        </w:tc>
        <w:tc>
          <w:tcPr/>
          <w:p>
            <w:pPr>
              <w:pStyle w:val="Compact"/>
              <w:jc w:val="left"/>
            </w:pPr>
            <w:r>
              <w:t xml:space="preserve">−5,0 %</w:t>
            </w:r>
          </w:p>
        </w:tc>
      </w:tr>
      <w:tr>
        <w:tc>
          <w:tcPr/>
          <w:p>
            <w:pPr>
              <w:pStyle w:val="Compact"/>
              <w:jc w:val="left"/>
            </w:pPr>
            <w:r>
              <w:t xml:space="preserve">Alcista (15 %)</w:t>
            </w:r>
          </w:p>
        </w:tc>
        <w:tc>
          <w:tcPr/>
          <w:p>
            <w:pPr>
              <w:pStyle w:val="Compact"/>
              <w:jc w:val="left"/>
            </w:pPr>
            <w:r>
              <w:t xml:space="preserve">8.600 (vuelve a batir la guía; ritmo de la meta 2030)</w:t>
            </w:r>
          </w:p>
        </w:tc>
        <w:tc>
          <w:tcPr/>
          <w:p>
            <w:pPr>
              <w:pStyle w:val="Compact"/>
              <w:jc w:val="left"/>
            </w:pPr>
            <w:r>
              <w:t xml:space="preserve">6,1x</w:t>
            </w:r>
          </w:p>
        </w:tc>
        <w:tc>
          <w:tcPr/>
          <w:p>
            <w:pPr>
              <w:pStyle w:val="Compact"/>
              <w:jc w:val="left"/>
            </w:pPr>
            <w:r>
              <w:t xml:space="preserve">381,5</w:t>
            </w:r>
          </w:p>
        </w:tc>
        <w:tc>
          <w:tcPr/>
          <w:p>
            <w:pPr>
              <w:pStyle w:val="Compact"/>
              <w:jc w:val="left"/>
            </w:pPr>
            <w:r>
              <w:t xml:space="preserve">+70,4 %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201,3</w:t>
            </w:r>
          </w:p>
        </w:tc>
        <w:tc>
          <w:tcPr/>
          <w:p>
            <w:pPr>
              <w:pStyle w:val="Compact"/>
              <w:jc w:val="left"/>
            </w:pPr>
            <w:r>
              <w:rPr>
                <w:bCs/>
                <w:b/>
              </w:rPr>
              <w:t xml:space="preserve">−10,1 %</w:t>
            </w:r>
          </w:p>
        </w:tc>
      </w:tr>
    </w:tbl>
    <w:p>
      <w:pPr>
        <w:numPr>
          <w:ilvl w:val="0"/>
          <w:numId w:val="1010"/>
        </w:numPr>
        <w:pStyle w:val="Compact"/>
      </w:pPr>
      <w:r>
        <w:rPr>
          <w:bCs/>
          <w:b/>
        </w:rPr>
        <w:t xml:space="preserve">Ventas</w:t>
      </w:r>
      <w:r>
        <w:t xml:space="preserve">: la regla mecánica proyectaba 11.606 M en el base, un 52 % por encima del consenso, porque arrastra el +95 % del último año y el exceso sobre la guía de 2025. v11 toma la menor: las del informe. El</w:t>
      </w:r>
      <w:r>
        <w:t xml:space="preserve"> </w:t>
      </w:r>
      <w:r>
        <w:rPr>
          <w:bCs/>
          <w:b/>
        </w:rPr>
        <w:t xml:space="preserve">consenso</w:t>
      </w:r>
      <w:r>
        <w:t xml:space="preserve"> </w:t>
      </w:r>
      <w:r>
        <w:t xml:space="preserve">para esta ventana es de ~7.630 M (media de 2027, 6.939 M, y de 2028, 8.312 M, según MarketScreener [5]). El base del informe, 7.600 M, está pegado a él.</w:t>
      </w:r>
    </w:p>
    <w:p>
      <w:pPr>
        <w:numPr>
          <w:ilvl w:val="0"/>
          <w:numId w:val="1010"/>
        </w:numPr>
        <w:pStyle w:val="Compact"/>
      </w:pPr>
      <w:r>
        <w:rPr>
          <w:bCs/>
          <w:b/>
        </w:rPr>
        <w:t xml:space="preserve">Asimetría</w:t>
      </w:r>
      <w:r>
        <w:t xml:space="preserve">: 1,4.</w:t>
      </w:r>
      <w:r>
        <w:t xml:space="preserve"> </w:t>
      </w:r>
      <w:r>
        <w:rPr>
          <w:bCs/>
          <w:b/>
        </w:rPr>
        <w:t xml:space="preserve">Compra hasta: 191,7 USD</w:t>
      </w:r>
      <w:r>
        <w:t xml:space="preserve">, el precio al que el bajista queda en el −50 %.</w:t>
      </w:r>
    </w:p>
    <w:p>
      <w:pPr>
        <w:numPr>
          <w:ilvl w:val="0"/>
          <w:numId w:val="1010"/>
        </w:numPr>
        <w:pStyle w:val="Compact"/>
      </w:pPr>
      <w:r>
        <w:rPr>
          <w:bCs/>
          <w:b/>
        </w:rPr>
        <w:t xml:space="preserve">Consenso de precio objetivo</w:t>
      </w:r>
      <w:r>
        <w:t xml:space="preserve">: 370,55 USD (29 analistas; 22 en Comprar y 7 en Mantener) [5]. Los analistas esperan que el múltiplo vuelva hacia su historia. El método, por diseño, no lo supone.</w:t>
      </w:r>
    </w:p>
    <w:p>
      <w:pPr>
        <w:numPr>
          <w:ilvl w:val="0"/>
          <w:numId w:val="1010"/>
        </w:numPr>
        <w:pStyle w:val="Compact"/>
      </w:pPr>
      <w:r>
        <w:rPr>
          <w:bCs/>
          <w:b/>
        </w:rPr>
        <w:t xml:space="preserve">DCF inverso</w:t>
      </w:r>
      <w:r>
        <w:t xml:space="preserve">: con un WACC del 9 %, un margen de FCF que sube del 16,5 % al 30 % y un crecimiento terminal del 3 %, el precio descuenta un crecimiento de</w:t>
      </w:r>
      <w:r>
        <w:t xml:space="preserve"> </w:t>
      </w:r>
      <w:r>
        <w:rPr>
          <w:bCs/>
          <w:b/>
        </w:rPr>
        <w:t xml:space="preserve">~6 % anual durante 10 años</w:t>
      </w:r>
      <w:r>
        <w:t xml:space="preserve">. Es poco para una empresa que guía un +25 % anual hasta 2030. Es el mejor argumento a favor, pero solo vale si se cree la guía, y la última falló.</w:t>
      </w:r>
    </w:p>
    <w:bookmarkEnd w:id="29"/>
    <w:bookmarkStart w:id="30" w:name="foros-y-sentimiento"/>
    <w:p>
      <w:pPr>
        <w:pStyle w:val="Heading2"/>
      </w:pPr>
      <w:r>
        <w:t xml:space="preserve">10. Foros y sentimiento</w:t>
      </w:r>
    </w:p>
    <w:p>
      <w:pPr>
        <w:numPr>
          <w:ilvl w:val="0"/>
          <w:numId w:val="1011"/>
        </w:numPr>
        <w:pStyle w:val="Compact"/>
      </w:pPr>
      <w:r>
        <w:rPr>
          <w:bCs/>
          <w:b/>
        </w:rPr>
        <w:t xml:space="preserve">Prensa y analistas</w:t>
      </w:r>
      <w:r>
        <w:t xml:space="preserve">: el tono es negativo desde el 30-jul. Fierce Pharma titula que Amvuttra decepciona; Trefis se pregunta si es «una oportunidad o una trampa». Jefferies cree que el fracaso de eplontersen tiene una lectura «neutral a negativa» para Alnylam, porque el mercado teme que el ensayo de nucresiran, que permite combinarlo con estabilizadores, salga igual de mal [6][11]. Hay voces a contracorriente («la caída parece exagerada», Webull/Motley Fool), y la mayoría de los analistas sigue en Comprar.</w:t>
      </w:r>
    </w:p>
    <w:p>
      <w:pPr>
        <w:numPr>
          <w:ilvl w:val="0"/>
          <w:numId w:val="1011"/>
        </w:numPr>
        <w:pStyle w:val="Compact"/>
      </w:pPr>
      <w:r>
        <w:rPr>
          <w:bCs/>
          <w:b/>
        </w:rPr>
        <w:t xml:space="preserve">Simply Wall St (9-oct)</w:t>
      </w:r>
      <w:r>
        <w:t xml:space="preserve">: «parece cara pese a caer un 51 %» por el PER de ~39x sobre beneficio GAAP. Su narrativa comunitaria más seguida la ve un 40 % infravalorada [8].</w:t>
      </w:r>
    </w:p>
    <w:p>
      <w:pPr>
        <w:numPr>
          <w:ilvl w:val="0"/>
          <w:numId w:val="1011"/>
        </w:numPr>
        <w:pStyle w:val="Compact"/>
      </w:pPr>
      <w:r>
        <w:rPr>
          <w:bCs/>
          <w:b/>
        </w:rPr>
        <w:t xml:space="preserve">StockTwits</w:t>
      </w:r>
      <w:r>
        <w:t xml:space="preserve">: tras los datos completos de eplontersen (28-ago), la acción cerró plana después de caer un 5 % durante la sesión [11].</w:t>
      </w:r>
    </w:p>
    <w:p>
      <w:pPr>
        <w:numPr>
          <w:ilvl w:val="0"/>
          <w:numId w:val="1011"/>
        </w:numPr>
        <w:pStyle w:val="Compact"/>
      </w:pPr>
      <w:r>
        <w:rPr>
          <w:bCs/>
          <w:b/>
        </w:rPr>
        <w:t xml:space="preserve">Reddit (r/stocks, r/investing, r/biotech)</w:t>
      </w:r>
      <w:r>
        <w:t xml:space="preserve">: las búsquedas no devolvieron hilos recientes.</w:t>
      </w:r>
      <w:r>
        <w:t xml:space="preserve"> </w:t>
      </w:r>
      <w:r>
        <w:rPr>
          <w:bCs/>
          <w:b/>
        </w:rPr>
        <w:t xml:space="preserve">Laguna.</w:t>
      </w:r>
    </w:p>
    <w:p>
      <w:pPr>
        <w:numPr>
          <w:ilvl w:val="0"/>
          <w:numId w:val="1011"/>
        </w:numPr>
        <w:pStyle w:val="Compact"/>
      </w:pPr>
      <w:r>
        <w:rPr>
          <w:bCs/>
          <w:b/>
        </w:rPr>
        <w:t xml:space="preserve">En castellano</w:t>
      </w:r>
      <w:r>
        <w:t xml:space="preserve"> </w:t>
      </w:r>
      <w:r>
        <w:t xml:space="preserve">(Rankia, Investing ES): no aparecieron hilos.</w:t>
      </w:r>
      <w:r>
        <w:t xml:space="preserve"> </w:t>
      </w:r>
      <w:r>
        <w:rPr>
          <w:bCs/>
          <w:b/>
        </w:rPr>
        <w:t xml:space="preserve">Laguna.</w:t>
      </w:r>
    </w:p>
    <w:p>
      <w:pPr>
        <w:numPr>
          <w:ilvl w:val="0"/>
          <w:numId w:val="1011"/>
        </w:numPr>
        <w:pStyle w:val="Compact"/>
      </w:pPr>
      <w:r>
        <w:rPr>
          <w:bCs/>
          <w:b/>
        </w:rPr>
        <w:t xml:space="preserve">Contraste con los datos</w:t>
      </w:r>
      <w:r>
        <w:t xml:space="preserve">: el sentimiento ha caído más que el negocio. Las ventas de producto crecen un 74 % y el beneficio sube, pero el mercado ha dejado de creer en la curva de lanzamiento. Para que esto se convierta en un giro hace falta un trimestre que vuelva a sorprender al alza.</w:t>
      </w:r>
    </w:p>
    <w:bookmarkEnd w:id="30"/>
    <w:bookmarkStart w:id="31"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w:t>
      </w:r>
      <w:r>
        <w:t xml:space="preserve"> </w:t>
      </w:r>
      <w:r>
        <w:t xml:space="preserve">1.</w:t>
      </w:r>
      <w:r>
        <w:t xml:space="preserve"> </w:t>
      </w:r>
      <w:r>
        <w:rPr>
          <w:iCs/>
          <w:i/>
        </w:rPr>
        <w:t xml:space="preserve">Proyección mecánica (11.606 M) &gt; 1,2 veces la del informe (7.600 M); v11 usa la del informe.</w:t>
      </w:r>
      <w:r>
        <w:t xml:space="preserve"> </w:t>
      </w:r>
      <w:r>
        <w:t xml:space="preserve">Es la alerta que explica toda la diferencia con v9, que daba Comprar con +32 %.</w:t>
      </w:r>
      <w:r>
        <w:t xml:space="preserve"> </w:t>
      </w:r>
      <w:r>
        <w:rPr>
          <w:bCs/>
          <w:b/>
        </w:rPr>
        <w:t xml:space="preserve">No debilita la señal: la explica.</w:t>
      </w:r>
      <w:r>
        <w:t xml:space="preserve"> </w:t>
      </w:r>
      <w:r>
        <w:t xml:space="preserve">Proyectar el +95 % del último año en una empresa que acaba de recortar su guía sería optimismo sin base, y el consenso, con 7.630 M, coincide con el informe.</w:t>
      </w:r>
      <w:r>
        <w:t xml:space="preserve"> </w:t>
      </w:r>
      <w:r>
        <w:t xml:space="preserve">2.</w:t>
      </w:r>
      <w:r>
        <w:t xml:space="preserve"> </w:t>
      </w:r>
      <w:r>
        <w:rPr>
          <w:iCs/>
          <w:i/>
        </w:rPr>
        <w:t xml:space="preserve">Exceso sobre la guía de 50,4 pp (&gt; 10): el recorte por la guía casi no actúa.</w:t>
      </w:r>
      <w:r>
        <w:t xml:space="preserve"> </w:t>
      </w:r>
      <w:r>
        <w:t xml:space="preserve">Viene de 2025, cuando la empresa guió +31 % y creció +81 %. En 2026 ha pasado lo contrario.</w:t>
      </w:r>
      <w:r>
        <w:t xml:space="preserve"> </w:t>
      </w:r>
      <w:r>
        <w:rPr>
          <w:bCs/>
          <w:b/>
        </w:rPr>
        <w:t xml:space="preserve">No debilita la señal</w:t>
      </w:r>
      <w:r>
        <w:t xml:space="preserve">, porque el tope de v11 ya recorta. Sí muestra un fallo del método (ver la mejora propuesta en la sección 14).</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FRÁGIL</w:t>
      </w:r>
      <w:r>
        <w:t xml:space="preserve">. La señal robusta es Vender, pero cambia en dos variantes:</w:t>
      </w:r>
      <w:r>
        <w:t xml:space="preserve"> </w:t>
      </w:r>
      <w:r>
        <w:t xml:space="preserve">-</w:t>
      </w:r>
      <w:r>
        <w:t xml:space="preserve"> </w:t>
      </w:r>
      <w:r>
        <w:rPr>
          <w:bCs/>
          <w:b/>
        </w:rPr>
        <w:t xml:space="preserve">Con pesos 25/50/25 sería Mantener</w:t>
      </w:r>
      <w:r>
        <w:t xml:space="preserve"> </w:t>
      </w:r>
      <w:r>
        <w:t xml:space="preserve">(+2,1 %). La ponderada vigente, −10,1 %, está justo en el listón de venta. La diferencia entre Vender y Mantener es, por tanto, cuestión de cómo se pese la dependencia de Amvuttra.</w:t>
      </w:r>
      <w:r>
        <w:t xml:space="preserve"> </w:t>
      </w:r>
      <w:r>
        <w:rPr>
          <w:bCs/>
          <w:b/>
        </w:rPr>
        <w:t xml:space="preserve">En la práctica da igual</w:t>
      </w:r>
      <w:r>
        <w:t xml:space="preserve">: ninguna de las dos es Comprar, y no se tiene la acción.</w:t>
      </w:r>
      <w:r>
        <w:t xml:space="preserve"> </w:t>
      </w:r>
      <w:r>
        <w:t xml:space="preserve">-</w:t>
      </w:r>
      <w:r>
        <w:t xml:space="preserve"> </w:t>
      </w:r>
      <w:r>
        <w:rPr>
          <w:bCs/>
          <w:b/>
        </w:rPr>
        <w:t xml:space="preserve">Con v7</w:t>
      </w:r>
      <w:r>
        <w:t xml:space="preserve"> </w:t>
      </w:r>
      <w:r>
        <w:t xml:space="preserve">(sin el tope de ventas) sería Comprar (+32 %), por la proyección inflada de la alerta 1. No se toma en cuenta.</w:t>
      </w:r>
      <w:r>
        <w:t xml:space="preserve"> </w:t>
      </w:r>
      <w:r>
        <w:t xml:space="preserve">-</w:t>
      </w:r>
      <w:r>
        <w:t xml:space="preserve"> </w:t>
      </w:r>
      <w:r>
        <w:rPr>
          <w:bCs/>
          <w:b/>
        </w:rPr>
        <w:t xml:space="preserve">Avisos del motor</w:t>
      </w:r>
      <w:r>
        <w:t xml:space="preserve">: el objetivo se mueve con el precio (al revisarlo se deja fijo), y el bajista de −52 % pide, si algún día compra, una posición pequeña y en tramos.</w:t>
      </w:r>
    </w:p>
    <w:p>
      <w:pPr>
        <w:pStyle w:val="BodyText"/>
      </w:pPr>
      <w:r>
        <w:rPr>
          <w:bCs/>
          <w:b/>
        </w:rPr>
        <w:t xml:space="preserve">Riesgos del negocio</w:t>
      </w:r>
      <w:r>
        <w:t xml:space="preserve">:</w:t>
      </w:r>
      <w:r>
        <w:t xml:space="preserve"> </w:t>
      </w:r>
      <w:r>
        <w:t xml:space="preserve">1.</w:t>
      </w:r>
      <w:r>
        <w:t xml:space="preserve"> </w:t>
      </w:r>
      <w:r>
        <w:rPr>
          <w:bCs/>
          <w:b/>
        </w:rPr>
        <w:t xml:space="preserve">Un solo producto</w:t>
      </w:r>
      <w:r>
        <w:t xml:space="preserve">: Amvuttra es el 78 % de los ingresos. Si la primera línea no despega, el crecimiento cae al 15-20 % antes de lo previsto.</w:t>
      </w:r>
      <w:r>
        <w:t xml:space="preserve"> </w:t>
      </w:r>
      <w:r>
        <w:t xml:space="preserve">2.</w:t>
      </w:r>
      <w:r>
        <w:t xml:space="preserve"> </w:t>
      </w:r>
      <w:r>
        <w:rPr>
          <w:bCs/>
          <w:b/>
        </w:rPr>
        <w:t xml:space="preserve">Competencia</w:t>
      </w:r>
      <w:r>
        <w:t xml:space="preserve">: tafamidis es oral, conocido y se cubre bien; Attruby crece deprisa. A partir de 2031 llegarán los genéricos de tafamidis.</w:t>
      </w:r>
      <w:r>
        <w:t xml:space="preserve"> </w:t>
      </w:r>
      <w:r>
        <w:t xml:space="preserve">3.</w:t>
      </w:r>
      <w:r>
        <w:t xml:space="preserve"> </w:t>
      </w:r>
      <w:r>
        <w:rPr>
          <w:bCs/>
          <w:b/>
        </w:rPr>
        <w:t xml:space="preserve">Nucresiran</w:t>
      </w:r>
      <w:r>
        <w:t xml:space="preserve">: el ensayo TRITON-CM permite combinarlo con estabilizadores, el mismo diseño que hizo fracasar a eplontersen. Si saliera mal, la franquicia perdería su relevo sin regalías.</w:t>
      </w:r>
      <w:r>
        <w:t xml:space="preserve"> </w:t>
      </w:r>
      <w:r>
        <w:t xml:space="preserve">4.</w:t>
      </w:r>
      <w:r>
        <w:t xml:space="preserve"> </w:t>
      </w:r>
      <w:r>
        <w:rPr>
          <w:bCs/>
          <w:b/>
        </w:rPr>
        <w:t xml:space="preserve">Margen</w:t>
      </w:r>
      <w:r>
        <w:t xml:space="preserve">: las regalías a Sanofi suben hasta el 30 % de las ventas de Amvuttra.</w:t>
      </w:r>
      <w:r>
        <w:t xml:space="preserve"> </w:t>
      </w:r>
      <w:r>
        <w:t xml:space="preserve">5.</w:t>
      </w:r>
      <w:r>
        <w:t xml:space="preserve"> </w:t>
      </w:r>
      <w:r>
        <w:rPr>
          <w:bCs/>
          <w:b/>
        </w:rPr>
        <w:t xml:space="preserve">Precio de los medicamentos en EE. UU.</w:t>
      </w:r>
      <w:r>
        <w:t xml:space="preserve">: negociación de Medicare, «nación más favorecida» y aranceles.</w:t>
      </w:r>
      <w:r>
        <w:t xml:space="preserve"> </w:t>
      </w:r>
      <w:r>
        <w:t xml:space="preserve">6.</w:t>
      </w:r>
      <w:r>
        <w:t xml:space="preserve"> </w:t>
      </w:r>
      <w:r>
        <w:rPr>
          <w:bCs/>
          <w:b/>
        </w:rPr>
        <w:t xml:space="preserve">Legal</w:t>
      </w:r>
      <w:r>
        <w:t xml:space="preserve">: investigaciones de bufetes tras el recorte de guía; por ahora, sin demanda.</w:t>
      </w:r>
    </w:p>
    <w:p>
      <w:pPr>
        <w:pStyle w:val="BodyText"/>
      </w:pPr>
      <w:r>
        <w:rPr>
          <w:bCs/>
          <w:b/>
        </w:rPr>
        <w:t xml:space="preserve">Señales de venta concretas</w:t>
      </w:r>
      <w:r>
        <w:t xml:space="preserve"> </w:t>
      </w:r>
      <w:r>
        <w:t xml:space="preserve">(si se tuviera): dos trimestres seguidos con las ventas de Amvuttra en EE. UU. planas frente al trimestre anterior; un segundo recorte de guía; fracaso de nucresiran. Hoy no hay tesis rota: el negocio crece, lo que ha cambiado es la previsión.</w:t>
      </w:r>
    </w:p>
    <w:p>
      <w:pPr>
        <w:pStyle w:val="BodyText"/>
      </w:pPr>
      <w:r>
        <w:rPr>
          <w:bCs/>
          <w:b/>
        </w:rPr>
        <w:t xml:space="preserve">Riesgo de IA: bajo.</w:t>
      </w:r>
      <w:r>
        <w:t xml:space="preserve"> </w:t>
      </w:r>
      <w:r>
        <w:t xml:space="preserve">Alnylam vende fármacos protegidos por patentes, aprobados con ensayos de años, y la IA no los sustituye. La propia empresa usa la IA a su favor: con Inceptive para diseñar ARN y en el diagnóstico de la ATTR-CM, que puede ampliar su mercado. El único riesgo es indirecto y lejano: que la IA acelere el descubrimiento de los rivales en ARN de interferencia.</w:t>
      </w:r>
    </w:p>
    <w:bookmarkEnd w:id="31"/>
    <w:bookmarkStart w:id="32"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23 y 26-oct-2026</w:t>
            </w:r>
          </w:p>
        </w:tc>
        <w:tc>
          <w:tcPr/>
          <w:p>
            <w:pPr>
              <w:pStyle w:val="Compact"/>
              <w:jc w:val="left"/>
            </w:pPr>
            <w:r>
              <w:t xml:space="preserve">Datos de fase 1 de ALN-HTT02 (huntington) en el EHDN y mesa redonda</w:t>
            </w:r>
          </w:p>
        </w:tc>
        <w:tc>
          <w:tcPr/>
          <w:p>
            <w:pPr>
              <w:pStyle w:val="Compact"/>
              <w:jc w:val="left"/>
            </w:pPr>
            <w:r>
              <w:t xml:space="preserve">+/−</w:t>
            </w:r>
          </w:p>
        </w:tc>
      </w:tr>
      <w:tr>
        <w:tc>
          <w:tcPr/>
          <w:p>
            <w:pPr>
              <w:pStyle w:val="Compact"/>
              <w:jc w:val="left"/>
            </w:pPr>
            <w:r>
              <w:t xml:space="preserve">finales de oct-2026</w:t>
            </w:r>
          </w:p>
        </w:tc>
        <w:tc>
          <w:tcPr/>
          <w:p>
            <w:pPr>
              <w:pStyle w:val="Compact"/>
              <w:jc w:val="left"/>
            </w:pPr>
            <w:r>
              <w:t xml:space="preserve">Resultados del 3T 2026: crecimiento de Amvuttra en EE. UU. frente al 2T</w:t>
            </w:r>
          </w:p>
        </w:tc>
        <w:tc>
          <w:tcPr/>
          <w:p>
            <w:pPr>
              <w:pStyle w:val="Compact"/>
              <w:jc w:val="left"/>
            </w:pPr>
            <w:r>
              <w:t xml:space="preserve">+/− (clave)</w:t>
            </w:r>
          </w:p>
        </w:tc>
      </w:tr>
      <w:tr>
        <w:tc>
          <w:tcPr/>
          <w:p>
            <w:pPr>
              <w:pStyle w:val="Compact"/>
              <w:jc w:val="left"/>
            </w:pPr>
            <w:r>
              <w:t xml:space="preserve">nov-2026</w:t>
            </w:r>
          </w:p>
        </w:tc>
        <w:tc>
          <w:tcPr/>
          <w:p>
            <w:pPr>
              <w:pStyle w:val="Compact"/>
              <w:jc w:val="left"/>
            </w:pPr>
            <w:r>
              <w:t xml:space="preserve">Decisión de la FDA sobre cemdisiran (Regeneron) en miastenia</w:t>
            </w:r>
          </w:p>
        </w:tc>
        <w:tc>
          <w:tcPr/>
          <w:p>
            <w:pPr>
              <w:pStyle w:val="Compact"/>
              <w:jc w:val="left"/>
            </w:pPr>
            <w:r>
              <w:t xml:space="preserve">+ (pequeño)</w:t>
            </w:r>
          </w:p>
        </w:tc>
      </w:tr>
      <w:tr>
        <w:tc>
          <w:tcPr/>
          <w:p>
            <w:pPr>
              <w:pStyle w:val="Compact"/>
              <w:jc w:val="left"/>
            </w:pPr>
            <w:r>
              <w:t xml:space="preserve">2S 2026</w:t>
            </w:r>
          </w:p>
        </w:tc>
        <w:tc>
          <w:tcPr/>
          <w:p>
            <w:pPr>
              <w:pStyle w:val="Compact"/>
              <w:jc w:val="left"/>
            </w:pPr>
            <w:r>
              <w:t xml:space="preserve">Datos de ALN-6400 (HHT) y ALN-2232 (obesidad)</w:t>
            </w:r>
          </w:p>
        </w:tc>
        <w:tc>
          <w:tcPr/>
          <w:p>
            <w:pPr>
              <w:pStyle w:val="Compact"/>
              <w:jc w:val="left"/>
            </w:pPr>
            <w:r>
              <w:t xml:space="preserve">+/−</w:t>
            </w:r>
          </w:p>
        </w:tc>
      </w:tr>
      <w:tr>
        <w:tc>
          <w:tcPr/>
          <w:p>
            <w:pPr>
              <w:pStyle w:val="Compact"/>
              <w:jc w:val="left"/>
            </w:pPr>
            <w:r>
              <w:t xml:space="preserve">ene-2027</w:t>
            </w:r>
          </w:p>
        </w:tc>
        <w:tc>
          <w:tcPr/>
          <w:p>
            <w:pPr>
              <w:pStyle w:val="Compact"/>
              <w:jc w:val="left"/>
            </w:pPr>
            <w:r>
              <w:t xml:space="preserve">Guía de 2027 (el consenso espera unos 6.900 M de ingresos)</w:t>
            </w:r>
          </w:p>
        </w:tc>
        <w:tc>
          <w:tcPr/>
          <w:p>
            <w:pPr>
              <w:pStyle w:val="Compact"/>
              <w:jc w:val="left"/>
            </w:pPr>
            <w:r>
              <w:t xml:space="preserve">+/− (clave)</w:t>
            </w:r>
          </w:p>
        </w:tc>
      </w:tr>
      <w:tr>
        <w:tc>
          <w:tcPr/>
          <w:p>
            <w:pPr>
              <w:pStyle w:val="Compact"/>
              <w:jc w:val="left"/>
            </w:pPr>
            <w:r>
              <w:t xml:space="preserve">2028-2030</w:t>
            </w:r>
          </w:p>
        </w:tc>
        <w:tc>
          <w:tcPr/>
          <w:p>
            <w:pPr>
              <w:pStyle w:val="Compact"/>
              <w:jc w:val="left"/>
            </w:pPr>
            <w:r>
              <w:t xml:space="preserve">Nucresiran: lanzamiento en polineuropatía en 2028 y en cardiomiopatía en 2030</w:t>
            </w:r>
          </w:p>
        </w:tc>
        <w:tc>
          <w:tcPr/>
          <w:p>
            <w:pPr>
              <w:pStyle w:val="Compact"/>
              <w:jc w:val="left"/>
            </w:pPr>
            <w:r>
              <w:t xml:space="preserve">+/−</w:t>
            </w:r>
          </w:p>
        </w:tc>
      </w:tr>
    </w:tbl>
    <w:bookmarkEnd w:id="32"/>
    <w:bookmarkStart w:id="33" w:name="encaje-en-cartera"/>
    <w:p>
      <w:pPr>
        <w:pStyle w:val="Heading2"/>
      </w:pPr>
      <w:r>
        <w:t xml:space="preserve">13. Encaje en cartera</w:t>
      </w:r>
    </w:p>
    <w:p>
      <w:pPr>
        <w:pStyle w:val="FirstParagraph"/>
      </w:pPr>
      <w:r>
        <w:t xml:space="preserve">Según</w:t>
      </w:r>
      <w:r>
        <w:t xml:space="preserve"> </w:t>
      </w:r>
      <w:r>
        <w:rPr>
          <w:rStyle w:val="VerbatimChar"/>
        </w:rPr>
        <w:t xml:space="preserve">MEMORIA.md</w:t>
      </w:r>
      <w:r>
        <w:t xml:space="preserve"> </w:t>
      </w:r>
      <w:r>
        <w:t xml:space="preserve">e</w:t>
      </w:r>
      <w:r>
        <w:t xml:space="preserve"> </w:t>
      </w:r>
      <w:r>
        <w:rPr>
          <w:rStyle w:val="VerbatimChar"/>
        </w:rPr>
        <w:t xml:space="preserve">informes-growth/cartera-growth.md</w:t>
      </w:r>
      <w:r>
        <w:t xml:space="preserve">, el</w:t>
      </w:r>
      <w:r>
        <w:t xml:space="preserve"> </w:t>
      </w:r>
      <w:r>
        <w:rPr>
          <w:bCs/>
          <w:b/>
        </w:rPr>
        <w:t xml:space="preserve">bolsillo growth está lleno</w:t>
      </w:r>
      <w:r>
        <w:t xml:space="preserve"> </w:t>
      </w:r>
      <w:r>
        <w:t xml:space="preserve">(~20 % de la cartera). Lo forman Nu (+19 %), Axon (+36 %), Shopify (+18 %), Snowflake (+13 %) y Samsara (+15 %), con la rentabilidad al precio actual según v11. Liquidez ≈27 EUR: solo cabe sustituir. Alphabet se vende mañana y no cuenta como exposición a IA.</w:t>
      </w:r>
    </w:p>
    <w:p>
      <w:pPr>
        <w:pStyle w:val="BodyText"/>
      </w:pPr>
      <w:r>
        <w:rPr>
          <w:bCs/>
          <w:b/>
        </w:rPr>
        <w:t xml:space="preserve">Alnylam no entra: peso 0 %.</w:t>
      </w:r>
      <w:r>
        <w:t xml:space="preserve"> </w:t>
      </w:r>
      <w:r>
        <w:t xml:space="preserve">La señal es Vender / no comprar, con una ponderada del −10 % al precio actual. No sustituye a ninguna de las cinco, que esperan entre +13 % y +36 %, y</w:t>
      </w:r>
      <w:r>
        <w:t xml:space="preserve"> </w:t>
      </w:r>
      <w:r>
        <w:rPr>
          <w:bCs/>
          <w:b/>
        </w:rPr>
        <w:t xml:space="preserve">no entra en la lista de suplentes</w:t>
      </w:r>
      <w:r>
        <w:t xml:space="preserve">: los ocho (MongoDB, Toast, Zscaler, Dexcom, Datadog, argenx, Natera y Saab) son Comprar.</w:t>
      </w:r>
    </w:p>
    <w:p>
      <w:pPr>
        <w:pStyle w:val="BodyText"/>
      </w:pPr>
      <w:r>
        <w:rPr>
          <w:bCs/>
          <w:b/>
        </w:rPr>
        <w:t xml:space="preserve">Frente a argenx</w:t>
      </w:r>
      <w:r>
        <w:t xml:space="preserve"> </w:t>
      </w:r>
      <w:r>
        <w:t xml:space="preserve">(suplente 6, Comprar con convicción baja, +10 %):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Alnylam</w:t>
            </w:r>
          </w:p>
        </w:tc>
        <w:tc>
          <w:tcPr/>
          <w:p>
            <w:pPr>
              <w:pStyle w:val="Compact"/>
              <w:jc w:val="left"/>
            </w:pPr>
            <w:r>
              <w:t xml:space="preserve">argenx</w:t>
            </w:r>
          </w:p>
        </w:tc>
      </w:tr>
      <w:tr>
        <w:tc>
          <w:tcPr/>
          <w:p>
            <w:pPr>
              <w:pStyle w:val="Compact"/>
              <w:jc w:val="left"/>
            </w:pPr>
            <w:r>
              <w:t xml:space="preserve">Puntuación</w:t>
            </w:r>
          </w:p>
        </w:tc>
        <w:tc>
          <w:tcPr/>
          <w:p>
            <w:pPr>
              <w:pStyle w:val="Compact"/>
              <w:jc w:val="left"/>
            </w:pPr>
            <w:r>
              <w:t xml:space="preserve">62,7</w:t>
            </w:r>
          </w:p>
        </w:tc>
        <w:tc>
          <w:tcPr/>
          <w:p>
            <w:pPr>
              <w:pStyle w:val="Compact"/>
              <w:jc w:val="left"/>
            </w:pPr>
            <w:r>
              <w:t xml:space="preserve">70,5</w:t>
            </w:r>
          </w:p>
        </w:tc>
      </w:tr>
      <w:tr>
        <w:tc>
          <w:tcPr/>
          <w:p>
            <w:pPr>
              <w:pStyle w:val="Compact"/>
              <w:jc w:val="left"/>
            </w:pPr>
            <w:r>
              <w:t xml:space="preserve">Señales de giro</w:t>
            </w:r>
          </w:p>
        </w:tc>
        <w:tc>
          <w:tcPr/>
          <w:p>
            <w:pPr>
              <w:pStyle w:val="Compact"/>
              <w:jc w:val="left"/>
            </w:pPr>
            <w:r>
              <w:t xml:space="preserve">2/8</w:t>
            </w:r>
          </w:p>
        </w:tc>
        <w:tc>
          <w:tcPr/>
          <w:p>
            <w:pPr>
              <w:pStyle w:val="Compact"/>
              <w:jc w:val="left"/>
            </w:pPr>
            <w:r>
              <w:t xml:space="preserve">3/8</w:t>
            </w:r>
          </w:p>
        </w:tc>
      </w:tr>
      <w:tr>
        <w:tc>
          <w:tcPr/>
          <w:p>
            <w:pPr>
              <w:pStyle w:val="Compact"/>
              <w:jc w:val="left"/>
            </w:pPr>
            <w:r>
              <w:t xml:space="preserve">Crecimiento de las ventas en 12 meses</w:t>
            </w:r>
          </w:p>
        </w:tc>
        <w:tc>
          <w:tcPr/>
          <w:p>
            <w:pPr>
              <w:pStyle w:val="Compact"/>
              <w:jc w:val="left"/>
            </w:pPr>
            <w:r>
              <w:t xml:space="preserve">+95 %</w:t>
            </w:r>
          </w:p>
        </w:tc>
        <w:tc>
          <w:tcPr/>
          <w:p>
            <w:pPr>
              <w:pStyle w:val="Compact"/>
              <w:jc w:val="left"/>
            </w:pPr>
            <w:r>
              <w:t xml:space="preserve">+71 %</w:t>
            </w:r>
          </w:p>
        </w:tc>
      </w:tr>
      <w:tr>
        <w:tc>
          <w:tcPr/>
          <w:p>
            <w:pPr>
              <w:pStyle w:val="Compact"/>
              <w:jc w:val="left"/>
            </w:pPr>
            <w:r>
              <w:t xml:space="preserve">EV/beneficio bruto NTM</w:t>
            </w:r>
          </w:p>
        </w:tc>
        <w:tc>
          <w:tcPr/>
          <w:p>
            <w:pPr>
              <w:pStyle w:val="Compact"/>
              <w:jc w:val="left"/>
            </w:pPr>
            <w:r>
              <w:t xml:space="preserve">5,9x</w:t>
            </w:r>
          </w:p>
        </w:tc>
        <w:tc>
          <w:tcPr/>
          <w:p>
            <w:pPr>
              <w:pStyle w:val="Compact"/>
              <w:jc w:val="left"/>
            </w:pPr>
            <w:r>
              <w:t xml:space="preserve">7,6x</w:t>
            </w:r>
          </w:p>
        </w:tc>
      </w:tr>
      <w:tr>
        <w:tc>
          <w:tcPr/>
          <w:p>
            <w:pPr>
              <w:pStyle w:val="Compact"/>
              <w:jc w:val="left"/>
            </w:pPr>
            <w:r>
              <w:t xml:space="preserve">Margen bruto</w:t>
            </w:r>
          </w:p>
        </w:tc>
        <w:tc>
          <w:tcPr/>
          <w:p>
            <w:pPr>
              <w:pStyle w:val="Compact"/>
              <w:jc w:val="left"/>
            </w:pPr>
            <w:r>
              <w:t xml:space="preserve">80 %</w:t>
            </w:r>
          </w:p>
        </w:tc>
        <w:tc>
          <w:tcPr/>
          <w:p>
            <w:pPr>
              <w:pStyle w:val="Compact"/>
              <w:jc w:val="left"/>
            </w:pPr>
            <w:r>
              <w:t xml:space="preserve">90 %</w:t>
            </w:r>
          </w:p>
        </w:tc>
      </w:tr>
      <w:tr>
        <w:tc>
          <w:tcPr/>
          <w:p>
            <w:pPr>
              <w:pStyle w:val="Compact"/>
              <w:jc w:val="left"/>
            </w:pPr>
            <w:r>
              <w:t xml:space="preserve">Subida en 12 meses</w:t>
            </w:r>
          </w:p>
        </w:tc>
        <w:tc>
          <w:tcPr/>
          <w:p>
            <w:pPr>
              <w:pStyle w:val="Compact"/>
              <w:jc w:val="left"/>
            </w:pPr>
            <w:r>
              <w:t xml:space="preserve">−52 %</w:t>
            </w:r>
          </w:p>
        </w:tc>
        <w:tc>
          <w:tcPr/>
          <w:p>
            <w:pPr>
              <w:pStyle w:val="Compact"/>
              <w:jc w:val="left"/>
            </w:pPr>
            <w:r>
              <w:t xml:space="preserve">+1 %</w:t>
            </w:r>
          </w:p>
        </w:tc>
      </w:tr>
      <w:tr>
        <w:tc>
          <w:tcPr/>
          <w:p>
            <w:pPr>
              <w:pStyle w:val="Compact"/>
              <w:jc w:val="left"/>
            </w:pPr>
            <w:r>
              <w:t xml:space="preserve">Ponderada (v11)</w:t>
            </w:r>
          </w:p>
        </w:tc>
        <w:tc>
          <w:tcPr/>
          <w:p>
            <w:pPr>
              <w:pStyle w:val="Compact"/>
              <w:jc w:val="left"/>
            </w:pPr>
            <w:r>
              <w:t xml:space="preserve">−10 %</w:t>
            </w:r>
          </w:p>
        </w:tc>
        <w:tc>
          <w:tcPr/>
          <w:p>
            <w:pPr>
              <w:pStyle w:val="Compact"/>
              <w:jc w:val="left"/>
            </w:pPr>
            <w:r>
              <w:t xml:space="preserve">+11 %</w:t>
            </w:r>
          </w:p>
        </w:tc>
      </w:tr>
      <w:tr>
        <w:tc>
          <w:tcPr/>
          <w:p>
            <w:pPr>
              <w:pStyle w:val="Compact"/>
              <w:jc w:val="left"/>
            </w:pPr>
            <w:r>
              <w:t xml:space="preserve">Bajista</w:t>
            </w:r>
          </w:p>
        </w:tc>
        <w:tc>
          <w:tcPr/>
          <w:p>
            <w:pPr>
              <w:pStyle w:val="Compact"/>
              <w:jc w:val="left"/>
            </w:pPr>
            <w:r>
              <w:t xml:space="preserve">−52 %</w:t>
            </w:r>
          </w:p>
        </w:tc>
        <w:tc>
          <w:tcPr/>
          <w:p>
            <w:pPr>
              <w:pStyle w:val="Compact"/>
              <w:jc w:val="left"/>
            </w:pPr>
            <w:r>
              <w:t xml:space="preserve">−43 %</w:t>
            </w:r>
          </w:p>
        </w:tc>
      </w:tr>
    </w:tbl>
    <w:p>
      <w:pPr>
        <w:pStyle w:val="BodyText"/>
      </w:pPr>
      <w:r>
        <w:t xml:space="preserve">Alnylam es más barata, pero argenx es mejor negocio: más margen, sin deuda, sin regalías que crezcan con las ventas y sin recortes de guía. Además, sus ventas realistas aún dejan rentabilidad. Si algún día hubiera hueco para una biotecnológica, el orden sigue siendo argenx antes que Alnylam. Como diversificación, la cartera no tiene nada en enfermedades raras ni en cardiología: Daiichi Sankyo, la única farmacéutica, es de oncología.</w:t>
      </w:r>
    </w:p>
    <w:p>
      <w:pPr>
        <w:pStyle w:val="BodyText"/>
      </w:pPr>
      <w:r>
        <w:rPr>
          <w:bCs/>
          <w:b/>
        </w:rPr>
        <w:t xml:space="preserve">Qué la haría entrar</w:t>
      </w:r>
      <w:r>
        <w:t xml:space="preserve">: (a) que el 3T o la guía de 2027 devuelvan la confianza en Amvuttra (revisiones al alza, precio sobre la media de 200 sesiones) y el informe se rehaga con más ventas, o (b) un precio por debajo de 191,7 USD. Aun así, competiría por el hueco con los suplentes.</w:t>
      </w:r>
    </w:p>
    <w:bookmarkEnd w:id="33"/>
    <w:bookmarkStart w:id="34"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12 m +95,1 % (5), CAGR a 2 años +43,2 % (5), aceleración −20,1 pp (0)</w:t>
            </w:r>
          </w:p>
        </w:tc>
      </w:tr>
      <w:tr>
        <w:tc>
          <w:tcPr/>
          <w:p>
            <w:pPr>
              <w:pStyle w:val="Compact"/>
              <w:jc w:val="left"/>
            </w:pPr>
            <w:r>
              <w:t xml:space="preserve">B. Mercado y tecnología</w:t>
            </w:r>
          </w:p>
        </w:tc>
        <w:tc>
          <w:tcPr/>
          <w:p>
            <w:pPr>
              <w:pStyle w:val="Compact"/>
              <w:jc w:val="left"/>
            </w:pPr>
            <w:r>
              <w:t xml:space="preserve">12,0</w:t>
            </w:r>
          </w:p>
        </w:tc>
        <w:tc>
          <w:tcPr/>
          <w:p>
            <w:pPr>
              <w:pStyle w:val="Compact"/>
              <w:jc w:val="left"/>
            </w:pPr>
            <w:r>
              <w:t xml:space="preserve">20</w:t>
            </w:r>
          </w:p>
        </w:tc>
        <w:tc>
          <w:tcPr/>
          <w:p>
            <w:pPr>
              <w:pStyle w:val="Compact"/>
              <w:jc w:val="left"/>
            </w:pPr>
            <w:r>
              <w:t xml:space="preserve">Penetración 24 % (1), tecnología 4, posición 4</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2/8 señales, sin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79,8 % (5), regla del 40 = 111,6 (5), FCF creciente (5)</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FCF positivo (5), dilución del 2,3 % (3)</w:t>
            </w:r>
          </w:p>
        </w:tc>
      </w:tr>
      <w:tr>
        <w:tc>
          <w:tcPr/>
          <w:p>
            <w:pPr>
              <w:pStyle w:val="Compact"/>
              <w:jc w:val="left"/>
            </w:pPr>
            <w:r>
              <w:t xml:space="preserve">F. Ejecución y dirección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Historial 3, dirección 3</w:t>
            </w:r>
          </w:p>
        </w:tc>
      </w:tr>
      <w:tr>
        <w:tc>
          <w:tcPr/>
          <w:p>
            <w:pPr>
              <w:pStyle w:val="Compact"/>
              <w:jc w:val="left"/>
            </w:pPr>
            <w:r>
              <w:rPr>
                <w:bCs/>
                <w:b/>
              </w:rPr>
              <w:t xml:space="preserve">Total</w:t>
            </w:r>
          </w:p>
        </w:tc>
        <w:tc>
          <w:tcPr/>
          <w:p>
            <w:pPr>
              <w:pStyle w:val="Compact"/>
              <w:jc w:val="left"/>
            </w:pPr>
            <w:r>
              <w:rPr>
                <w:bCs/>
                <w:b/>
              </w:rPr>
              <w:t xml:space="preserve">62,7</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Vender / no comprar</w:t>
            </w:r>
            <w:r>
              <w:t xml:space="preserve"> </w:t>
            </w:r>
            <w:r>
              <w:t xml:space="preserve">(ponderada ≤ −10 %)</w:t>
            </w:r>
          </w:p>
        </w:tc>
      </w:tr>
    </w:tbl>
    <w:p>
      <w:pPr>
        <w:pStyle w:val="BodyText"/>
      </w:pPr>
      <w:r>
        <w:rPr>
          <w:bCs/>
          <w:b/>
        </w:rPr>
        <w:t xml:space="preserve">Mejora de método propuesta (sin tocar el código)</w:t>
      </w:r>
      <w:r>
        <w:t xml:space="preserve">:</w:t>
      </w:r>
      <w:r>
        <w:t xml:space="preserve"> </w:t>
      </w:r>
      <w:r>
        <w:rPr>
          <w:iCs/>
          <w:i/>
        </w:rPr>
        <w:t xml:space="preserve">exceso sobre la guía con un año de retraso.</w:t>
      </w:r>
      <w:r>
        <w:t xml:space="preserve"> </w:t>
      </w:r>
      <w:r>
        <w:t xml:space="preserve">La regla mide el exceso con el último ejercicio cerrado (+50 pp en 2025), aunque la empresa ya haya recortado la guía del año en curso. Propuesta: si en el ejercicio en curso la guía se ha rebajado, el exceso es 0 (o el crecimiento real del año en curso menos el de su primera guía, si es menor). En Alnylam, v9 dejaría de proyectar 11.606 M y bajaría a ~9.700 M (partida del +45,8 % de la guía), aún por encima del consenso. v11 ya lo corrige con el tope, pero la alerta seguiría saltando en otras empresas sin ventas del analista.</w:t>
      </w:r>
    </w:p>
    <w:bookmarkEnd w:id="34"/>
    <w:bookmarkStart w:id="35" w:name="fuentes"/>
    <w:p>
      <w:pPr>
        <w:pStyle w:val="Heading2"/>
      </w:pPr>
      <w:r>
        <w:t xml:space="preserve">Fuentes</w:t>
      </w:r>
    </w:p>
    <w:p>
      <w:pPr>
        <w:pStyle w:val="FirstParagraph"/>
      </w:pPr>
      <w:r>
        <w:t xml:space="preserve">[1] Alnylam, nota de resultados del 2T 2026 (8-K, anexo 99.1, 30-jul-2026, SEC) y 10-Q del 2T 2026.</w:t>
      </w:r>
      <w:r>
        <w:t xml:space="preserve"> </w:t>
      </w:r>
      <w:r>
        <w:t xml:space="preserve">[2] Alnylam, notas de resultados del 3T 2025, del 4T 2025 y del 1T 2026 (8-K, SEC); XBRL de la SEC (ingresos trimestrales 2023-2026, flujo de caja, inversiones, pagos en acciones, coste de ventas y acciones).</w:t>
      </w:r>
      <w:r>
        <w:t xml:space="preserve"> </w:t>
      </w:r>
      <w:r>
        <w:t xml:space="preserve">[3] Yahoo Finance, chart API (series diarias de ALNY, Nasdaq-100 e IBB; precio intradía de las 17:58 UTC del 14-oct) y Nasdaq.com (cierre de 223,82 USD el 13-oct-2026).</w:t>
      </w:r>
      <w:r>
        <w:t xml:space="preserve"> </w:t>
      </w:r>
      <w:r>
        <w:t xml:space="preserve">[4] Alnylam, 8-K del 12-ene-2025 (primera guía de 2025) y del 11-ene-2026 (estrategia Alnylam 2030 y guía inicial de 2026).</w:t>
      </w:r>
      <w:r>
        <w:t xml:space="preserve"> </w:t>
      </w:r>
      <w:r>
        <w:t xml:space="preserve">[5] MarketScreener (consenso de 2026-2028: ventas, EBITDA, FCF y caja neta), StockAnalysis (29 analistas; precio objetivo medio de 370,55 USD, 14-oct-2026) y Simply Wall St (ventas de 2027-2028).</w:t>
      </w:r>
      <w:r>
        <w:t xml:space="preserve"> </w:t>
      </w:r>
      <w:r>
        <w:t xml:space="preserve">[6] Investing.com, transcripción de la conferencia del 2T 2026; Fierce Pharma; Trefis (31-jul); Stifel y Wolfe Research (vía MarketBeat y TipRanks); Webull/Motley Fool.</w:t>
      </w:r>
      <w:r>
        <w:t xml:space="preserve"> </w:t>
      </w:r>
      <w:r>
        <w:t xml:space="preserve">[7] Benzinga (consenso de precio objetivo de junio de 2026).</w:t>
      </w:r>
      <w:r>
        <w:t xml:space="preserve"> </w:t>
      </w:r>
      <w:r>
        <w:t xml:space="preserve">[8] Wealth Awesome (5 y 13-oct-2026), Trefis (5-oct-2026) y Simply Wall St vía Yahoo Finance (9-oct-2026).</w:t>
      </w:r>
      <w:r>
        <w:t xml:space="preserve"> </w:t>
      </w:r>
      <w:r>
        <w:t xml:space="preserve">[9] Barchart, Kirby McInerney, Glancy Prongay, Kessler Topaz (investigaciones de bufetes, jul-ago 2026).</w:t>
      </w:r>
      <w:r>
        <w:t xml:space="preserve"> </w:t>
      </w:r>
      <w:r>
        <w:t xml:space="preserve">[10] SEC, Form 4 de Alnylam (1-jun, 19-sep y 2-oct-2026).</w:t>
      </w:r>
      <w:r>
        <w:t xml:space="preserve"> </w:t>
      </w:r>
      <w:r>
        <w:t xml:space="preserve">[11] ACC y ESC (CARDIO-TTRansform, 28-ago-2026), BioPharma Dive y Stocktwits (nota de Jefferies).</w:t>
      </w:r>
      <w:r>
        <w:t xml:space="preserve"> </w:t>
      </w:r>
      <w:r>
        <w:t xml:space="preserve">[12] Mercado alcanzable, múltiplos históricos, ventas NTM, EBITDA NTM y DCF inverso:</w:t>
      </w:r>
      <w:r>
        <w:t xml:space="preserve"> </w:t>
      </w:r>
      <w:r>
        <w:rPr>
          <w:bCs/>
          <w:b/>
        </w:rPr>
        <w:t xml:space="preserve">estimación propia</w:t>
      </w:r>
      <w:r>
        <w:t xml:space="preserve"> </w:t>
      </w:r>
      <w:r>
        <w:t xml:space="preserve">con los datos anteriores. Las ventas de 2025 de tafamidis no se han comprobado en esta sesión (cifra de mercado aproximada).</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2026-10-14T18:00:11Z</dcterms:created>
  <dcterms:modified xsi:type="dcterms:W3CDTF">2026-10-14T18:00:11Z</dcterms:modified>
</cp:coreProperties>
</file>

<file path=docProps/custom.xml><?xml version="1.0" encoding="utf-8"?>
<Properties xmlns="http://schemas.openxmlformats.org/officeDocument/2006/custom-properties" xmlns:vt="http://schemas.openxmlformats.org/officeDocument/2006/docPropsVTypes"/>
</file>