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celsius-celh-análisis-growth-14-oct-2026"/>
    <w:p>
      <w:pPr>
        <w:pStyle w:val="Heading1"/>
      </w:pPr>
      <w:r>
        <w:t xml:space="preserve">Celsius (CELH): análisis growth, 14-oct-2026</w:t>
      </w:r>
    </w:p>
    <w:p>
      <w:pPr>
        <w:pStyle w:val="FirstParagraph"/>
      </w:pPr>
      <w:r>
        <w:rPr>
          <w:bCs/>
          <w:b/>
        </w:rPr>
        <w:t xml:space="preserve">Señal (método v11, vigente): Vender / no comprar</w:t>
      </w:r>
      <w:r>
        <w:t xml:space="preserve"> </w:t>
      </w:r>
      <w:r>
        <w:t xml:space="preserve">· Puntuación 49,3/100 · Señales de cambio de tendencia 2/8 · EV/beneficio bruto 5,2x · EV/EBITDA de los 12 meses siguientes 11,1x</w:t>
      </w:r>
      <w:r>
        <w:t xml:space="preserve"> </w:t>
      </w:r>
      <w:r>
        <w:t xml:space="preserve">Precio 27,93 USD (cierre del 13-oct) · Objetivo 12 m 26,0 USD (ponderada −7,1 %, base −1,2 %, bajista −51,5 %, alcista +77,1 %) · Compra hasta 24,7 USD (no aplica mientras la puntuación siga por debajo de 60)</w:t>
      </w:r>
      <w:r>
        <w:t xml:space="preserve"> </w:t>
      </w:r>
      <w:r>
        <w:t xml:space="preserve">Peso orientativo:</w:t>
      </w:r>
      <w:r>
        <w:t xml:space="preserve"> </w:t>
      </w:r>
      <w:r>
        <w:rPr>
          <w:bCs/>
          <w:b/>
        </w:rPr>
        <w:t xml:space="preserve">no entra</w:t>
      </w:r>
      <w:r>
        <w:t xml:space="preserve">.</w:t>
      </w:r>
      <w:r>
        <w:t xml:space="preserve"> </w:t>
      </w:r>
      <w:r>
        <w:t xml:space="preserve">Referencia v9: Vender, ponderada +7,6 %, base +15,5 %, bajista −44,1 %, objetivo 30,0 USD, compra hasta 28,6 USD. La diferencia es de ventas: v9 usa la regla mecánica (4.115 M en el base) y v11 las del informe, que son el consenso (3.560 M).</w:t>
      </w:r>
      <w:r>
        <w:t xml:space="preserve"> </w:t>
      </w:r>
      <w:r>
        <w:rPr>
          <w:bCs/>
          <w:b/>
        </w:rPr>
        <w:t xml:space="preserve">Al precio actual</w:t>
      </w:r>
      <w:r>
        <w:t xml:space="preserve"> </w:t>
      </w:r>
      <w:r>
        <w:t xml:space="preserve">(26,94 USD, 14-oct a las 17:58 UTC; objetivo del informe fijo en 26,0): ponderada</w:t>
      </w:r>
      <w:r>
        <w:t xml:space="preserve"> </w:t>
      </w:r>
      <w:r>
        <w:rPr>
          <w:bCs/>
          <w:b/>
        </w:rPr>
        <w:t xml:space="preserve">−3,5 %</w:t>
      </w:r>
      <w:r>
        <w:t xml:space="preserve">.</w:t>
      </w:r>
      <w:r>
        <w:t xml:space="preserve"> </w:t>
      </w:r>
      <w:r>
        <w:t xml:space="preserve">Alertas de robustez del motor: dos (sin guía anual; PepsiCo y Costco suman el 69 % de las ventas). Prueba</w:t>
      </w:r>
      <w:r>
        <w:t xml:space="preserve"> </w:t>
      </w:r>
      <w:r>
        <w:rPr>
          <w:rStyle w:val="VerbatimChar"/>
        </w:rPr>
        <w:t xml:space="preserve">robustez-growth</w:t>
      </w:r>
      <w:r>
        <w:t xml:space="preserve">:</w:t>
      </w:r>
      <w:r>
        <w:t xml:space="preserve"> </w:t>
      </w:r>
      <w:r>
        <w:rPr>
          <w:bCs/>
          <w:b/>
        </w:rPr>
        <w:t xml:space="preserve">FRÁGIL entre Vender y Mantener</w:t>
      </w:r>
      <w:r>
        <w:t xml:space="preserve">, nunca Comprar (apartado 11).</w:t>
      </w:r>
    </w:p>
    <w:p>
      <w:pPr>
        <w:pStyle w:val="BodyText"/>
      </w:pPr>
      <w:r>
        <w:rPr>
          <w:bCs/>
          <w:b/>
        </w:rPr>
        <w:t xml:space="preserve">Resumen en lenguaje llano.</w:t>
      </w:r>
      <w:r>
        <w:t xml:space="preserve"> </w:t>
      </w:r>
      <w:r>
        <w:t xml:space="preserve">Celsius vende bebidas energéticas «sanas» (CELSIUS, Alani Nu y Rockstar) a través de PepsiCo. Las ventas casi se han doblado en un año, pero por compras: sin ellas crecieron un 2 % en el último trimestre. La marca principal cae un 12 %. La acción ha caído un 54 % en 12 meses y está barata (11 veces el EBITDA, la mitad que Monster). El método no la compra: la puntuación se queda en 49 y la rentabilidad esperada en un año es del −7 %. Lo que más preocupa: el 60 % de lo que vende pasa por un solo cliente, PepsiCo.</w:t>
      </w:r>
    </w:p>
    <w:bookmarkStart w:id="20" w:name="la-tesis-en-cinco-líneas"/>
    <w:p>
      <w:pPr>
        <w:pStyle w:val="Heading2"/>
      </w:pPr>
      <w:r>
        <w:t xml:space="preserve">1. La tesis en cinco líneas</w:t>
      </w:r>
    </w:p>
    <w:p>
      <w:pPr>
        <w:numPr>
          <w:ilvl w:val="0"/>
          <w:numId w:val="1001"/>
        </w:numPr>
        <w:pStyle w:val="Compact"/>
      </w:pPr>
      <w:r>
        <w:t xml:space="preserve">Celsius es la tercera marca de bebidas energéticas de EE. UU.: la cartera tiene un 20 % de cuota en dólares, por detrás de Monster y Red Bull [1]. Fabrica a través de embotelladores contratados y distribuye con PepsiCo, que además es su accionista.</w:t>
      </w:r>
    </w:p>
    <w:p>
      <w:pPr>
        <w:numPr>
          <w:ilvl w:val="0"/>
          <w:numId w:val="1001"/>
        </w:numPr>
        <w:pStyle w:val="Compact"/>
      </w:pPr>
      <w:r>
        <w:t xml:space="preserve">Crece por compras. Compró Alani Nu (abril de 2025, 1.800 M USD) y Rockstar en EE. UU. y Canadá (agosto de 2025, a PepsiCo). Con ellas las ventas de 12 meses suben un 83 %;</w:t>
      </w:r>
      <w:r>
        <w:t xml:space="preserve"> </w:t>
      </w:r>
      <w:r>
        <w:rPr>
          <w:bCs/>
          <w:b/>
        </w:rPr>
        <w:t xml:space="preserve">sin ellas, un 24 %</w:t>
      </w:r>
      <w:r>
        <w:t xml:space="preserve">, y en el último trimestre</w:t>
      </w:r>
      <w:r>
        <w:t xml:space="preserve"> </w:t>
      </w:r>
      <w:r>
        <w:rPr>
          <w:bCs/>
          <w:b/>
        </w:rPr>
        <w:t xml:space="preserve">un 2 %</w:t>
      </w:r>
      <w:r>
        <w:t xml:space="preserve"> </w:t>
      </w:r>
      <w:r>
        <w:t xml:space="preserve">[4].</w:t>
      </w:r>
    </w:p>
    <w:p>
      <w:pPr>
        <w:numPr>
          <w:ilvl w:val="0"/>
          <w:numId w:val="1001"/>
        </w:numPr>
        <w:pStyle w:val="Compact"/>
      </w:pPr>
      <w:r>
        <w:t xml:space="preserve">La marca CELSIUS se ha parado: −12 % en ventas en el 2T26 y −2 % en tiendas. La dirección reconoce que recortó demasiadas referencias. Alani Nu crece (+56 % en tiendas) y Rockstar cae (−13 %) [1][12].</w:t>
      </w:r>
    </w:p>
    <w:p>
      <w:pPr>
        <w:numPr>
          <w:ilvl w:val="0"/>
          <w:numId w:val="1001"/>
        </w:numPr>
        <w:pStyle w:val="Compact"/>
      </w:pPr>
      <w:r>
        <w:t xml:space="preserve">Es rentable y barata: EBITDA ajustado de 719 M en 12 meses, FCF del 15 % de las ventas y 11x el EBITDA de los 12 meses siguientes. Pero el método no compra: la puntuación (49,3) no llega a 60 porque no hay ninguna señal de giro salvo las compras de directivos, y con las ventas del consenso el precio ya está en su valor (base −1,2 %).</w:t>
      </w:r>
    </w:p>
    <w:p>
      <w:pPr>
        <w:numPr>
          <w:ilvl w:val="0"/>
          <w:numId w:val="1001"/>
        </w:numPr>
        <w:pStyle w:val="Compact"/>
      </w:pPr>
      <w:r>
        <w:t xml:space="preserve">Conclusión:</w:t>
      </w:r>
      <w:r>
        <w:t xml:space="preserve"> </w:t>
      </w:r>
      <w:r>
        <w:rPr>
          <w:bCs/>
          <w:b/>
        </w:rPr>
        <w:t xml:space="preserve">no comprar</w:t>
      </w:r>
      <w:r>
        <w:t xml:space="preserve">. Pasaría a interesar si la marca CELSIUS vuelve a crecer (lo dirán los resultados del 3T, hacia el 5-9 nov) y el precio vuelve a girar al alza.</w:t>
      </w:r>
    </w:p>
    <w:bookmarkEnd w:id="20"/>
    <w:bookmarkStart w:id="21" w:name="negocio-y-tecnología"/>
    <w:p>
      <w:pPr>
        <w:pStyle w:val="Heading2"/>
      </w:pPr>
      <w:r>
        <w:t xml:space="preserve">2. Negocio y tecnología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Qué vende</w:t>
      </w:r>
      <w:r>
        <w:t xml:space="preserve">: bebidas energéticas sin azúcar con ingredientes «funcionales» (el 95 % de las ventas), en lata, para gimnasio y para el día a día [4]. Tres marcas:</w:t>
      </w:r>
    </w:p>
    <w:p>
      <w:pPr>
        <w:numPr>
          <w:ilvl w:val="1"/>
          <w:numId w:val="1003"/>
        </w:numPr>
        <w:pStyle w:val="Compact"/>
      </w:pPr>
      <w:r>
        <w:rPr>
          <w:bCs/>
          <w:b/>
        </w:rPr>
        <w:t xml:space="preserve">CELSIUS</w:t>
      </w:r>
      <w:r>
        <w:t xml:space="preserve"> </w:t>
      </w:r>
      <w:r>
        <w:t xml:space="preserve">(~1.400 M al año): la original, con un 9,5 % de cuota en EE. UU.; en retroceso desde el 4T25.</w:t>
      </w:r>
    </w:p>
    <w:p>
      <w:pPr>
        <w:numPr>
          <w:ilvl w:val="1"/>
          <w:numId w:val="1003"/>
        </w:numPr>
        <w:pStyle w:val="Compact"/>
      </w:pPr>
      <w:r>
        <w:rPr>
          <w:bCs/>
          <w:b/>
        </w:rPr>
        <w:t xml:space="preserve">Alani Nu</w:t>
      </w:r>
      <w:r>
        <w:t xml:space="preserve"> </w:t>
      </w:r>
      <w:r>
        <w:t xml:space="preserve">(~1.400 M al año; 364 M en el 2T26): orientada a mujeres jóvenes, sabores de edición limitada; un 8,7 % de cuota y creciendo.</w:t>
      </w:r>
    </w:p>
    <w:p>
      <w:pPr>
        <w:numPr>
          <w:ilvl w:val="1"/>
          <w:numId w:val="1003"/>
        </w:numPr>
        <w:pStyle w:val="Compact"/>
      </w:pPr>
      <w:r>
        <w:rPr>
          <w:bCs/>
          <w:b/>
        </w:rPr>
        <w:t xml:space="preserve">Rockstar</w:t>
      </w:r>
      <w:r>
        <w:t xml:space="preserve"> </w:t>
      </w:r>
      <w:r>
        <w:t xml:space="preserve">(~265 M al año; 66,5 M en el 2T26): marca clásica con azúcar, en declive (1,9 % de cuota).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 quién</w:t>
      </w:r>
      <w:r>
        <w:t xml:space="preserve">: a PepsiCo (60 % de las ventas en el 2T26), que lo lleva a tiendas en EE. UU. y Canadá; Costco directamente (9 %); el resto, Amazon y distribuidores internacionales (fuera de Norteamérica solo vende 27 M al trimestre) [1][4].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Qué tiene de nuevo</w:t>
      </w:r>
      <w:r>
        <w:t xml:space="preserve">: marca y formulación, no tecnología. Las fórmulas son secreto industrial; no hay patentes relevantes [5].</w:t>
      </w:r>
      <w:r>
        <w:t xml:space="preserve"> </w:t>
      </w:r>
      <w:r>
        <w:rPr>
          <w:bCs/>
          <w:b/>
        </w:rPr>
        <w:t xml:space="preserve">Tecnología 2/5</w:t>
      </w:r>
      <w:r>
        <w:t xml:space="preserve">: es fácil de copiar y la categoría está llena de nuevas marcas (Ghost, Bloom, C4, Congo Brands).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Acuerdo con PepsiCo</w:t>
      </w:r>
      <w:r>
        <w:t xml:space="preserve"> </w:t>
      </w:r>
      <w:r>
        <w:t xml:space="preserve">(«Captaincy», ago-2025): PepsiCo es distribuidor exclusivo en EE. UU., Celsius dirige la categoría «moderna» de energía dentro de PepsiCo y PepsiCo tiene dos consejeros y dos preferentes convertibles (1.135 M de valor nominal) [4].</w:t>
      </w:r>
    </w:p>
    <w:bookmarkEnd w:id="21"/>
    <w:bookmarkStart w:id="22" w:name="crecimiento-orgánico-frente-a-compras"/>
    <w:p>
      <w:pPr>
        <w:pStyle w:val="Heading2"/>
      </w:pPr>
      <w:r>
        <w:t xml:space="preserve">3. Crecimiento (orgánico frente a compras)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Periodo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Ventas publicadas (M USD)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Crec. publicado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 forma (con las compras desde 2024)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Crec. orgánico (pro forma)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1.355,6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2.318,0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2.515,3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+86 %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3.003,7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+30 %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3T25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725,1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+173 %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798,5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+55 % (compara con el desestocaje de PepsiCo de 2024)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4T25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721,6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+117 %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731,7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+26 % (con el llenado de almacenes de Alani Nu)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1T26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782,6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+138 %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782,6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+25 % (ídem)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2T26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817,9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+11 %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817,9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+2 %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 m a jun-26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3.047,2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+83 %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3.130,7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+24 %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 consenso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+26 %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~+6 % (estimación)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2027 consenso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3.440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+8,5 %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Fuentes: notas de pro forma de los 10-Q y del 10-K [4][5][6], notas de resultados [1][2][3] y consenso de Yahoo [11].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Separar compras de orgánico</w:t>
      </w:r>
      <w:r>
        <w:t xml:space="preserve">: de los +1.381 M de ventas ganados en 12 meses, unos 1.160 M vienen de comprar Alani Nu y Rockstar. El motor usa solo el orgánico (pro forma): 24 % en 12 meses, 2 % en el último trimestre, ~22 % de CAGR a 2 años (estimación propia) y</w:t>
      </w:r>
      <w:r>
        <w:t xml:space="preserve"> </w:t>
      </w:r>
      <w:r>
        <w:rPr>
          <w:bCs/>
          <w:b/>
        </w:rPr>
        <w:t xml:space="preserve">aceleración de −30,7 pp</w:t>
      </w:r>
      <w:r>
        <w:t xml:space="preserve">. Con las cifras publicadas, la puntuación subiría a 59 y seguiría sin comprar (apartado 11).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Inventario del distribuidor</w:t>
      </w:r>
      <w:r>
        <w:t xml:space="preserve">: es la clave de Celsius. Las ventas se apuntan cuando PepsiCo compra, no cuando el cliente final paga. En 2024, PepsiCo vació almacenes y las ventas cayeron mientras las tiendas crecían un 22 %. En el 4T25-1T26 pasó lo contrario: PepsiCo llenó almacenes con Alani Nu (unos 25 M netos en el 4T25) [3]. En el 2T26 vuelve a vaciar: las ventas de la cartera en tiendas suben un 31 %, pero las ventas de Celsius solo un 11 % (un 2 % sin compras). La marca CELSIUS cae un 12 % en ventas frente al −2 % en tiendas [1]. Lectura: las ventas de 12 meses están infladas por el llenado y las del 2T por debajo de la demanda real. Ese vaivén se repetirá en el 4T26, que compara con el llenado de Alani Nu [12].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Guía</w:t>
      </w:r>
      <w:r>
        <w:t xml:space="preserve">: Celsius no da guía de ventas. Solo dice que la marca CELSIUS en el 3T se parecerá al 2T, que mejorará poco a poco en el 4T y que volverá a crecer en 2027 [12].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Retención neta</w:t>
      </w:r>
      <w:r>
        <w:t xml:space="preserve">: no aplica (no hay suscripciones).</w:t>
      </w:r>
    </w:p>
    <w:bookmarkEnd w:id="22"/>
    <w:bookmarkStart w:id="23" w:name="mercado-y-competencia"/>
    <w:p>
      <w:pPr>
        <w:pStyle w:val="Heading2"/>
      </w:pPr>
      <w:r>
        <w:t xml:space="preserve">4. Mercado y competencia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Mercado alcanzable en 2028: ~20.000 M USD</w:t>
      </w:r>
      <w:r>
        <w:t xml:space="preserve"> </w:t>
      </w:r>
      <w:r>
        <w:t xml:space="preserve">en ventas netas de fabricante (estimación propia, en parte de memoria): la categoría de EE. UU. y Canadá más los países donde Celsius ya vende [18].</w:t>
      </w:r>
      <w:r>
        <w:t xml:space="preserve"> </w:t>
      </w:r>
      <w:r>
        <w:rPr>
          <w:bCs/>
          <w:b/>
        </w:rPr>
        <w:t xml:space="preserve">Penetración: 15 %.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Posición 3/5</w:t>
      </w:r>
      <w:r>
        <w:t xml:space="preserve">: es la tercera. Monster (~35-40 % de cuota en EE. UU., de memoria) gana cuota y crece un 20 % en el 2T26; Red Bull es la segunda [17][18]. La cuota de la cartera de Celsius bajó del 20,9 % (1T26) al 20,1 % (2T26) [1][2].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Rivales</w:t>
      </w:r>
      <w:r>
        <w:t xml:space="preserve">: Monster (con Coca-Cola), Red Bull, Keurig Dr Pepper (Ghost, C4), Congo Brands (Prime, 3D), marcas blancas y las nuevas marcas «saludables» [5].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Por qué podría ganar</w:t>
      </w:r>
      <w:r>
        <w:t xml:space="preserve">: es la referencia de energía sin azúcar dentro del sistema de PepsiCo, que la pone en más neveras; Alani Nu atrae a un público que Monster no tiene.</w:t>
      </w:r>
      <w:r>
        <w:t xml:space="preserve"> </w:t>
      </w:r>
      <w:r>
        <w:rPr>
          <w:bCs/>
          <w:b/>
        </w:rPr>
        <w:t xml:space="preserve">Por qué podría perder</w:t>
      </w:r>
      <w:r>
        <w:t xml:space="preserve">: no hay barrera tecnológica, Monster gasta más en marketing y la marca CELSIUS ya ha perdido el impulso de moda.</w:t>
      </w:r>
    </w:p>
    <w:bookmarkEnd w:id="23"/>
    <w:bookmarkStart w:id="24" w:name="cambio-de-tendencia"/>
    <w:p>
      <w:pPr>
        <w:pStyle w:val="Heading2"/>
      </w:pPr>
      <w:r>
        <w:t xml:space="preserve">5. Cambio de tendencia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Señal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¿Sí/no?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Prueba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Revisiones al alza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BPA de 2026 de 1,61 a 1,42 USD en 90 días; 2027 de 1,98 a 1,71. Casi todos los bancos bajan su objetivo; TD Cowen, el 12-oct, de 41 a 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[11][13]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Precio sobre la media de 200 sesiones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27,93 frente a 35,9, y la media baja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[9]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Fuerza relativa a 6 meses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−17 % frente a +20 % del Nasdaq-100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[9]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Mejora del múltiplo ≥ 20 %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 9,6x en el mínimo (6-ago) a 11,1x: +16 %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[9][16]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Inflexión operativa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Margen EBITDA del 2T26: 22,5 % frente a 28,4 % un año antes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Sentimiento mejorando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Empeora: rebajas de Bernstein, Deutsche Bank y Maxim, demandas colectivas, interés corto del 12 %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[11][13][14]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Compras de directivos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CEO compra 18.000 acciones a 27,44 USD; dos consejeros, 48.000 más (~1,3 M USD) en septiembre. La empresa recompra 100 M en el 2T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[8]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Catalizador nuevo (6 meses)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Resultados del 3T (5-9 nov) con el plan de novedades de 2027; la marca deja atrás el recorte de referencias en el 4T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[12]</w:t>
            </w:r>
          </w:p>
        </w:tc>
      </w:tr>
    </w:tbl>
    <w:p>
      <w:pPr>
        <w:pStyle w:val="BodyText"/>
      </w:pPr>
      <w:r>
        <w:rPr>
          <w:bCs/>
          <w:b/>
        </w:rPr>
        <w:t xml:space="preserve">Euforia: no</w:t>
      </w:r>
      <w:r>
        <w:t xml:space="preserve"> </w:t>
      </w:r>
      <w:r>
        <w:t xml:space="preserve">(la acción cae un 54 % en 12 meses). Bloque C: 5/20.</w:t>
      </w:r>
    </w:p>
    <w:bookmarkEnd w:id="24"/>
    <w:bookmarkStart w:id="25" w:name="X6a3ced9ea5ed5bb9ac58f5e7c1bb09ad4718b77"/>
    <w:p>
      <w:pPr>
        <w:pStyle w:val="Heading2"/>
      </w:pPr>
      <w:r>
        <w:t xml:space="preserve">6. Economía unitaria y camino a la rentabilidad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Margen bruto: 48,8 %</w:t>
      </w:r>
      <w:r>
        <w:t xml:space="preserve"> </w:t>
      </w:r>
      <w:r>
        <w:t xml:space="preserve">en 12 meses (2T26: 48,1 %, frente a 51,5 % un año antes). Baja por más promociones, por vender más a través de PepsiCo (que se queda margen) y por el aluminio. Objetivo de la empresa: volver a la parte baja del 50 % [1][3].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EBITDA ajustado: 719 M en 12 meses (23,6 %)</w:t>
      </w:r>
      <w:r>
        <w:t xml:space="preserve">. En el 2T26, 184 M (22,5 %).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FCF: 463 M en 12 meses (15,2 %)</w:t>
      </w:r>
      <w:r>
        <w:t xml:space="preserve">, creciente (240 M en 2024 y 323 M en 2025). Calidad media: lo mueven los pagos a antiguos distribuidores de Alani Nu (que paga PepsiCo) y el inventario, que se ha triplicado desde dic-24 [4][7].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Regla del 40: 39</w:t>
      </w:r>
      <w:r>
        <w:t xml:space="preserve"> </w:t>
      </w:r>
      <w:r>
        <w:t xml:space="preserve">(24 % orgánico + 15 % de margen FCF).</w:t>
      </w:r>
    </w:p>
    <w:p>
      <w:pPr>
        <w:numPr>
          <w:ilvl w:val="0"/>
          <w:numId w:val="1006"/>
        </w:numPr>
        <w:pStyle w:val="Compact"/>
      </w:pPr>
      <w:r>
        <w:t xml:space="preserve">Bloque D: 10/15.</w:t>
      </w:r>
    </w:p>
    <w:bookmarkEnd w:id="25"/>
    <w:bookmarkStart w:id="26" w:name="caja-deuda-y-dilución"/>
    <w:p>
      <w:pPr>
        <w:pStyle w:val="Heading2"/>
      </w:pPr>
      <w:r>
        <w:t xml:space="preserve">7. Caja, deuda y dilución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Caja 631 M y deuda 695 M</w:t>
      </w:r>
      <w:r>
        <w:t xml:space="preserve"> </w:t>
      </w:r>
      <w:r>
        <w:t xml:space="preserve">(préstamo a plazo, refinanciado en julio con un tipo menor) a 30-jun-2026: deuda neta de 64 M, menos de 0,1x el EBITDA [1][4].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Preferentes de PepsiCo</w:t>
      </w:r>
      <w:r>
        <w:t xml:space="preserve">: la serie A (550 M; se convierte a 25 USD en 22,0 M de acciones) está dentro de dinero y se cuenta como acciones. La serie B (585 M; se convierte a 51,75 USD) está fuera de dinero y se cuenta como deuda. Pagan un 5 % (~56 M al año) y PepsiCo puede pedir su devolución desde 2032 [4]. Si se cuenta la serie B como acciones, el resultado apenas cambia.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Pista: FCF positivo.</w:t>
      </w:r>
      <w:r>
        <w:t xml:space="preserve"> </w:t>
      </w:r>
      <w:r>
        <w:rPr>
          <w:bCs/>
          <w:b/>
        </w:rPr>
        <w:t xml:space="preserve">Dilución: −1,3 % al año</w:t>
      </w:r>
      <w:r>
        <w:t xml:space="preserve"> </w:t>
      </w:r>
      <w:r>
        <w:t xml:space="preserve">por recompras (quedan 136 M del programa de 300 M).</w:t>
      </w:r>
      <w:r>
        <w:t xml:space="preserve"> </w:t>
      </w:r>
      <w:r>
        <w:rPr>
          <w:bCs/>
          <w:b/>
        </w:rPr>
        <w:t xml:space="preserve">Pagos en acciones: 1,1 % de las ventas.</w:t>
      </w:r>
      <w:r>
        <w:t xml:space="preserve"> </w:t>
      </w:r>
      <w:r>
        <w:t xml:space="preserve">Bloque E: 10/10.</w:t>
      </w:r>
    </w:p>
    <w:bookmarkEnd w:id="26"/>
    <w:bookmarkStart w:id="27" w:name="dirección-y-ejecución"/>
    <w:p>
      <w:pPr>
        <w:pStyle w:val="Heading2"/>
      </w:pPr>
      <w:r>
        <w:t xml:space="preserve">8. Dirección y ejecución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John Fieldly</w:t>
      </w:r>
      <w:r>
        <w:t xml:space="preserve">, presidente y consejero delegado desde 2018, ha llevado la marca de 75 M a 3.000 M de ventas y montó el acuerdo con PepsiCo. Ahora compra acciones con su dinero. La familia DeSantis (fundadora del accionariado) controla ~29 % [8][11].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Historial 2/5</w:t>
      </w:r>
      <w:r>
        <w:t xml:space="preserve">: el desestocaje de PepsiCo de 2024 la cogió por sorpresa, el 2T26 quedó un 6-8 % por debajo del consenso y el recorte de referencias fue un error reconocido. A favor: Alani Nu va mucho mejor de lo esperado [12][13].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Dirección 3/5</w:t>
      </w:r>
      <w:r>
        <w:t xml:space="preserve">: compras de directivos y recompras con la acción baja, pero sale el presidente y COO (10-ago-2026), la dependencia de PepsiCo es cada vez mayor y la compra de Alani Nu se pagó cara [1].</w:t>
      </w:r>
    </w:p>
    <w:bookmarkEnd w:id="27"/>
    <w:bookmarkStart w:id="28" w:name="valoración"/>
    <w:p>
      <w:pPr>
        <w:pStyle w:val="Heading2"/>
      </w:pPr>
      <w:r>
        <w:t xml:space="preserve">9. Valoración</w:t>
      </w:r>
    </w:p>
    <w:p>
      <w:pPr>
        <w:pStyle w:val="FirstParagraph"/>
      </w:pPr>
      <w:r>
        <w:rPr>
          <w:bCs/>
          <w:b/>
        </w:rPr>
        <w:t xml:space="preserve">Métrica: EV/EBITDA de los 12 meses siguientes.</w:t>
      </w:r>
      <w:r>
        <w:t xml:space="preserve"> </w:t>
      </w:r>
      <w:r>
        <w:t xml:space="preserve">Celsius gana dinero de forma estable desde 2023 y es un fabricante de bebidas con un margen bruto del 49 %. El mercado la compara con Monster o PepsiCo por EBITDA, no por ventas.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Hoy</w:t>
      </w:r>
      <w:r>
        <w:t xml:space="preserve">: EV ≈ 8.438 M USD (27,93 × 278,9 M de acciones + 1.280 de deuda y serie B − 631 de caja). EBITDA ajustado de los 12 meses siguientes ≈</w:t>
      </w:r>
      <w:r>
        <w:t xml:space="preserve"> </w:t>
      </w:r>
      <w:r>
        <w:rPr>
          <w:bCs/>
          <w:b/>
        </w:rPr>
        <w:t xml:space="preserve">760 M</w:t>
      </w:r>
      <w:r>
        <w:t xml:space="preserve"> </w:t>
      </w:r>
      <w:r>
        <w:t xml:space="preserve">(ventas de consenso de ~3.306 M con un margen del 23 %; estimación propia) →</w:t>
      </w:r>
      <w:r>
        <w:t xml:space="preserve"> </w:t>
      </w:r>
      <w:r>
        <w:rPr>
          <w:bCs/>
          <w:b/>
        </w:rPr>
        <w:t xml:space="preserve">11,1x</w:t>
      </w:r>
      <w:r>
        <w:t xml:space="preserve">. EV/ventas 2,6x; EV/beneficio bruto 5,2x [16].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Historia</w:t>
      </w:r>
      <w:r>
        <w:t xml:space="preserve">: mediana de 3 años</w:t>
      </w:r>
      <w:r>
        <w:t xml:space="preserve"> </w:t>
      </w:r>
      <w:r>
        <w:rPr>
          <w:bCs/>
          <w:b/>
        </w:rPr>
        <w:t xml:space="preserve">~28x</w:t>
      </w:r>
      <w:r>
        <w:t xml:space="preserve"> </w:t>
      </w:r>
      <w:r>
        <w:t xml:space="preserve">(estimación, en parte de memoria: 45-70x en 2023-24, ~30x en 2025); mínimo</w:t>
      </w:r>
      <w:r>
        <w:t xml:space="preserve"> </w:t>
      </w:r>
      <w:r>
        <w:rPr>
          <w:bCs/>
          <w:b/>
        </w:rPr>
        <w:t xml:space="preserve">9,6x</w:t>
      </w:r>
      <w:r>
        <w:t xml:space="preserve"> </w:t>
      </w:r>
      <w:r>
        <w:t xml:space="preserve">(6-ago-2026) [16].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Comparables</w:t>
      </w:r>
      <w:r>
        <w:t xml:space="preserve">: Monster ~25x, Coca-Cola 24,6x, Keurig Dr Pepper 17,7x y PepsiCo 11,2x; mediana</w:t>
      </w:r>
      <w:r>
        <w:t xml:space="preserve"> </w:t>
      </w:r>
      <w:r>
        <w:rPr>
          <w:bCs/>
          <w:b/>
        </w:rPr>
        <w:t xml:space="preserve">~19x</w:t>
      </w:r>
      <w:r>
        <w:t xml:space="preserve"> </w:t>
      </w:r>
      <w:r>
        <w:t xml:space="preserve">[17].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Ventas del ejercicio objetivo</w:t>
      </w:r>
      <w:r>
        <w:t xml:space="preserve"> </w:t>
      </w:r>
      <w:r>
        <w:t xml:space="preserve">(12 meses a jun-2028, la ventana de la regla): bajista 3.150 M (plano);</w:t>
      </w:r>
      <w:r>
        <w:t xml:space="preserve"> </w:t>
      </w:r>
      <w:r>
        <w:rPr>
          <w:bCs/>
          <w:b/>
        </w:rPr>
        <w:t xml:space="preserve">base 3.560 M, que es el consenso</w:t>
      </w:r>
      <w:r>
        <w:t xml:space="preserve"> </w:t>
      </w:r>
      <w:r>
        <w:t xml:space="preserve">(estimado a partir del de 2027, 3.440 M); alcista 3.850 M. La regla mecánica da 3.561 / 4.115 / 4.347 M, porque proyecta el orgánico pasado inflado por el llenado de almacenes. v11 toma la menor en cada escenario.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Crecimiento</w:t>
      </w:r>
      <w:r>
        <w:t xml:space="preserve"> </w:t>
      </w:r>
      <w:r>
        <w:t xml:space="preserve">de los 12 meses siguientes 8,5 % (consenso) y del año objetivo 7 %: factor de desaceleración 0,91.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Ventas (M USD)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EV/EBITDA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Rentabilidad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Bajista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3.150 (informe)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6,0x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13,5 USD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−51,5 %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3.560 (consenso)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10,1x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27,6 USD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−1,2 %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Alcista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3.850 (informe)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16,1x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49,5 USD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+77,1 %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Ponderado (v11)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26,0 USD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−7,1 %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Ponderado (v9, ventas mecánicas)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3.561 / 4.115 / 4.347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igual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30,0 USD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+7,6 %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Probabilidades 35/50/15</w:t>
      </w:r>
      <w:r>
        <w:t xml:space="preserve">: ejecución dudosa (marca principal cayendo, error reconocido) y un solo distribuidor. Con 25/50/25 la ponderada sería del +5,8 %, y seguiría sin comprar.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Contraste con el consenso</w:t>
      </w:r>
      <w:r>
        <w:t xml:space="preserve">: objetivo medio de</w:t>
      </w:r>
      <w:r>
        <w:t xml:space="preserve"> </w:t>
      </w:r>
      <w:r>
        <w:rPr>
          <w:bCs/>
          <w:b/>
        </w:rPr>
        <w:t xml:space="preserve">41,90 USD</w:t>
      </w:r>
      <w:r>
        <w:t xml:space="preserve"> </w:t>
      </w:r>
      <w:r>
        <w:t xml:space="preserve">(26-64; 18 de 24 analistas en compra) [11]. La diferencia no está en las ventas (uso las suyas), sino en el múltiplo: el método no supone que el múltiplo vuelva a su historia (28x).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DCF inverso</w:t>
      </w:r>
      <w:r>
        <w:t xml:space="preserve">: el precio descuenta ~</w:t>
      </w:r>
      <w:r>
        <w:rPr>
          <w:bCs/>
          <w:b/>
        </w:rPr>
        <w:t xml:space="preserve">3,6 % de crecimiento anual</w:t>
      </w:r>
      <w:r>
        <w:t xml:space="preserve"> </w:t>
      </w:r>
      <w:r>
        <w:t xml:space="preserve">del flujo de caja durante 10 años (coste de capital del 9 %, crecimiento final del 3 %). Es poco para una empresa que crece por encima de su categoría: por eso la acción es barata. El método no compra porque no ve todavía el giro.</w:t>
      </w:r>
    </w:p>
    <w:bookmarkEnd w:id="28"/>
    <w:bookmarkStart w:id="29" w:name="foros-y-sentimiento"/>
    <w:p>
      <w:pPr>
        <w:pStyle w:val="Heading2"/>
      </w:pPr>
      <w:r>
        <w:t xml:space="preserve">10. Foros y sentimiento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Prensa y analistas</w:t>
      </w:r>
      <w:r>
        <w:t xml:space="preserve">: tras el 2T, titulares de «fallo» (Quartz: «earnings miss as Celsius brand sales fall»; StockStory: −16 % en el día). Bernstein baja a neutral con objetivo de 26 USD; Deutsche Bank, a mantener [13].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Lado comprador</w:t>
      </w:r>
      <w:r>
        <w:t xml:space="preserve">: TIKR («¿compra tras caer un 60 %?»), Motley Fool («un giro podría estar cerca»), JPMorgan (52 USD) y Stephens (50 USD): Alani Nu, la caja y las compras de directivos [11][15].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Reddit, StockTwits y foros en castellano</w:t>
      </w:r>
      <w:r>
        <w:t xml:space="preserve"> </w:t>
      </w:r>
      <w:r>
        <w:t xml:space="preserve">(Rankia, Investing.com ES): las búsquedas no devolvieron hilos recientes útiles. No hay lectura propia; no se rellena.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Interés corto del 12,2 %</w:t>
      </w:r>
      <w:r>
        <w:t xml:space="preserve"> </w:t>
      </w:r>
      <w:r>
        <w:t xml:space="preserve">y subiendo, y demandas colectivas con plazo el 3-nov: el ambiente es bajista. No hay euforia, pero tampoco giro.</w:t>
      </w:r>
    </w:p>
    <w:bookmarkEnd w:id="29"/>
    <w:bookmarkStart w:id="30" w:name="riesgos-robustez-y-qué-rompería-la-tesis"/>
    <w:p>
      <w:pPr>
        <w:pStyle w:val="Heading2"/>
      </w:pPr>
      <w:r>
        <w:t xml:space="preserve">11. Riesgos, robustez y qué rompería la tesis</w:t>
      </w:r>
    </w:p>
    <w:p>
      <w:pPr>
        <w:pStyle w:val="FirstParagraph"/>
      </w:pPr>
      <w:r>
        <w:rPr>
          <w:bCs/>
          <w:b/>
        </w:rPr>
        <w:t xml:space="preserve">Alertas del motor (</w:t>
      </w:r>
      <w:r>
        <w:rPr>
          <w:rStyle w:val="VerbatimChar"/>
          <w:bCs/>
          <w:b/>
        </w:rPr>
        <w:t xml:space="preserve">calc.alertas</w:t>
      </w:r>
      <w:r>
        <w:rPr>
          <w:bCs/>
          <w:b/>
        </w:rPr>
        <w:t xml:space="preserve">):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Sin guía anual de 12 meses.</w:t>
      </w:r>
      <w:r>
        <w:t xml:space="preserve"> </w:t>
      </w:r>
      <w:r>
        <w:t xml:space="preserve">Celsius no da guía de ventas, así que v9 no puede recortar la proyección. No debilita la señal: v11 ya recorta con las ventas del consenso, que quedan un 13 % por debajo de la mecánica. El aviso del motor sobre la guía tampoco se puede corregir: el dato no existe.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Dos clientes suman el 69 % de las ventas</w:t>
      </w:r>
      <w:r>
        <w:t xml:space="preserve"> </w:t>
      </w:r>
      <w:r>
        <w:t xml:space="preserve">(PepsiCo 59,6 % y Costco 9,2 % en el 1S26). Es el riesgo principal y</w:t>
      </w:r>
      <w:r>
        <w:t xml:space="preserve"> </w:t>
      </w:r>
      <w:r>
        <w:rPr>
          <w:bCs/>
          <w:b/>
        </w:rPr>
        <w:t xml:space="preserve">refuerza la señal de no comprar</w:t>
      </w:r>
      <w:r>
        <w:t xml:space="preserve">. PepsiCo es a la vez cliente, distribuidor exclusivo, accionista y competidor (vende sus propias bebidas energéticas). Si recorta inventario, Celsius pierde ventas de un trimestre para otro, como en 2024.</w:t>
      </w:r>
    </w:p>
    <w:p>
      <w:pPr>
        <w:pStyle w:val="BodyText"/>
      </w:pPr>
      <w:r>
        <w:rPr>
          <w:bCs/>
          <w:b/>
        </w:rPr>
        <w:t xml:space="preserve">Prueba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robustez-growth --precios</w:t>
      </w:r>
      <w:r>
        <w:rPr>
          <w:bCs/>
          <w:b/>
        </w:rPr>
        <w:t xml:space="preserve">: FRÁGIL, pero solo entre Vender y Mantener.</w:t>
      </w:r>
      <w:r>
        <w:t xml:space="preserve"> </w:t>
      </w:r>
      <w:r>
        <w:t xml:space="preserve">Variantes: v11 −7,1/−1,2 Vender; v7 +7,6/+15,5 Vender; ventas del analista −7,1/−1,2 Mantener; 25/50/25 +5,8/−1,2 Vender; 35/50/15 Vender; precio de hoy (26,94, objetivo fijo) −3,5/+2,5 Vender.</w:t>
      </w:r>
      <w:r>
        <w:t xml:space="preserve"> </w:t>
      </w:r>
      <w:r>
        <w:t xml:space="preserve">- La única variante que cambia (ventas del analista → Mantener) no aplica el filtro de puntuación: con las mismas cifras, Celsius no vende por rentabilidad (−7 % no llega al −10 %) sino porque la puntuación está</w:t>
      </w:r>
      <w:r>
        <w:t xml:space="preserve"> </w:t>
      </w:r>
      <w:r>
        <w:rPr>
          <w:bCs/>
          <w:b/>
        </w:rPr>
        <w:t xml:space="preserve">0,7 puntos por debajo de 50</w:t>
      </w:r>
      <w:r>
        <w:t xml:space="preserve">. Con posición 4 en vez de 3, o con el crecimiento publicado en vez del orgánico, sería Mantener.</w:t>
      </w:r>
      <w:r>
        <w:t xml:space="preserve"> </w:t>
      </w:r>
      <w:r>
        <w:rPr>
          <w:bCs/>
          <w:b/>
        </w:rPr>
        <w:t xml:space="preserve">Ninguna variante da Comprar</w:t>
      </w:r>
      <w:r>
        <w:t xml:space="preserve">: falta puntuación (60) y la base no llega al 0 % con ventas de consenso.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G2</w:t>
      </w:r>
      <w:r>
        <w:t xml:space="preserve">: el objetivo se mueve con el precio. Al revisar, se deja fijo en 26,0 USD.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G6</w:t>
      </w:r>
      <w:r>
        <w:t xml:space="preserve">: bajista del −52 %. A 6x el EBITDA, posible si PepsiCo vuelve a vaciar almacenes y la marca sigue cayendo.</w:t>
      </w:r>
    </w:p>
    <w:p>
      <w:pPr>
        <w:pStyle w:val="BodyText"/>
      </w:pPr>
      <w:r>
        <w:rPr>
          <w:bCs/>
          <w:b/>
        </w:rPr>
        <w:t xml:space="preserve">Pruebas propias</w:t>
      </w:r>
      <w:r>
        <w:t xml:space="preserve"> </w:t>
      </w:r>
      <w:r>
        <w:t xml:space="preserve">(motor v11, cambiando un dato):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Variante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Puntuación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Ponderada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Señal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Vigente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49,3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−7,1 %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Posición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50,7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−7,1 %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Mantener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Crecimiento publicado (con compras)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−7,1 %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Mantener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25/50/25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49,3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+5,8 %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Ventas base de 3.800 M (+6 % sobre el consenso)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49,3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−0,7 %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Serie B como acciones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49,3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−6,5 %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Vender</w:t>
            </w:r>
          </w:p>
        </w:tc>
      </w:tr>
    </w:tbl>
    <w:p>
      <w:pPr>
        <w:pStyle w:val="BodyText"/>
      </w:pPr>
      <w:r>
        <w:rPr>
          <w:bCs/>
          <w:b/>
        </w:rPr>
        <w:t xml:space="preserve">Lectura honesta:</w:t>
      </w:r>
      <w:r>
        <w:t xml:space="preserve"> </w:t>
      </w:r>
      <w:r>
        <w:t xml:space="preserve">la frontera Vender/Mantener depende de decimales; la de no comprar, no. Para quien no la tiene, Vender y Mantener significan lo mismo: no se compra.</w:t>
      </w:r>
    </w:p>
    <w:p>
      <w:pPr>
        <w:pStyle w:val="BodyText"/>
      </w:pPr>
      <w:r>
        <w:rPr>
          <w:bCs/>
          <w:b/>
        </w:rPr>
        <w:t xml:space="preserve">Riesgos del negocio: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PepsiCo</w:t>
      </w:r>
      <w:r>
        <w:t xml:space="preserve">: concentración y cambios de inventario (arriba). Además, PepsiCo puede priorizar otras marcas en sus camiones.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Competencia</w:t>
      </w:r>
      <w:r>
        <w:t xml:space="preserve">: Monster crece un 20 % y gana cuota; Red Bull y las nuevas marcas presionan precio y espacio. Celsius tiene que subir promociones, y eso baja el margen.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Moda</w:t>
      </w:r>
      <w:r>
        <w:t xml:space="preserve">: la marca CELSIUS puede haber tocado techo; Alani Nu depende de ediciones limitadas.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Costes</w:t>
      </w:r>
      <w:r>
        <w:t xml:space="preserve">: aluminio y aranceles.</w:t>
      </w:r>
      <w:r>
        <w:t xml:space="preserve"> </w:t>
      </w:r>
      <w:r>
        <w:rPr>
          <w:bCs/>
          <w:b/>
        </w:rPr>
        <w:t xml:space="preserve">Litigios</w:t>
      </w:r>
      <w:r>
        <w:t xml:space="preserve">: demandas colectivas y un acuerdo de 24,6 M en el 1T26.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Riesgo de IA: bajo.</w:t>
      </w:r>
      <w:r>
        <w:t xml:space="preserve"> </w:t>
      </w:r>
      <w:r>
        <w:t xml:space="preserve">Es un producto físico de consumo que la IA no sustituye; la IA solo afecta a cómo se gestiona (la empresa la usa en su plan de transformación). No aporta ni resta a la tesis.</w:t>
      </w:r>
    </w:p>
    <w:p>
      <w:pPr>
        <w:pStyle w:val="BodyText"/>
      </w:pPr>
      <w:r>
        <w:rPr>
          <w:bCs/>
          <w:b/>
        </w:rPr>
        <w:t xml:space="preserve">Señales de venta concretas</w:t>
      </w:r>
      <w:r>
        <w:t xml:space="preserve"> </w:t>
      </w:r>
      <w:r>
        <w:t xml:space="preserve">(si se tuviera): la marca CELSIUS cae en tiendas tres trimestres seguidos; PepsiCo baja del 50 % de las ventas por una ruptura o cambia el acuerdo; el margen bruto baja del 46 %; Alani Nu deja de crecer en tiendas.</w:t>
      </w:r>
    </w:p>
    <w:bookmarkEnd w:id="30"/>
    <w:bookmarkStart w:id="31" w:name="catalizadores-con-fecha"/>
    <w:p>
      <w:pPr>
        <w:pStyle w:val="Heading2"/>
      </w:pPr>
      <w:r>
        <w:t xml:space="preserve">12. Catalizadores con fecha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3-nov-2026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Plazo de la demanda colectiva [14]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5-9 nov-2026 (estimada)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Resultados del 3T26: consenso 800 M (+10 %); plan de novedades de 2027 [11][12]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4T26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marca CELSIUS deja atrás el recorte de referencias; Alani Nu compara con el llenado de almacenes del 4T25 [12]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2S26-2027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Segunda línea propia en Carolina del Norte; posible lanzamiento internacional de Alani Nu [12]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Feb-2027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Resultados de 2026</w:t>
            </w:r>
          </w:p>
        </w:tc>
      </w:tr>
    </w:tbl>
    <w:bookmarkEnd w:id="31"/>
    <w:bookmarkStart w:id="32" w:name="encaje-en-cartera"/>
    <w:p>
      <w:pPr>
        <w:pStyle w:val="Heading2"/>
      </w:pPr>
      <w:r>
        <w:t xml:space="preserve">13. Encaje en cartera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Bolsillo growth lleno (~20 %)</w:t>
      </w:r>
      <w:r>
        <w:t xml:space="preserve">: Nu (+19 %), Axon (+36 %), Shopify (+18 %), Snowflake (+13 %) y Samsara (+15 %), al precio actual con v11. Liquidez ≈27 EUR: solo cabe sustituir. Alphabet se vende mañana y no cuenta como exposición a IA.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Celsius al precio actual: −3,5 %</w:t>
      </w:r>
      <w:r>
        <w:t xml:space="preserve"> </w:t>
      </w:r>
      <w:r>
        <w:t xml:space="preserve">(objetivo fijo de 26,0 USD frente a 26,94).</w:t>
      </w:r>
      <w:r>
        <w:t xml:space="preserve"> </w:t>
      </w:r>
      <w:r>
        <w:rPr>
          <w:bCs/>
          <w:b/>
        </w:rPr>
        <w:t xml:space="preserve">No es Comprar</w:t>
      </w:r>
      <w:r>
        <w:t xml:space="preserve">: no sustituye a ninguna y no entra en la lista de suplentes (MongoDB, Toast, Zscaler, Dexcom, Datadog, argenx, Natera y Saab). Queda con las de no comprar, junto a Insmed, Quanta Services o GE Vernova.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Qué aportaría</w:t>
      </w:r>
      <w:r>
        <w:t xml:space="preserve">: sería la única de consumo del bolsillo, sin relación con la IA. Diversifica, pero no compensa una rentabilidad esperada negativa.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Cuándo cambiaría</w:t>
      </w:r>
      <w:r>
        <w:t xml:space="preserve">: (a) que los resultados del 3T muestren a la marca CELSIUS estabilizada y el precio vuelva sobre su media de 200 sesiones (dos o tres señales más llevarían la puntuación por encima de 60); (b) y que el precio baje de</w:t>
      </w:r>
      <w:r>
        <w:t xml:space="preserve"> </w:t>
      </w:r>
      <w:r>
        <w:rPr>
          <w:bCs/>
          <w:b/>
        </w:rPr>
        <w:t xml:space="preserve">24,7 USD</w:t>
      </w:r>
      <w:r>
        <w:t xml:space="preserve"> </w:t>
      </w:r>
      <w:r>
        <w:t xml:space="preserve">(el «compra hasta») o el consenso de ventas suba. Las dos cosas a la vez; hoy no se da ninguna.</w:t>
      </w:r>
    </w:p>
    <w:p>
      <w:pPr>
        <w:numPr>
          <w:ilvl w:val="0"/>
          <w:numId w:val="1012"/>
        </w:numPr>
        <w:pStyle w:val="Compact"/>
      </w:pPr>
      <w:r>
        <w:t xml:space="preserve">No es comercio minorista (es fabricante de marca), así que no choca con las preferencias de</w:t>
      </w:r>
      <w:r>
        <w:t xml:space="preserve"> </w:t>
      </w:r>
      <w:r>
        <w:rPr>
          <w:rStyle w:val="VerbatimChar"/>
        </w:rPr>
        <w:t xml:space="preserve">MEMORIA.md</w:t>
      </w:r>
      <w:r>
        <w:t xml:space="preserve">. No tiene informe value.</w:t>
      </w:r>
    </w:p>
    <w:bookmarkEnd w:id="32"/>
    <w:bookmarkStart w:id="33" w:name="puntuación"/>
    <w:p>
      <w:pPr>
        <w:pStyle w:val="Heading2"/>
      </w:pPr>
      <w:r>
        <w:t xml:space="preserve">14. Puntuación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Bloque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Puntos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Máximo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A. Crecimiento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Orgánico a 12 meses +24 % (3), CAGR propio a 2 años 22 % (3), aceleración −30,7 pp (0)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B. Mercado y tecnología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9,3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Penetración 15 % (2), tecnología 2, posición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C. Cambio de tendencia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señales (compras de directivos y catalizador)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D. Economía unitaria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Margen bruto 48,8 % (3), regla del 40 = 39 (2), FCF creciente (5)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E. Caja y dilución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FCF positivo, recompras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F. Ejecución y dirección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Historial 2, dirección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49,3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100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Mejora de método propuesta</w:t>
      </w:r>
      <w:r>
        <w:t xml:space="preserve"> </w:t>
      </w:r>
      <w:r>
        <w:t xml:space="preserve">(pendiente de probar con el backtest, no aplicada): en las empresas que venden a través de un distribuidor (Celsius con PepsiCo, Monster con Coca-Cola), un campo opcional con el crecimiento en tiendas (</w:t>
      </w:r>
      <w:r>
        <w:rPr>
          <w:rStyle w:val="VerbatimChar"/>
        </w:rPr>
        <w:t xml:space="preserve">crecimiento.consumo_final_pct</w:t>
      </w:r>
      <w:r>
        <w:t xml:space="preserve">, de Circana o Nielsen). Si difiere de las ventas en más de 10 puntos, el motor avisaría de que hay inventario del distribuidor en juego y de que la aceleración del último trimestre no es fiable. En Celsius, las ventas orgánicas crecen un 2 % y las tiendas un 31 %. Junto con la de Howmet (usar el crecimiento orgánico cuando hay compras), evitaría depender del criterio del analista para separar compras, inventario y demanda real.</w:t>
      </w:r>
    </w:p>
    <w:bookmarkEnd w:id="33"/>
    <w:bookmarkStart w:id="34" w:name="fuentes"/>
    <w:p>
      <w:pPr>
        <w:pStyle w:val="Heading2"/>
      </w:pPr>
      <w:r>
        <w:t xml:space="preserve">Fuentes</w:t>
      </w:r>
    </w:p>
    <w:p>
      <w:pPr>
        <w:pStyle w:val="FirstParagraph"/>
      </w:pPr>
      <w:r>
        <w:t xml:space="preserve">[1] Celsius Holdings, 8-K de 6-ago-2026, EX-99.1: resultados del 2T26 (SEC, 0001341766-26-000047)</w:t>
      </w:r>
      <w:r>
        <w:t xml:space="preserve"> </w:t>
      </w:r>
      <w:r>
        <w:t xml:space="preserve">[2] Celsius, 8-K de 7-may-2026, EX-99.1: resultados del 1T26</w:t>
      </w:r>
      <w:r>
        <w:t xml:space="preserve"> </w:t>
      </w:r>
      <w:r>
        <w:t xml:space="preserve">[3] Celsius, 8-K de 26-feb-2026, EX-99.1: resultados de 2025 y del 4T25</w:t>
      </w:r>
      <w:r>
        <w:t xml:space="preserve"> </w:t>
      </w:r>
      <w:r>
        <w:t xml:space="preserve">[4] Celsius, 10-Q del 2T26 (6-ago-2026): clientes, pro forma, preferentes, recompras, flujo de caja</w:t>
      </w:r>
      <w:r>
        <w:t xml:space="preserve"> </w:t>
      </w:r>
      <w:r>
        <w:t xml:space="preserve">[5] Celsius, 10-K de 2025 (2-mar-2026): pro forma de 2024-2025, clientes, competidores</w:t>
      </w:r>
      <w:r>
        <w:t xml:space="preserve"> </w:t>
      </w:r>
      <w:r>
        <w:t xml:space="preserve">[6] Celsius, 10-Q del 3T25 y 8-K de 6-nov-2025</w:t>
      </w:r>
      <w:r>
        <w:t xml:space="preserve"> </w:t>
      </w:r>
      <w:r>
        <w:t xml:space="preserve">[7] SEC XBRL companyfacts (CIK 1341766)</w:t>
      </w:r>
      <w:r>
        <w:t xml:space="preserve"> </w:t>
      </w:r>
      <w:r>
        <w:t xml:space="preserve">[8] SEC, Formularios 4 de jul-sep-2026 (compras de Fieldly, DeSantis y Kravitz; transferencias J de la familia DeSantis)</w:t>
      </w:r>
      <w:r>
        <w:t xml:space="preserve"> </w:t>
      </w:r>
      <w:r>
        <w:t xml:space="preserve">[9] Yahoo Finance chart API (CELH y QQQ; cierre del 13-oct 27,93 USD; 26,94 USD a las 17:58 UTC del 14-oct)</w:t>
      </w:r>
      <w:r>
        <w:t xml:space="preserve"> </w:t>
      </w:r>
      <w:r>
        <w:t xml:space="preserve">[10] Nasdaq.com, histórico de CELH (cierre del 13-oct 27,93 USD)</w:t>
      </w:r>
      <w:r>
        <w:t xml:space="preserve"> </w:t>
      </w:r>
      <w:r>
        <w:t xml:space="preserve">[11] Yahoo Finance quoteSummary (14-oct-2026): consenso, revisiones, recomendaciones, precio objetivo medio de 41,90 USD, interés corto</w:t>
      </w:r>
      <w:r>
        <w:t xml:space="preserve"> </w:t>
      </w:r>
      <w:r>
        <w:t xml:space="preserve">[12] MarketBeat, «Celsius Q2 earnings call highlights» (6-ago-2026), y transcripción en Benzinga</w:t>
      </w:r>
      <w:r>
        <w:t xml:space="preserve"> </w:t>
      </w:r>
      <w:r>
        <w:t xml:space="preserve">[13] Quartz y StockStory (6-ago-2026); Defense World (14-oct-2026, TD Cowen); MarketBeat (13-oct-2026)</w:t>
      </w:r>
      <w:r>
        <w:t xml:space="preserve"> </w:t>
      </w:r>
      <w:r>
        <w:t xml:space="preserve">[14] CNN Markets (avisos de demanda colectiva, plazo el 3-nov-2026)</w:t>
      </w:r>
      <w:r>
        <w:t xml:space="preserve"> </w:t>
      </w:r>
      <w:r>
        <w:t xml:space="preserve">[15] TIKR; Motley Fool/AOL; Barchart (preguntas de los analistas en el 2T)</w:t>
      </w:r>
      <w:r>
        <w:t xml:space="preserve"> </w:t>
      </w:r>
      <w:r>
        <w:t xml:space="preserve">[16] Cálculo propio de EV, EBITDA de los 12 meses siguientes y serie histórica del múltiplo (2023-1S24 en parte de memoria)</w:t>
      </w:r>
      <w:r>
        <w:t xml:space="preserve"> </w:t>
      </w:r>
      <w:r>
        <w:t xml:space="preserve">[17] Monster Beverage, 8-K del 2T26 (SEC); Yahoo Finance, múltiplos de MNST, KDP, KO y PEP</w:t>
      </w:r>
      <w:r>
        <w:t xml:space="preserve"> </w:t>
      </w:r>
      <w:r>
        <w:t xml:space="preserve">[18] De memoria, sin verificar: precio de Alani Nu y sus ventas de 2024, cuotas de Monster y Red Bull, tamaño de la categoría</w:t>
      </w:r>
    </w:p>
    <w:p>
      <w:pPr>
        <w:pStyle w:val="BodyText"/>
      </w:pPr>
      <w:r>
        <w:rPr>
          <w:iCs/>
          <w:i/>
        </w:rPr>
        <w:t xml:space="preserve">Limitaciones: no hay consenso de EBITDA ni de ventas de 2028 verificable (estimaciones propias a partir del consenso de ventas de 2026-2027). El CAGR orgánico a 2 años y la aceleración son estimaciones con las notas de pro forma. La mediana de 3 años del múltiplo es en parte de memoria. Reddit, StockTwits y los foros en castellano no dieron hilos útiles.</w:t>
      </w:r>
    </w:p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2026-10-14T18:00:05Z</dcterms:created>
  <dcterms:modified xsi:type="dcterms:W3CDTF">2026-10-14T18:00:05Z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