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8f424950e57c4bff2b199544e7a5ce22e567aa9"/>
    <w:p>
      <w:pPr>
        <w:pStyle w:val="Heading1"/>
      </w:pPr>
      <w:r>
        <w:t xml:space="preserve">Howmet Aerospace (HWM): análisis growth, 14-oct-2026</w:t>
      </w:r>
    </w:p>
    <w:p>
      <w:pPr>
        <w:pStyle w:val="FirstParagraph"/>
      </w:pPr>
      <w:r>
        <w:rPr>
          <w:bCs/>
          <w:b/>
        </w:rPr>
        <w:t xml:space="preserve">Señal (método v11, vigente): Mantener (no comprar)</w:t>
      </w:r>
      <w:r>
        <w:t xml:space="preserve"> </w:t>
      </w:r>
      <w:r>
        <w:t xml:space="preserve">· Puntuación 59,7/100 · Señales de cambio de tendencia 2/8 · EV/beneficio bruto 25,7x · EV/EBITDA de los 12 meses siguientes 26,0x</w:t>
      </w:r>
      <w:r>
        <w:t xml:space="preserve"> </w:t>
      </w:r>
      <w:r>
        <w:t xml:space="preserve">Precio 216,84 USD (cierre del 13-oct) · Objetivo 12 m 195,0 USD (ponderada −9,8 %, base −7,0 %, bajista −53,0 %, alcista +27,9 %) · Compra hasta 186,2 USD</w:t>
      </w:r>
      <w:r>
        <w:t xml:space="preserve"> </w:t>
      </w:r>
      <w:r>
        <w:t xml:space="preserve">Peso orientativo:</w:t>
      </w:r>
      <w:r>
        <w:t xml:space="preserve"> </w:t>
      </w:r>
      <w:r>
        <w:rPr>
          <w:bCs/>
          <w:b/>
        </w:rPr>
        <w:t xml:space="preserve">no entra</w:t>
      </w:r>
      <w:r>
        <w:t xml:space="preserve"> </w:t>
      </w:r>
      <w:r>
        <w:t xml:space="preserve">(no es Comprar y el bolsillo growth está lleno).</w:t>
      </w:r>
      <w:r>
        <w:t xml:space="preserve"> </w:t>
      </w:r>
      <w:r>
        <w:t xml:space="preserve">Referencia v9: Mantener, ponderada −8,0 %, base −5,3 %, bajista −53,0 %, objetivo 199,0 USD, compra hasta 190,0 USD (v9 usa las ventas de la regla mecánica, 12.365 M en el base; v11 toma las del informe, 12.150 M, que son menores).</w:t>
      </w:r>
      <w:r>
        <w:t xml:space="preserve"> </w:t>
      </w:r>
      <w:r>
        <w:rPr>
          <w:bCs/>
          <w:b/>
        </w:rPr>
        <w:t xml:space="preserve">Al precio actual</w:t>
      </w:r>
      <w:r>
        <w:t xml:space="preserve"> </w:t>
      </w:r>
      <w:r>
        <w:t xml:space="preserve">(216,84 USD, 14-oct a las 17:42 UTC; objetivo del informe fijo en 195,0): ponderada</w:t>
      </w:r>
      <w:r>
        <w:t xml:space="preserve"> </w:t>
      </w:r>
      <w:r>
        <w:rPr>
          <w:bCs/>
          <w:b/>
        </w:rPr>
        <w:t xml:space="preserve">−9,8 %</w:t>
      </w:r>
      <w:r>
        <w:t xml:space="preserve">, base −7,0 %, bajista −53 %. El precio apenas se ha movido desde el cierre.</w:t>
      </w:r>
      <w:r>
        <w:t xml:space="preserve"> </w:t>
      </w:r>
      <w:r>
        <w:t xml:space="preserve">Alertas de robustez del motor (</w:t>
      </w:r>
      <w:r>
        <w:rPr>
          <w:rStyle w:val="VerbatimChar"/>
        </w:rPr>
        <w:t xml:space="preserve">calc.alertas</w:t>
      </w:r>
      <w:r>
        <w:t xml:space="preserve">): ninguna. Pruebas de</w:t>
      </w:r>
      <w:r>
        <w:t xml:space="preserve"> </w:t>
      </w:r>
      <w:r>
        <w:rPr>
          <w:rStyle w:val="VerbatimChar"/>
        </w:rPr>
        <w:t xml:space="preserve">robustez-growth</w:t>
      </w:r>
      <w:r>
        <w:t xml:space="preserve">:</w:t>
      </w:r>
      <w:r>
        <w:t xml:space="preserve"> </w:t>
      </w:r>
      <w:r>
        <w:rPr>
          <w:bCs/>
          <w:b/>
        </w:rPr>
        <w:t xml:space="preserve">SÓLIDA</w:t>
      </w:r>
      <w:r>
        <w:t xml:space="preserve"> </w:t>
      </w:r>
      <w:r>
        <w:t xml:space="preserve">(Mantener en v11, v7, con las ventas del analista y con 25/50/25; Vender con 35/50/15).</w:t>
      </w:r>
    </w:p>
    <w:bookmarkStart w:id="20" w:name="la-tesis-en-cinco-líneas"/>
    <w:p>
      <w:pPr>
        <w:pStyle w:val="Heading2"/>
      </w:pPr>
      <w:r>
        <w:t xml:space="preserve">1. La tesis en cinco líneas</w:t>
      </w:r>
    </w:p>
    <w:p>
      <w:pPr>
        <w:numPr>
          <w:ilvl w:val="0"/>
          <w:numId w:val="1001"/>
        </w:numPr>
        <w:pStyle w:val="Compact"/>
      </w:pPr>
      <w:r>
        <w:t xml:space="preserve">Howmet es uno de los dos grandes del mundo en piezas críticas de motor de avión: álabes de turbina de monocristal, anillos y fijaciones de titanio. Comparte casi todo el mercado con PCC, de Berkshire Hathaway. Crece un 18 % en 12 meses y un 24 % en el 2T26 (orgánico +21 %), con un margen EBITDA récord del 32 % y un FCF del 20 % de las ventas [1][5].</w:t>
      </w:r>
    </w:p>
    <w:p>
      <w:pPr>
        <w:numPr>
          <w:ilvl w:val="0"/>
          <w:numId w:val="1001"/>
        </w:numPr>
        <w:pStyle w:val="Compact"/>
      </w:pPr>
      <w:r>
        <w:t xml:space="preserve">Ejecuta de forma impecable. Lleva ocho trimestres seguidos batiendo el techo de su guía y ha subido la de 2026 dos veces (de 9.100 a 10.050 M). Recompra acciones (−1 % al año) y tiene una deuda moderada (1,4x EBITDA tras pagar CAM) [1][2][3].</w:t>
      </w:r>
    </w:p>
    <w:p>
      <w:pPr>
        <w:numPr>
          <w:ilvl w:val="0"/>
          <w:numId w:val="1001"/>
        </w:numPr>
        <w:pStyle w:val="Compact"/>
      </w:pPr>
      <w:r>
        <w:t xml:space="preserve">El problema es el precio. Cuesta 26x el EBITDA de los 12 meses siguientes y ~41x el beneficio de 2026, por encima de su mediana de 3 años (~23x) y de sus comparables (~19-21x). Además, la acción ha caído un 26 % desde agosto: SpaceX fundirá sus propios álabes y GE Aerospace (uno de sus dos mayores clientes) compra CPP, un rival [8][9][10].</w:t>
      </w:r>
    </w:p>
    <w:p>
      <w:pPr>
        <w:numPr>
          <w:ilvl w:val="0"/>
          <w:numId w:val="1001"/>
        </w:numPr>
        <w:pStyle w:val="Compact"/>
      </w:pPr>
      <w:r>
        <w:t xml:space="preserve">El método da</w:t>
      </w:r>
      <w:r>
        <w:t xml:space="preserve"> </w:t>
      </w:r>
      <w:r>
        <w:rPr>
          <w:bCs/>
          <w:b/>
        </w:rPr>
        <w:t xml:space="preserve">Mantener, cerca de Vender</w:t>
      </w:r>
      <w:r>
        <w:t xml:space="preserve">. La ponderada es −9,8 % (el listón de venta está en −10 %), la base −7 % y el bajista −53 %. La puntuación, 59,7, se queda a 0,3 puntos del mínimo de 60. El motor proyecta que el crecimiento baja del 18,6 % (que incluye la compra de CAM) al 12,5 %, y eso rebaja el múltiplo un 18 %.</w:t>
      </w:r>
    </w:p>
    <w:p>
      <w:pPr>
        <w:numPr>
          <w:ilvl w:val="0"/>
          <w:numId w:val="1001"/>
        </w:numPr>
        <w:pStyle w:val="Compact"/>
      </w:pPr>
      <w:r>
        <w:t xml:space="preserve">Conclusión: es un negocio excelente a un precio que ya descuenta crecer ~15 % anual durante 10 años. No entra en cartera ni en la lista de suplentes. Pasaría a interesar por debajo de ~186 USD, y aun así con poca rentabilidad (+5 %).</w:t>
      </w:r>
    </w:p>
    <w:bookmarkEnd w:id="20"/>
    <w:bookmarkStart w:id="21" w:name="negocio-y-tecnología"/>
    <w:p>
      <w:pPr>
        <w:pStyle w:val="Heading2"/>
      </w:pPr>
      <w:r>
        <w:t xml:space="preserve">2. Negocio y tecnología</w:t>
      </w:r>
    </w:p>
    <w:p>
      <w:pPr>
        <w:pStyle w:val="FirstParagraph"/>
      </w:pPr>
      <w:r>
        <w:t xml:space="preserve">Howmet (Pittsburgh; la antigua Arconic, separada en 2020) vende a fabricantes de motores, aviones, turbinas de gas y camiones. Lo hace con cuatro segmentos (ventas del 2T26) [1][5]:</w:t>
      </w:r>
      <w:r>
        <w:t xml:space="preserve"> </w:t>
      </w:r>
      <w:r>
        <w:t xml:space="preserve">-</w:t>
      </w:r>
      <w:r>
        <w:t xml:space="preserve"> </w:t>
      </w:r>
      <w:r>
        <w:rPr>
          <w:bCs/>
          <w:b/>
        </w:rPr>
        <w:t xml:space="preserve">Engine Products</w:t>
      </w:r>
      <w:r>
        <w:t xml:space="preserve"> </w:t>
      </w:r>
      <w:r>
        <w:t xml:space="preserve">(54 %): álabes y piezas estructurales fundidas de superaleación de níquel y titanio, anillos laminados y discos para motores de avión y turbinas de gas industriales. Ventas +32 % y margen EBITDA del 37,7 %.</w:t>
      </w:r>
      <w:r>
        <w:t xml:space="preserve"> </w:t>
      </w:r>
      <w:r>
        <w:t xml:space="preserve">-</w:t>
      </w:r>
      <w:r>
        <w:t xml:space="preserve"> </w:t>
      </w:r>
      <w:r>
        <w:rPr>
          <w:bCs/>
          <w:b/>
        </w:rPr>
        <w:t xml:space="preserve">Fastening Systems</w:t>
      </w:r>
      <w:r>
        <w:t xml:space="preserve"> </w:t>
      </w:r>
      <w:r>
        <w:t xml:space="preserve">(23 %): fijaciones aeroespaciales (titanio, acero, níquel) para estructuras de material compuesto. +37 % con las compras de CAM (1.800 M, abril de 2026) y Brunner. Margen del 30,1 %.</w:t>
      </w:r>
      <w:r>
        <w:t xml:space="preserve"> </w:t>
      </w:r>
      <w:r>
        <w:t xml:space="preserve">-</w:t>
      </w:r>
      <w:r>
        <w:t xml:space="preserve"> </w:t>
      </w:r>
      <w:r>
        <w:rPr>
          <w:bCs/>
          <w:b/>
        </w:rPr>
        <w:t xml:space="preserve">Engineered Structures</w:t>
      </w:r>
      <w:r>
        <w:t xml:space="preserve"> </w:t>
      </w:r>
      <w:r>
        <w:t xml:space="preserve">(11 %): piezas forjadas y mecanizadas de fuselaje y tren. −13 % por la venta de la planta de discos de Savannah (230 M, marzo). Margen del 23,8 %.</w:t>
      </w:r>
      <w:r>
        <w:t xml:space="preserve"> </w:t>
      </w:r>
      <w:r>
        <w:t xml:space="preserve">-</w:t>
      </w:r>
      <w:r>
        <w:t xml:space="preserve"> </w:t>
      </w:r>
      <w:r>
        <w:rPr>
          <w:bCs/>
          <w:b/>
        </w:rPr>
        <w:t xml:space="preserve">Forged Wheels</w:t>
      </w:r>
      <w:r>
        <w:t xml:space="preserve"> </w:t>
      </w:r>
      <w:r>
        <w:t xml:space="preserve">(12 %): llantas de aluminio forjado para camiones. +14 %, con el mercado norteamericano recuperándose.</w:t>
      </w:r>
    </w:p>
    <w:p>
      <w:pPr>
        <w:pStyle w:val="BodyText"/>
      </w:pPr>
      <w:r>
        <w:t xml:space="preserve">Por mercado (2025): aviación comercial 53 %, defensa 17 %, transporte comercial 15 % y turbinas de gas 11 % [5]. Las turbinas de gas crecen un 38 % en el 2T26 por la demanda eléctrica de los centros de datos, y la aviación comercial un 28 % [1].</w:t>
      </w:r>
    </w:p>
    <w:p>
      <w:pPr>
        <w:pStyle w:val="BodyText"/>
      </w:pPr>
      <w:r>
        <w:t xml:space="preserve">Qué tiene de diferente: los álabes de primera etapa con refrigeración y recubrimientos avanzados se fabrican en muy pocas fundiciones del mundo. Cada pieza se certifica para cada motor durante años, así que cambiar de proveedor es lento y caro. Tiene ~1.200 patentes [1][5].</w:t>
      </w:r>
      <w:r>
        <w:t xml:space="preserve"> </w:t>
      </w:r>
      <w:r>
        <w:rPr>
          <w:bCs/>
          <w:b/>
        </w:rPr>
        <w:t xml:space="preserve">Tecnología 4/5</w:t>
      </w:r>
      <w:r>
        <w:t xml:space="preserve">: es difícil de replicar en 3 años, pero SpaceX (fundición en Bastrop) y GE con CPP demuestran que hay quien lo intenta [8].</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Periodo</w:t>
            </w:r>
          </w:p>
        </w:tc>
        <w:tc>
          <w:tcPr/>
          <w:p>
            <w:pPr>
              <w:pStyle w:val="Compact"/>
              <w:jc w:val="left"/>
            </w:pPr>
            <w:r>
              <w:t xml:space="preserve">Ventas (M USD)</w:t>
            </w:r>
          </w:p>
        </w:tc>
        <w:tc>
          <w:tcPr/>
          <w:p>
            <w:pPr>
              <w:pStyle w:val="Compact"/>
              <w:jc w:val="left"/>
            </w:pPr>
            <w:r>
              <w:t xml:space="preserve">Crec. interanual</w:t>
            </w:r>
          </w:p>
        </w:tc>
        <w:tc>
          <w:tcPr/>
          <w:p>
            <w:pPr>
              <w:pStyle w:val="Compact"/>
              <w:jc w:val="left"/>
            </w:pPr>
            <w:r>
              <w:t xml:space="preserve">Margen EBITDA aj.</w:t>
            </w:r>
          </w:p>
        </w:tc>
        <w:tc>
          <w:tcPr/>
          <w:p>
            <w:pPr>
              <w:pStyle w:val="Compact"/>
              <w:jc w:val="left"/>
            </w:pPr>
            <w:r>
              <w:t xml:space="preserve">Fuente</w:t>
            </w:r>
          </w:p>
        </w:tc>
      </w:tr>
      <w:tr>
        <w:tc>
          <w:tcPr/>
          <w:p>
            <w:pPr>
              <w:pStyle w:val="Compact"/>
              <w:jc w:val="left"/>
            </w:pPr>
            <w:r>
              <w:t xml:space="preserve">2023</w:t>
            </w:r>
          </w:p>
        </w:tc>
        <w:tc>
          <w:tcPr/>
          <w:p>
            <w:pPr>
              <w:pStyle w:val="Compact"/>
              <w:jc w:val="left"/>
            </w:pPr>
            <w:r>
              <w:t xml:space="preserve">6.640</w:t>
            </w:r>
          </w:p>
        </w:tc>
        <w:tc>
          <w:tcPr/>
          <w:p>
            <w:pPr>
              <w:pStyle w:val="Compact"/>
              <w:jc w:val="left"/>
            </w:pPr>
            <w:r>
              <w:t xml:space="preserve">+17 %</w:t>
            </w:r>
          </w:p>
        </w:tc>
        <w:tc>
          <w:tcPr/>
          <w:p>
            <w:pPr>
              <w:pStyle w:val="Compact"/>
              <w:jc w:val="left"/>
            </w:pPr>
            <w:r>
              <w:t xml:space="preserve">~22,7 %</w:t>
            </w:r>
          </w:p>
        </w:tc>
        <w:tc>
          <w:tcPr/>
          <w:p>
            <w:pPr>
              <w:pStyle w:val="Compact"/>
              <w:jc w:val="left"/>
            </w:pPr>
            <w:r>
              <w:t xml:space="preserve">[16]</w:t>
            </w:r>
          </w:p>
        </w:tc>
      </w:tr>
      <w:tr>
        <w:tc>
          <w:tcPr/>
          <w:p>
            <w:pPr>
              <w:pStyle w:val="Compact"/>
              <w:jc w:val="left"/>
            </w:pPr>
            <w:r>
              <w:t xml:space="preserve">2024</w:t>
            </w:r>
          </w:p>
        </w:tc>
        <w:tc>
          <w:tcPr/>
          <w:p>
            <w:pPr>
              <w:pStyle w:val="Compact"/>
              <w:jc w:val="left"/>
            </w:pPr>
            <w:r>
              <w:t xml:space="preserve">7.430</w:t>
            </w:r>
          </w:p>
        </w:tc>
        <w:tc>
          <w:tcPr/>
          <w:p>
            <w:pPr>
              <w:pStyle w:val="Compact"/>
              <w:jc w:val="left"/>
            </w:pPr>
            <w:r>
              <w:t xml:space="preserve">+11,9 %</w:t>
            </w:r>
          </w:p>
        </w:tc>
        <w:tc>
          <w:tcPr/>
          <w:p>
            <w:pPr>
              <w:pStyle w:val="Compact"/>
              <w:jc w:val="left"/>
            </w:pPr>
            <w:r>
              <w:t xml:space="preserve">25,8 %</w:t>
            </w:r>
          </w:p>
        </w:tc>
        <w:tc>
          <w:tcPr/>
          <w:p>
            <w:pPr>
              <w:pStyle w:val="Compact"/>
              <w:jc w:val="left"/>
            </w:pPr>
            <w:r>
              <w:t xml:space="preserve">[4][16]</w:t>
            </w:r>
          </w:p>
        </w:tc>
      </w:tr>
      <w:tr>
        <w:tc>
          <w:tcPr/>
          <w:p>
            <w:pPr>
              <w:pStyle w:val="Compact"/>
              <w:jc w:val="left"/>
            </w:pPr>
            <w:r>
              <w:t xml:space="preserve">2025</w:t>
            </w:r>
          </w:p>
        </w:tc>
        <w:tc>
          <w:tcPr/>
          <w:p>
            <w:pPr>
              <w:pStyle w:val="Compact"/>
              <w:jc w:val="left"/>
            </w:pPr>
            <w:r>
              <w:t xml:space="preserve">8.252</w:t>
            </w:r>
          </w:p>
        </w:tc>
        <w:tc>
          <w:tcPr/>
          <w:p>
            <w:pPr>
              <w:pStyle w:val="Compact"/>
              <w:jc w:val="left"/>
            </w:pPr>
            <w:r>
              <w:t xml:space="preserve">+11,1 %</w:t>
            </w:r>
          </w:p>
        </w:tc>
        <w:tc>
          <w:tcPr/>
          <w:p>
            <w:pPr>
              <w:pStyle w:val="Compact"/>
              <w:jc w:val="left"/>
            </w:pPr>
            <w:r>
              <w:t xml:space="preserve">29,3 %</w:t>
            </w:r>
          </w:p>
        </w:tc>
        <w:tc>
          <w:tcPr/>
          <w:p>
            <w:pPr>
              <w:pStyle w:val="Compact"/>
              <w:jc w:val="left"/>
            </w:pPr>
            <w:r>
              <w:t xml:space="preserve">[3][16]</w:t>
            </w:r>
          </w:p>
        </w:tc>
      </w:tr>
      <w:tr>
        <w:tc>
          <w:tcPr/>
          <w:p>
            <w:pPr>
              <w:pStyle w:val="Compact"/>
              <w:jc w:val="left"/>
            </w:pPr>
            <w:r>
              <w:t xml:space="preserve">2T25</w:t>
            </w:r>
          </w:p>
        </w:tc>
        <w:tc>
          <w:tcPr/>
          <w:p>
            <w:pPr>
              <w:pStyle w:val="Compact"/>
              <w:jc w:val="left"/>
            </w:pPr>
            <w:r>
              <w:t xml:space="preserve">2.053</w:t>
            </w:r>
          </w:p>
        </w:tc>
        <w:tc>
          <w:tcPr/>
          <w:p>
            <w:pPr>
              <w:pStyle w:val="Compact"/>
              <w:jc w:val="left"/>
            </w:pPr>
            <w:r>
              <w:t xml:space="preserve">+9,2 %</w:t>
            </w:r>
          </w:p>
        </w:tc>
        <w:tc>
          <w:tcPr/>
          <w:p>
            <w:pPr>
              <w:pStyle w:val="Compact"/>
              <w:jc w:val="left"/>
            </w:pPr>
            <w:r>
              <w:t xml:space="preserve">28,7 %</w:t>
            </w:r>
          </w:p>
        </w:tc>
        <w:tc>
          <w:tcPr/>
          <w:p>
            <w:pPr>
              <w:pStyle w:val="Compact"/>
              <w:jc w:val="left"/>
            </w:pPr>
            <w:r>
              <w:t xml:space="preserve">[1]</w:t>
            </w:r>
          </w:p>
        </w:tc>
      </w:tr>
      <w:tr>
        <w:tc>
          <w:tcPr/>
          <w:p>
            <w:pPr>
              <w:pStyle w:val="Compact"/>
              <w:jc w:val="left"/>
            </w:pPr>
            <w:r>
              <w:t xml:space="preserve">3T25</w:t>
            </w:r>
          </w:p>
        </w:tc>
        <w:tc>
          <w:tcPr/>
          <w:p>
            <w:pPr>
              <w:pStyle w:val="Compact"/>
              <w:jc w:val="left"/>
            </w:pPr>
            <w:r>
              <w:t xml:space="preserve">2.089</w:t>
            </w:r>
          </w:p>
        </w:tc>
        <w:tc>
          <w:tcPr/>
          <w:p>
            <w:pPr>
              <w:pStyle w:val="Compact"/>
              <w:jc w:val="left"/>
            </w:pPr>
            <w:r>
              <w:t xml:space="preserve">+13,8 %</w:t>
            </w:r>
          </w:p>
        </w:tc>
        <w:tc>
          <w:tcPr/>
          <w:p>
            <w:pPr>
              <w:pStyle w:val="Compact"/>
              <w:jc w:val="left"/>
            </w:pPr>
            <w:r>
              <w:t xml:space="preserve">29,4 %</w:t>
            </w:r>
          </w:p>
        </w:tc>
        <w:tc>
          <w:tcPr/>
          <w:p>
            <w:pPr>
              <w:pStyle w:val="Compact"/>
              <w:jc w:val="left"/>
            </w:pPr>
            <w:r>
              <w:t xml:space="preserve">[4][16]</w:t>
            </w:r>
          </w:p>
        </w:tc>
      </w:tr>
      <w:tr>
        <w:tc>
          <w:tcPr/>
          <w:p>
            <w:pPr>
              <w:pStyle w:val="Compact"/>
              <w:jc w:val="left"/>
            </w:pPr>
            <w:r>
              <w:t xml:space="preserve">4T25</w:t>
            </w:r>
          </w:p>
        </w:tc>
        <w:tc>
          <w:tcPr/>
          <w:p>
            <w:pPr>
              <w:pStyle w:val="Compact"/>
              <w:jc w:val="left"/>
            </w:pPr>
            <w:r>
              <w:t xml:space="preserve">2.168</w:t>
            </w:r>
          </w:p>
        </w:tc>
        <w:tc>
          <w:tcPr/>
          <w:p>
            <w:pPr>
              <w:pStyle w:val="Compact"/>
              <w:jc w:val="left"/>
            </w:pPr>
            <w:r>
              <w:t xml:space="preserve">+14,6 %</w:t>
            </w:r>
          </w:p>
        </w:tc>
        <w:tc>
          <w:tcPr/>
          <w:p>
            <w:pPr>
              <w:pStyle w:val="Compact"/>
              <w:jc w:val="left"/>
            </w:pPr>
            <w:r>
              <w:t xml:space="preserve">30,1 %</w:t>
            </w:r>
          </w:p>
        </w:tc>
        <w:tc>
          <w:tcPr/>
          <w:p>
            <w:pPr>
              <w:pStyle w:val="Compact"/>
              <w:jc w:val="left"/>
            </w:pPr>
            <w:r>
              <w:t xml:space="preserve">[3]</w:t>
            </w:r>
          </w:p>
        </w:tc>
      </w:tr>
      <w:tr>
        <w:tc>
          <w:tcPr/>
          <w:p>
            <w:pPr>
              <w:pStyle w:val="Compact"/>
              <w:jc w:val="left"/>
            </w:pPr>
            <w:r>
              <w:t xml:space="preserve">1T26</w:t>
            </w:r>
          </w:p>
        </w:tc>
        <w:tc>
          <w:tcPr/>
          <w:p>
            <w:pPr>
              <w:pStyle w:val="Compact"/>
              <w:jc w:val="left"/>
            </w:pPr>
            <w:r>
              <w:t xml:space="preserve">2.313</w:t>
            </w:r>
          </w:p>
        </w:tc>
        <w:tc>
          <w:tcPr/>
          <w:p>
            <w:pPr>
              <w:pStyle w:val="Compact"/>
              <w:jc w:val="left"/>
            </w:pPr>
            <w:r>
              <w:t xml:space="preserve">+19,1 %</w:t>
            </w:r>
          </w:p>
        </w:tc>
        <w:tc>
          <w:tcPr/>
          <w:p>
            <w:pPr>
              <w:pStyle w:val="Compact"/>
              <w:jc w:val="left"/>
            </w:pPr>
            <w:r>
              <w:t xml:space="preserve">32,0 %</w:t>
            </w:r>
          </w:p>
        </w:tc>
        <w:tc>
          <w:tcPr/>
          <w:p>
            <w:pPr>
              <w:pStyle w:val="Compact"/>
              <w:jc w:val="left"/>
            </w:pPr>
            <w:r>
              <w:t xml:space="preserve">[2]</w:t>
            </w:r>
          </w:p>
        </w:tc>
      </w:tr>
      <w:tr>
        <w:tc>
          <w:tcPr/>
          <w:p>
            <w:pPr>
              <w:pStyle w:val="Compact"/>
              <w:jc w:val="left"/>
            </w:pPr>
            <w:r>
              <w:t xml:space="preserve">2T26</w:t>
            </w:r>
          </w:p>
        </w:tc>
        <w:tc>
          <w:tcPr/>
          <w:p>
            <w:pPr>
              <w:pStyle w:val="Compact"/>
              <w:jc w:val="left"/>
            </w:pPr>
            <w:r>
              <w:t xml:space="preserve">2.547</w:t>
            </w:r>
          </w:p>
        </w:tc>
        <w:tc>
          <w:tcPr/>
          <w:p>
            <w:pPr>
              <w:pStyle w:val="Compact"/>
              <w:jc w:val="left"/>
            </w:pPr>
            <w:r>
              <w:t xml:space="preserve">+24,1 % (orgánico +21 %)</w:t>
            </w:r>
          </w:p>
        </w:tc>
        <w:tc>
          <w:tcPr/>
          <w:p>
            <w:pPr>
              <w:pStyle w:val="Compact"/>
              <w:jc w:val="left"/>
            </w:pPr>
            <w:r>
              <w:t xml:space="preserve">32,1 %</w:t>
            </w:r>
          </w:p>
        </w:tc>
        <w:tc>
          <w:tcPr/>
          <w:p>
            <w:pPr>
              <w:pStyle w:val="Compact"/>
              <w:jc w:val="left"/>
            </w:pPr>
            <w:r>
              <w:t xml:space="preserve">[1]</w:t>
            </w:r>
          </w:p>
        </w:tc>
      </w:tr>
      <w:tr>
        <w:tc>
          <w:tcPr/>
          <w:p>
            <w:pPr>
              <w:pStyle w:val="Compact"/>
              <w:jc w:val="left"/>
            </w:pPr>
            <w:r>
              <w:t xml:space="preserve">Últimos 12 meses (jul-25 a jun-26)</w:t>
            </w:r>
          </w:p>
        </w:tc>
        <w:tc>
          <w:tcPr/>
          <w:p>
            <w:pPr>
              <w:pStyle w:val="Compact"/>
              <w:jc w:val="left"/>
            </w:pPr>
            <w:r>
              <w:t xml:space="preserve">9.117</w:t>
            </w:r>
          </w:p>
        </w:tc>
        <w:tc>
          <w:tcPr/>
          <w:p>
            <w:pPr>
              <w:pStyle w:val="Compact"/>
              <w:jc w:val="left"/>
            </w:pPr>
            <w:r>
              <w:t xml:space="preserve">+18,1 %</w:t>
            </w:r>
          </w:p>
        </w:tc>
        <w:tc>
          <w:tcPr/>
          <w:p>
            <w:pPr>
              <w:pStyle w:val="Compact"/>
              <w:jc w:val="left"/>
            </w:pPr>
            <w:r>
              <w:t xml:space="preserve">31,0 %</w:t>
            </w:r>
          </w:p>
        </w:tc>
        <w:tc>
          <w:tcPr/>
          <w:p>
            <w:pPr>
              <w:pStyle w:val="Compact"/>
              <w:jc w:val="left"/>
            </w:pPr>
            <w:r>
              <w:t xml:space="preserve">cálculo [16]</w:t>
            </w:r>
          </w:p>
        </w:tc>
      </w:tr>
      <w:tr>
        <w:tc>
          <w:tcPr/>
          <w:p>
            <w:pPr>
              <w:pStyle w:val="Compact"/>
              <w:jc w:val="left"/>
            </w:pPr>
            <w:r>
              <w:t xml:space="preserve">2026 guía / consenso</w:t>
            </w:r>
          </w:p>
        </w:tc>
        <w:tc>
          <w:tcPr/>
          <w:p>
            <w:pPr>
              <w:pStyle w:val="Compact"/>
              <w:jc w:val="left"/>
            </w:pPr>
            <w:r>
              <w:t xml:space="preserve">10.050 / 10.112</w:t>
            </w:r>
          </w:p>
        </w:tc>
        <w:tc>
          <w:tcPr/>
          <w:p>
            <w:pPr>
              <w:pStyle w:val="Compact"/>
              <w:jc w:val="left"/>
            </w:pPr>
            <w:r>
              <w:t xml:space="preserve">+21,8 % / +22,5 %</w:t>
            </w:r>
          </w:p>
        </w:tc>
        <w:tc>
          <w:tcPr/>
          <w:p>
            <w:pPr>
              <w:pStyle w:val="Compact"/>
              <w:jc w:val="left"/>
            </w:pPr>
            <w:r>
              <w:t xml:space="preserve">32,1 %</w:t>
            </w:r>
          </w:p>
        </w:tc>
        <w:tc>
          <w:tcPr/>
          <w:p>
            <w:pPr>
              <w:pStyle w:val="Compact"/>
              <w:jc w:val="left"/>
            </w:pPr>
            <w:r>
              <w:t xml:space="preserve">[1][6]</w:t>
            </w:r>
          </w:p>
        </w:tc>
      </w:tr>
      <w:tr>
        <w:tc>
          <w:tcPr/>
          <w:p>
            <w:pPr>
              <w:pStyle w:val="Compact"/>
              <w:jc w:val="left"/>
            </w:pPr>
            <w:r>
              <w:t xml:space="preserve">2027 consenso</w:t>
            </w:r>
          </w:p>
        </w:tc>
        <w:tc>
          <w:tcPr/>
          <w:p>
            <w:pPr>
              <w:pStyle w:val="Compact"/>
              <w:jc w:val="left"/>
            </w:pPr>
            <w:r>
              <w:t xml:space="preserve">11.541</w:t>
            </w:r>
          </w:p>
        </w:tc>
        <w:tc>
          <w:tcPr/>
          <w:p>
            <w:pPr>
              <w:pStyle w:val="Compact"/>
              <w:jc w:val="left"/>
            </w:pPr>
            <w:r>
              <w:t xml:space="preserve">+14,1 %</w:t>
            </w:r>
          </w:p>
        </w:tc>
        <w:tc>
          <w:tcPr/>
          <w:p>
            <w:pPr>
              <w:pStyle w:val="Compact"/>
              <w:jc w:val="left"/>
            </w:pPr>
            <w:r>
              <w:t xml:space="preserve">~32,8 % (implícito)</w:t>
            </w:r>
          </w:p>
        </w:tc>
        <w:tc>
          <w:tcPr/>
          <w:p>
            <w:pPr>
              <w:pStyle w:val="Compact"/>
              <w:jc w:val="left"/>
            </w:pPr>
            <w:r>
              <w:t xml:space="preserve">[6][7]</w:t>
            </w:r>
          </w:p>
        </w:tc>
      </w:tr>
      <w:tr>
        <w:tc>
          <w:tcPr/>
          <w:p>
            <w:pPr>
              <w:pStyle w:val="Compact"/>
              <w:jc w:val="left"/>
            </w:pPr>
            <w:r>
              <w:t xml:space="preserve">Ventana objetivo (12 m a jun-2028), consenso</w:t>
            </w:r>
          </w:p>
        </w:tc>
        <w:tc>
          <w:tcPr/>
          <w:p>
            <w:pPr>
              <w:pStyle w:val="Compact"/>
              <w:jc w:val="left"/>
            </w:pPr>
            <w:r>
              <w:t xml:space="preserve">~11.960</w:t>
            </w:r>
          </w:p>
        </w:tc>
        <w:tc>
          <w:tcPr/>
          <w:p>
            <w:pPr>
              <w:pStyle w:val="Compact"/>
              <w:jc w:val="left"/>
            </w:pPr>
            <w:r>
              <w:t xml:space="preserve">—</w:t>
            </w:r>
          </w:p>
        </w:tc>
        <w:tc>
          <w:tcPr/>
          <w:p>
            <w:pPr>
              <w:pStyle w:val="Compact"/>
              <w:jc w:val="left"/>
            </w:pPr>
            <w:r>
              <w:t xml:space="preserve">—</w:t>
            </w:r>
          </w:p>
        </w:tc>
        <w:tc>
          <w:tcPr/>
          <w:p>
            <w:pPr>
              <w:pStyle w:val="Compact"/>
              <w:jc w:val="left"/>
            </w:pPr>
            <w:r>
              <w:t xml:space="preserve">cálculo [7]</w:t>
            </w:r>
          </w:p>
        </w:tc>
      </w:tr>
    </w:tbl>
    <w:p>
      <w:pPr>
        <w:numPr>
          <w:ilvl w:val="0"/>
          <w:numId w:val="1002"/>
        </w:numPr>
        <w:pStyle w:val="Compact"/>
      </w:pPr>
      <w:r>
        <w:rPr>
          <w:bCs/>
          <w:b/>
        </w:rPr>
        <w:t xml:space="preserve">Aceleración: +9,9 pp.</w:t>
      </w:r>
      <w:r>
        <w:t xml:space="preserve"> </w:t>
      </w:r>
      <w:r>
        <w:t xml:space="preserve">El 2T26 creció +24,1 %, frente a una media del +14,2 % en los cuatro trimestres anteriores. Unos 3 pp vienen de comprar CAM (orgánico +21 %), y aun así la aceleración es clara.</w:t>
      </w:r>
    </w:p>
    <w:p>
      <w:pPr>
        <w:numPr>
          <w:ilvl w:val="0"/>
          <w:numId w:val="1002"/>
        </w:numPr>
        <w:pStyle w:val="Compact"/>
      </w:pPr>
      <w:r>
        <w:rPr>
          <w:bCs/>
          <w:b/>
        </w:rPr>
        <w:t xml:space="preserve">CAGR propio a 2 años: 14,5 %</w:t>
      </w:r>
      <w:r>
        <w:t xml:space="preserve"> </w:t>
      </w:r>
      <w:r>
        <w:t xml:space="preserve">(de 9.117 M a ~11.960 M en la misma ventana, según el consenso). Ojo: el consenso de 2028 lo cubren pocos analistas y no he podido verificarlo [7].</w:t>
      </w:r>
    </w:p>
    <w:p>
      <w:pPr>
        <w:numPr>
          <w:ilvl w:val="0"/>
          <w:numId w:val="1002"/>
        </w:numPr>
        <w:pStyle w:val="Compact"/>
      </w:pPr>
      <w:r>
        <w:rPr>
          <w:bCs/>
          <w:b/>
        </w:rPr>
        <w:t xml:space="preserve">Retención neta</w:t>
      </w:r>
      <w:r>
        <w:t xml:space="preserve">: no aplica. Como sustitutos, la cartera de pedidos de Airbus y Boeing supera los diez años, y los recambios de motor siguen subiendo [1].</w:t>
      </w:r>
    </w:p>
    <w:p>
      <w:pPr>
        <w:numPr>
          <w:ilvl w:val="0"/>
          <w:numId w:val="1002"/>
        </w:numPr>
        <w:pStyle w:val="Compact"/>
      </w:pPr>
      <w:r>
        <w:rPr>
          <w:bCs/>
          <w:b/>
        </w:rPr>
        <w:t xml:space="preserve">Guía</w:t>
      </w:r>
      <w:r>
        <w:t xml:space="preserve">: para 2026, ventas de 10.000-10.100 M. La guía empezó en 9.100 M (feb), subió a 9.650 M (may) y luego a 10.050 M (ago). No hay guía de 2027. El crecimiento implícito en el 2S26 es del</w:t>
      </w:r>
      <w:r>
        <w:t xml:space="preserve"> </w:t>
      </w:r>
      <w:r>
        <w:rPr>
          <w:bCs/>
          <w:b/>
        </w:rPr>
        <w:t xml:space="preserve">+21,9 %</w:t>
      </w:r>
      <w:r>
        <w:t xml:space="preserve">, que es el valor de</w:t>
      </w:r>
      <w:r>
        <w:t xml:space="preserve"> </w:t>
      </w:r>
      <w:r>
        <w:rPr>
          <w:rStyle w:val="VerbatimChar"/>
        </w:rPr>
        <w:t xml:space="preserve">guia_12m_pct</w:t>
      </w:r>
      <w:r>
        <w:t xml:space="preserve"> </w:t>
      </w:r>
      <w:r>
        <w:t xml:space="preserve">(incluye CAM).</w:t>
      </w:r>
      <w:r>
        <w:t xml:space="preserve"> </w:t>
      </w:r>
      <w:r>
        <w:rPr>
          <w:bCs/>
          <w:b/>
        </w:rPr>
        <w:t xml:space="preserve">Exceso medio sobre la guía: +4,5 pp</w:t>
      </w:r>
      <w:r>
        <w:t xml:space="preserve"> </w:t>
      </w:r>
      <w:r>
        <w:t xml:space="preserve">en los cuatro últimos trimestres (3,2, 3,5, 4,0 y 7,2) [1][2][3][4]. La partida mecánica (17,8 %) queda por debajo del techo de la guía (26,4 %), así que v9 no recorta.</w:t>
      </w:r>
    </w:p>
    <w:bookmarkEnd w:id="22"/>
    <w:bookmarkStart w:id="23" w:name="mercado-y-competencia"/>
    <w:p>
      <w:pPr>
        <w:pStyle w:val="Heading2"/>
      </w:pPr>
      <w:r>
        <w:t xml:space="preserve">4. Mercado y competencia</w:t>
      </w:r>
    </w:p>
    <w:p>
      <w:pPr>
        <w:numPr>
          <w:ilvl w:val="0"/>
          <w:numId w:val="1003"/>
        </w:numPr>
        <w:pStyle w:val="Compact"/>
      </w:pPr>
      <w:r>
        <w:rPr>
          <w:bCs/>
          <w:b/>
        </w:rPr>
        <w:t xml:space="preserve">Mercado alcanzable en 2028: ~55.000 M USD</w:t>
      </w:r>
      <w:r>
        <w:t xml:space="preserve"> </w:t>
      </w:r>
      <w:r>
        <w:t xml:space="preserve">(estimación propia, en parte de memoria; no hay una fuente única). Lo forman las piezas fundidas y forjadas de motor, las fijaciones y estructuras aeroespaciales, los álabes de turbina industrial y las llantas forjadas de camión [15].</w:t>
      </w:r>
      <w:r>
        <w:t xml:space="preserve"> </w:t>
      </w:r>
      <w:r>
        <w:rPr>
          <w:bCs/>
          <w:b/>
        </w:rPr>
        <w:t xml:space="preserve">Penetración del 16,6 %</w:t>
      </w:r>
      <w:r>
        <w:t xml:space="preserve">: Howmet ya es grande en su nicho.</w:t>
      </w:r>
    </w:p>
    <w:p>
      <w:pPr>
        <w:numPr>
          <w:ilvl w:val="0"/>
          <w:numId w:val="1003"/>
        </w:numPr>
        <w:pStyle w:val="Compact"/>
      </w:pPr>
      <w:r>
        <w:rPr>
          <w:bCs/>
          <w:b/>
        </w:rPr>
        <w:t xml:space="preserve">Posición 4/5</w:t>
      </w:r>
      <w:r>
        <w:t xml:space="preserve">: forma un duopolio de hecho con PCC en álabes de motor y fijaciones. Tiene más del 50 % de la fundición de álabes de turbina industrial, según Bernstein [12]. No le doy 5 porque la cuota no tiene por qué subir: los clientes buscan una segunda fuente.</w:t>
      </w:r>
    </w:p>
    <w:p>
      <w:pPr>
        <w:numPr>
          <w:ilvl w:val="0"/>
          <w:numId w:val="1003"/>
        </w:numPr>
        <w:pStyle w:val="Compact"/>
      </w:pPr>
      <w:r>
        <w:rPr>
          <w:bCs/>
          <w:b/>
        </w:rPr>
        <w:t xml:space="preserve">Rivales</w:t>
      </w:r>
      <w:r>
        <w:t xml:space="preserve">: PCC (Berkshire Hathaway), CPP (que pasará a GE Aerospace en el 2S27, si lo aprueban los reguladores), Doncasters, ATI y Carpenter (forja y materiales), VSMPO (titanio, Rusia) y LISI y TriMas (fijaciones). Llegan también</w:t>
      </w:r>
      <w:r>
        <w:t xml:space="preserve"> </w:t>
      </w:r>
      <w:r>
        <w:rPr>
          <w:bCs/>
          <w:b/>
        </w:rPr>
        <w:t xml:space="preserve">SpaceX</w:t>
      </w:r>
      <w:r>
        <w:t xml:space="preserve">, que fundirá álabes y paletas para sus turbinas de gas (y quizá para el motor Raptor), y la</w:t>
      </w:r>
      <w:r>
        <w:t xml:space="preserve"> </w:t>
      </w:r>
      <w:r>
        <w:rPr>
          <w:bCs/>
          <w:b/>
        </w:rPr>
        <w:t xml:space="preserve">integración vertical de GE</w:t>
      </w:r>
      <w:r>
        <w:t xml:space="preserve"> </w:t>
      </w:r>
      <w:r>
        <w:t xml:space="preserve">con CPP [5][8].</w:t>
      </w:r>
    </w:p>
    <w:p>
      <w:pPr>
        <w:numPr>
          <w:ilvl w:val="0"/>
          <w:numId w:val="1003"/>
        </w:numPr>
        <w:pStyle w:val="Compact"/>
      </w:pPr>
      <w:r>
        <w:rPr>
          <w:bCs/>
          <w:b/>
        </w:rPr>
        <w:t xml:space="preserve">Por qué gana</w:t>
      </w:r>
      <w:r>
        <w:t xml:space="preserve">: la cualificación lleva años, tiene escala y capacidad que nadie más tiene hoy, y los clientes firman acuerdos a largo plazo. La escasez de álabes es precisamente lo que empuja a SpaceX y a GE a fabricarlos ellos, y eso a corto plazo confirma el poder de precio de Howmet. A largo plazo, es su principal amenaza [8][12].</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rPr>
                <w:bCs/>
                <w:b/>
              </w:rPr>
              <w:t xml:space="preserve">Sí</w:t>
            </w:r>
          </w:p>
        </w:tc>
        <w:tc>
          <w:tcPr/>
          <w:p>
            <w:pPr>
              <w:pStyle w:val="Compact"/>
              <w:jc w:val="left"/>
            </w:pPr>
            <w:r>
              <w:t xml:space="preserve">BPA de 2027: de 6,05 USD (hace 90 días) a 6,50 (+7,4 %); BPA de 2026: de 5,06 a 5,34. Los precios objetivo, en cambio, bajan (TD Cowen de 320 a 280 el 9-oct; Wells Fargo de 315 a 255 el 30-sep)</w:t>
            </w:r>
          </w:p>
        </w:tc>
        <w:tc>
          <w:tcPr/>
          <w:p>
            <w:pPr>
              <w:pStyle w:val="Compact"/>
              <w:jc w:val="left"/>
            </w:pPr>
            <w:r>
              <w:t xml:space="preserve">[6]</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216,84 frente a 249,2 (−13 %). La media aún sube (246,3 hace un mes)</w:t>
            </w:r>
          </w:p>
        </w:tc>
        <w:tc>
          <w:tcPr/>
          <w:p>
            <w:pPr>
              <w:pStyle w:val="Compact"/>
              <w:jc w:val="left"/>
            </w:pPr>
            <w:r>
              <w:t xml:space="preserve">[9]</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−15,3 % frente a +13,3 % del S&amp;P 500</w:t>
            </w:r>
          </w:p>
        </w:tc>
        <w:tc>
          <w:tcPr/>
          <w:p>
            <w:pPr>
              <w:pStyle w:val="Compact"/>
              <w:jc w:val="left"/>
            </w:pPr>
            <w:r>
              <w:t xml:space="preserve">[9]</w:t>
            </w:r>
          </w:p>
        </w:tc>
      </w:tr>
      <w:tr>
        <w:tc>
          <w:tcPr/>
          <w:p>
            <w:pPr>
              <w:pStyle w:val="Compact"/>
              <w:jc w:val="left"/>
            </w:pPr>
            <w:r>
              <w:t xml:space="preserve">4</w:t>
            </w:r>
          </w:p>
        </w:tc>
        <w:tc>
          <w:tcPr/>
          <w:p>
            <w:pPr>
              <w:pStyle w:val="Compact"/>
              <w:jc w:val="left"/>
            </w:pPr>
            <w:r>
              <w:t xml:space="preserve">Mejora del múltiplo ≥ 20 %</w:t>
            </w:r>
          </w:p>
        </w:tc>
        <w:tc>
          <w:tcPr/>
          <w:p>
            <w:pPr>
              <w:pStyle w:val="Compact"/>
              <w:jc w:val="left"/>
            </w:pPr>
            <w:r>
              <w:t xml:space="preserve">No</w:t>
            </w:r>
          </w:p>
        </w:tc>
        <w:tc>
          <w:tcPr/>
          <w:p>
            <w:pPr>
              <w:pStyle w:val="Compact"/>
              <w:jc w:val="left"/>
            </w:pPr>
            <w:r>
              <w:t xml:space="preserve">El EV/EBITDA de los 12 meses siguientes está en su</w:t>
            </w:r>
            <w:r>
              <w:t xml:space="preserve"> </w:t>
            </w:r>
            <w:r>
              <w:rPr>
                <w:bCs/>
                <w:b/>
              </w:rPr>
              <w:t xml:space="preserve">mínimo</w:t>
            </w:r>
            <w:r>
              <w:t xml:space="preserve"> </w:t>
            </w:r>
            <w:r>
              <w:t xml:space="preserve">de 12 meses (~24,8x con el método de la serie histórica), frente a ~34x el 5-ago</w:t>
            </w:r>
          </w:p>
        </w:tc>
        <w:tc>
          <w:tcPr/>
          <w:p>
            <w:pPr>
              <w:pStyle w:val="Compact"/>
              <w:jc w:val="left"/>
            </w:pPr>
            <w:r>
              <w:t xml:space="preserve">[9][10]</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Margen EBITDA +3,4 pp y margen operativo ajustado +3,5 pp en el 2T26. Es fuerte, pero no llega a +5 pp, y ya era muy rentable</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Empeora. Dos caídas por noticias de competencia (−7,5 % el 31-ago y −10,7 % el 8-sep), recortes de objetivo y artículos sobre la valoración estirada</w:t>
            </w:r>
          </w:p>
        </w:tc>
        <w:tc>
          <w:tcPr/>
          <w:p>
            <w:pPr>
              <w:pStyle w:val="Compact"/>
              <w:jc w:val="left"/>
            </w:pPr>
            <w:r>
              <w:t xml:space="preserve">[8][11][12]</w:t>
            </w:r>
          </w:p>
        </w:tc>
      </w:tr>
      <w:tr>
        <w:tc>
          <w:tcPr/>
          <w:p>
            <w:pPr>
              <w:pStyle w:val="Compact"/>
              <w:jc w:val="left"/>
            </w:pPr>
            <w:r>
              <w:t xml:space="preserve">7</w:t>
            </w:r>
          </w:p>
        </w:tc>
        <w:tc>
          <w:tcPr/>
          <w:p>
            <w:pPr>
              <w:pStyle w:val="Compact"/>
              <w:jc w:val="left"/>
            </w:pPr>
            <w:r>
              <w:t xml:space="preserve">Compras de directivos o de inversores de referencia</w:t>
            </w:r>
          </w:p>
        </w:tc>
        <w:tc>
          <w:tcPr/>
          <w:p>
            <w:pPr>
              <w:pStyle w:val="Compact"/>
              <w:jc w:val="left"/>
            </w:pPr>
            <w:r>
              <w:t xml:space="preserve">No</w:t>
            </w:r>
          </w:p>
        </w:tc>
        <w:tc>
          <w:tcPr/>
          <w:p>
            <w:pPr>
              <w:pStyle w:val="Compact"/>
              <w:jc w:val="left"/>
            </w:pPr>
            <w:r>
              <w:t xml:space="preserve">Solo hay ventas (N. Marchuk vendió 11,3 M USD en mayo) y concesiones de acciones. BlackRock, JPMorgan y T. Rowe redujeron en el 2T. La empresa sí recompra (800 M hasta julio)</w:t>
            </w:r>
          </w:p>
        </w:tc>
        <w:tc>
          <w:tcPr/>
          <w:p>
            <w:pPr>
              <w:pStyle w:val="Compact"/>
              <w:jc w:val="left"/>
            </w:pPr>
            <w:r>
              <w:t xml:space="preserve">[6][13]</w:t>
            </w:r>
          </w:p>
        </w:tc>
      </w:tr>
      <w:tr>
        <w:tc>
          <w:tcPr/>
          <w:p>
            <w:pPr>
              <w:pStyle w:val="Compact"/>
              <w:jc w:val="left"/>
            </w:pPr>
            <w:r>
              <w:t xml:space="preserve">8</w:t>
            </w:r>
          </w:p>
        </w:tc>
        <w:tc>
          <w:tcPr/>
          <w:p>
            <w:pPr>
              <w:pStyle w:val="Compact"/>
              <w:jc w:val="left"/>
            </w:pPr>
            <w:r>
              <w:t xml:space="preserve">Catalizador nuevo (6 meses)</w:t>
            </w:r>
          </w:p>
        </w:tc>
        <w:tc>
          <w:tcPr/>
          <w:p>
            <w:pPr>
              <w:pStyle w:val="Compact"/>
              <w:jc w:val="left"/>
            </w:pPr>
            <w:r>
              <w:rPr>
                <w:bCs/>
                <w:b/>
              </w:rPr>
              <w:t xml:space="preserve">Sí</w:t>
            </w:r>
          </w:p>
        </w:tc>
        <w:tc>
          <w:tcPr/>
          <w:p>
            <w:pPr>
              <w:pStyle w:val="Compact"/>
              <w:jc w:val="left"/>
            </w:pPr>
            <w:r>
              <w:t xml:space="preserve">Resultados del 3T el 29-oct (estimado), primera guía de 2027 en febrero (con CAM en la base y más inversión en turbinas de gas) y subidas de cadencia del 737 y del A320</w:t>
            </w:r>
          </w:p>
        </w:tc>
        <w:tc>
          <w:tcPr/>
          <w:p>
            <w:pPr>
              <w:pStyle w:val="Compact"/>
              <w:jc w:val="left"/>
            </w:pPr>
            <w:r>
              <w:t xml:space="preserve">[1][6]</w:t>
            </w:r>
          </w:p>
        </w:tc>
      </w:tr>
    </w:tbl>
    <w:p>
      <w:pPr>
        <w:pStyle w:val="BodyText"/>
      </w:pPr>
      <w:r>
        <w:rPr>
          <w:bCs/>
          <w:b/>
        </w:rPr>
        <w:t xml:space="preserve">Euforia: no</w:t>
      </w:r>
      <w:r>
        <w:t xml:space="preserve"> </w:t>
      </w:r>
      <w:r>
        <w:t xml:space="preserve">(subida a 12 meses del 14,1 %, lejos del 150 % del veto). La euforia ya pasó: a 3 años sube un ~370 % (de ~46 a 217 USD) y a 2 años un ~117 %. La acción rozó los 293 USD de cierre en agosto (310 intradía) y se ha desinflado desde entonces. El riesgo de hoy es de</w:t>
      </w:r>
      <w:r>
        <w:t xml:space="preserve"> </w:t>
      </w:r>
      <w:r>
        <w:rPr>
          <w:bCs/>
          <w:b/>
        </w:rPr>
        <w:t xml:space="preserve">valoración</w:t>
      </w:r>
      <w:r>
        <w:t xml:space="preserve">, no de euforia. Bloque C: 5/20.</w:t>
      </w:r>
    </w:p>
    <w:bookmarkEnd w:id="24"/>
    <w:bookmarkStart w:id="25" w:name="X6a3ced9ea5ed5bb9ac58f5e7c1bb09ad4718b77"/>
    <w:p>
      <w:pPr>
        <w:pStyle w:val="Heading2"/>
      </w:pPr>
      <w:r>
        <w:t xml:space="preserve">6. Economía unitaria y camino a la rentabilidad</w:t>
      </w:r>
    </w:p>
    <w:p>
      <w:pPr>
        <w:numPr>
          <w:ilvl w:val="0"/>
          <w:numId w:val="1004"/>
        </w:numPr>
        <w:pStyle w:val="Compact"/>
      </w:pPr>
      <w:r>
        <w:rPr>
          <w:bCs/>
          <w:b/>
        </w:rPr>
        <w:t xml:space="preserve">Margen bruto ~32,7 %</w:t>
      </w:r>
      <w:r>
        <w:t xml:space="preserve"> </w:t>
      </w:r>
      <w:r>
        <w:t xml:space="preserve">en 12 meses, incluyendo amortizaciones; sin ellas, 36,0 % [16]. Es un margen de industria, no de software, y puntúa 2/5. Por eso el método valora por EBITDA.</w:t>
      </w:r>
    </w:p>
    <w:p>
      <w:pPr>
        <w:numPr>
          <w:ilvl w:val="0"/>
          <w:numId w:val="1004"/>
        </w:numPr>
        <w:pStyle w:val="Compact"/>
      </w:pPr>
      <w:r>
        <w:rPr>
          <w:bCs/>
          <w:b/>
        </w:rPr>
        <w:t xml:space="preserve">Margen EBITDA ajustado del 31,0 %</w:t>
      </w:r>
      <w:r>
        <w:t xml:space="preserve"> </w:t>
      </w:r>
      <w:r>
        <w:t xml:space="preserve">en 12 meses y del 32,1 % en el 2T26, frente a 28,7 % un año antes. La guía de 2026 es del 32,1 %. Engine Products llega al 37,7 % [1].</w:t>
      </w:r>
    </w:p>
    <w:p>
      <w:pPr>
        <w:numPr>
          <w:ilvl w:val="0"/>
          <w:numId w:val="1004"/>
        </w:numPr>
        <w:pStyle w:val="Compact"/>
      </w:pPr>
      <w:r>
        <w:rPr>
          <w:bCs/>
          <w:b/>
        </w:rPr>
        <w:t xml:space="preserve">FCF de 12 meses: 1.791 M (margen del 19,6 %)</w:t>
      </w:r>
      <w:r>
        <w:t xml:space="preserve">, frente a 1.191 M un año antes:</w:t>
      </w:r>
      <w:r>
        <w:t xml:space="preserve"> </w:t>
      </w:r>
      <w:r>
        <w:rPr>
          <w:bCs/>
          <w:b/>
        </w:rPr>
        <w:t xml:space="preserve">creciente</w:t>
      </w:r>
      <w:r>
        <w:t xml:space="preserve"> </w:t>
      </w:r>
      <w:r>
        <w:t xml:space="preserve">(5/5). En el 1S26 fueron 838 M (478 M en el 1S25), con capex de 198 M. La dirección avisa de que el capex subirá más en 2027 para ampliar capacidad en aviación y turbinas de gas [1].</w:t>
      </w:r>
    </w:p>
    <w:p>
      <w:pPr>
        <w:numPr>
          <w:ilvl w:val="0"/>
          <w:numId w:val="1004"/>
        </w:numPr>
        <w:pStyle w:val="Compact"/>
      </w:pPr>
      <w:r>
        <w:rPr>
          <w:bCs/>
          <w:b/>
        </w:rPr>
        <w:t xml:space="preserve">Regla del 40: 37,7</w:t>
      </w:r>
      <w:r>
        <w:t xml:space="preserve"> </w:t>
      </w:r>
      <w:r>
        <w:t xml:space="preserve">(18,1 % de crecimiento + 19,6 % de margen FCF): 2/5.</w:t>
      </w:r>
    </w:p>
    <w:p>
      <w:pPr>
        <w:numPr>
          <w:ilvl w:val="0"/>
          <w:numId w:val="1004"/>
        </w:numPr>
        <w:pStyle w:val="Compact"/>
      </w:pPr>
      <w:r>
        <w:rPr>
          <w:bCs/>
          <w:b/>
        </w:rPr>
        <w:t xml:space="preserve">Apalancamiento operativo</w:t>
      </w:r>
      <w:r>
        <w:t xml:space="preserve">: en el 2T26, el EBITDA crece un 39 % y las ventas un 24 % [1].</w:t>
      </w:r>
    </w:p>
    <w:p>
      <w:pPr>
        <w:numPr>
          <w:ilvl w:val="0"/>
          <w:numId w:val="1004"/>
        </w:numPr>
        <w:pStyle w:val="Compact"/>
      </w:pPr>
      <w:r>
        <w:t xml:space="preserve">Bloque D: 9/15.</w:t>
      </w:r>
    </w:p>
    <w:bookmarkEnd w:id="25"/>
    <w:bookmarkStart w:id="26" w:name="caja-deuda-y-dilución"/>
    <w:p>
      <w:pPr>
        <w:pStyle w:val="Heading2"/>
      </w:pPr>
      <w:r>
        <w:t xml:space="preserve">7. Caja, deuda y dilución</w:t>
      </w:r>
    </w:p>
    <w:p>
      <w:pPr>
        <w:numPr>
          <w:ilvl w:val="0"/>
          <w:numId w:val="1005"/>
        </w:numPr>
        <w:pStyle w:val="Compact"/>
      </w:pPr>
      <w:r>
        <w:rPr>
          <w:bCs/>
          <w:b/>
        </w:rPr>
        <w:t xml:space="preserve">Deuda de 4.501 M y caja de 563 M</w:t>
      </w:r>
      <w:r>
        <w:t xml:space="preserve"> </w:t>
      </w:r>
      <w:r>
        <w:t xml:space="preserve">a 30-jun-2026 (450 M en papel comercial; 4.050 M a largo plazo tras financiar CAM). Deuda neta de ~3.940 M,</w:t>
      </w:r>
      <w:r>
        <w:t xml:space="preserve"> </w:t>
      </w:r>
      <w:r>
        <w:rPr>
          <w:bCs/>
          <w:b/>
        </w:rPr>
        <w:t xml:space="preserve">1,4x el EBITDA</w:t>
      </w:r>
      <w:r>
        <w:t xml:space="preserve"> </w:t>
      </w:r>
      <w:r>
        <w:t xml:space="preserve">de los 12 meses siguientes [1]. Fuera del cálculo quedan 511 M de pensiones y 250 M de cuentas a cobrar titulizadas: añadirlos bajaría el precio objetivo en ~2 USD por acción. La dirección espera volver al apalancamiento previo a CAM «en poco tiempo».</w:t>
      </w:r>
    </w:p>
    <w:p>
      <w:pPr>
        <w:numPr>
          <w:ilvl w:val="0"/>
          <w:numId w:val="1005"/>
        </w:numPr>
        <w:pStyle w:val="Compact"/>
      </w:pPr>
      <w:r>
        <w:rPr>
          <w:bCs/>
          <w:b/>
        </w:rPr>
        <w:t xml:space="preserve">Pista: FCF positivo.</w:t>
      </w:r>
      <w:r>
        <w:t xml:space="preserve"> </w:t>
      </w:r>
      <w:r>
        <w:rPr>
          <w:bCs/>
          <w:b/>
        </w:rPr>
        <w:t xml:space="preserve">Dilución: −1,0 % al año</w:t>
      </w:r>
      <w:r>
        <w:t xml:space="preserve"> </w:t>
      </w:r>
      <w:r>
        <w:t xml:space="preserve">(402 M de acciones diluidas en el 2T26, frente a 406 M; recompra de 800 M en 2026 hasta julio, a 248 USD de media, más que en todo 2025) [1].</w:t>
      </w:r>
      <w:r>
        <w:t xml:space="preserve"> </w:t>
      </w:r>
      <w:r>
        <w:rPr>
          <w:bCs/>
          <w:b/>
        </w:rPr>
        <w:t xml:space="preserve">Pagos en acciones: ~1 % de las ventas</w:t>
      </w:r>
      <w:r>
        <w:t xml:space="preserve"> </w:t>
      </w:r>
      <w:r>
        <w:t xml:space="preserve">(~91 M en 12 meses) [16]. Bloque E: 10/10.</w:t>
      </w:r>
    </w:p>
    <w:p>
      <w:pPr>
        <w:numPr>
          <w:ilvl w:val="0"/>
          <w:numId w:val="1005"/>
        </w:numPr>
        <w:pStyle w:val="Compact"/>
      </w:pPr>
      <w:r>
        <w:t xml:space="preserve">Dividendo de 0,14 USD al trimestre (+17 %; rentabilidad del 0,26 %, en el JSON como 0,3 %).</w:t>
      </w:r>
    </w:p>
    <w:bookmarkEnd w:id="26"/>
    <w:bookmarkStart w:id="27" w:name="dirección-y-ejecución"/>
    <w:p>
      <w:pPr>
        <w:pStyle w:val="Heading2"/>
      </w:pPr>
      <w:r>
        <w:t xml:space="preserve">8. Dirección y ejecución</w:t>
      </w:r>
    </w:p>
    <w:p>
      <w:pPr>
        <w:numPr>
          <w:ilvl w:val="0"/>
          <w:numId w:val="1006"/>
        </w:numPr>
        <w:pStyle w:val="Compact"/>
      </w:pPr>
      <w:r>
        <w:rPr>
          <w:bCs/>
          <w:b/>
        </w:rPr>
        <w:t xml:space="preserve">John Plant</w:t>
      </w:r>
      <w:r>
        <w:t xml:space="preserve">, presidente ejecutivo y consejero delegado desde 2020, es el artífice de la transformación: el margen EBITDA ha pasado de ~21 % a 32 %, ha vendido negocios de poco margen, ha comprado fijaciones (CAM, Brunner) y recompra acciones con disciplina.</w:t>
      </w:r>
      <w:r>
        <w:t xml:space="preserve"> </w:t>
      </w:r>
      <w:r>
        <w:rPr>
          <w:bCs/>
          <w:b/>
        </w:rPr>
        <w:t xml:space="preserve">Dirección 4/5</w:t>
      </w:r>
      <w:r>
        <w:t xml:space="preserve">, no 5 por dos motivos: la sucesión (Plant pasa de los 70 años y no hay un sucesor anunciado, de memoria) y que los directivos solo venden.</w:t>
      </w:r>
    </w:p>
    <w:p>
      <w:pPr>
        <w:numPr>
          <w:ilvl w:val="0"/>
          <w:numId w:val="1006"/>
        </w:numPr>
        <w:pStyle w:val="Compact"/>
      </w:pPr>
      <w:r>
        <w:rPr>
          <w:bCs/>
          <w:b/>
        </w:rPr>
        <w:t xml:space="preserve">Historial 5/5</w:t>
      </w:r>
      <w:r>
        <w:t xml:space="preserve">: ha superado el techo de la guía trimestral en los cuatro últimos trimestres (3,2-7,2 pp de exceso) y ha subido la guía anual en cada trimestre de 2025 y 2026 [1][2][3][4].</w:t>
      </w:r>
    </w:p>
    <w:bookmarkEnd w:id="27"/>
    <w:bookmarkStart w:id="28" w:name="valoración"/>
    <w:p>
      <w:pPr>
        <w:pStyle w:val="Heading2"/>
      </w:pPr>
      <w:r>
        <w:t xml:space="preserve">9. Valoración</w:t>
      </w:r>
    </w:p>
    <w:p>
      <w:pPr>
        <w:pStyle w:val="FirstParagraph"/>
      </w:pPr>
      <w:r>
        <w:rPr>
          <w:bCs/>
          <w:b/>
        </w:rPr>
        <w:t xml:space="preserve">Métrica: EV/EBITDA de los 12 meses siguientes.</w:t>
      </w:r>
      <w:r>
        <w:t xml:space="preserve"> </w:t>
      </w:r>
      <w:r>
        <w:t xml:space="preserve">Howmet gana dinero de forma estable (margen operativo de ~25-30 %, FCF positivo cada año desde la separación) y tiene un margen bruto de industria (33 %). EV/ventas la compararía con el software y con su propio pasado de menos margen. Así la valora el mercado y así se valoraron Saab, Rheinmetall y Rolls-Royce en este repositorio.</w:t>
      </w:r>
    </w:p>
    <w:p>
      <w:pPr>
        <w:numPr>
          <w:ilvl w:val="0"/>
          <w:numId w:val="1007"/>
        </w:numPr>
        <w:pStyle w:val="Compact"/>
      </w:pPr>
      <w:r>
        <w:rPr>
          <w:bCs/>
          <w:b/>
        </w:rPr>
        <w:t xml:space="preserve">Hoy</w:t>
      </w:r>
      <w:r>
        <w:t xml:space="preserve">: EV ≈ 90.850 M USD (216,84 × 400,8 M de acciones + 4.501 de deuda − 563 de caja). EBITDA de los 12 meses siguientes (jul-26 a jun-27) ≈</w:t>
      </w:r>
      <w:r>
        <w:t xml:space="preserve"> </w:t>
      </w:r>
      <w:r>
        <w:rPr>
          <w:bCs/>
          <w:b/>
        </w:rPr>
        <w:t xml:space="preserve">3.490 M</w:t>
      </w:r>
      <w:r>
        <w:t xml:space="preserve">: 830 M de la guía del 3T, 843 M del 4T que implica la guía anual y ~1.820 M estimados para el 1S27. El 1S27 sale del consenso de ventas de 2027 (11.541 M) con un margen del 32,75 % (estimación propia: no he encontrado un consenso de EBITDA de 2027). El resultado es</w:t>
      </w:r>
      <w:r>
        <w:t xml:space="preserve"> </w:t>
      </w:r>
      <w:r>
        <w:rPr>
          <w:bCs/>
          <w:b/>
        </w:rPr>
        <w:t xml:space="preserve">26,0x</w:t>
      </w:r>
      <w:r>
        <w:t xml:space="preserve">, y el margen implícito es del 32,3 %. Con 12 meses pasados son 32,4x (Yahoo) [1][6][14].</w:t>
      </w:r>
    </w:p>
    <w:p>
      <w:pPr>
        <w:numPr>
          <w:ilvl w:val="0"/>
          <w:numId w:val="1007"/>
        </w:numPr>
        <w:pStyle w:val="Compact"/>
      </w:pPr>
      <w:r>
        <w:rPr>
          <w:bCs/>
          <w:b/>
        </w:rPr>
        <w:t xml:space="preserve">Historia (estimación propia)</w:t>
      </w:r>
      <w:r>
        <w:t xml:space="preserve">: la mediana de 3 años está en</w:t>
      </w:r>
      <w:r>
        <w:t xml:space="preserve"> </w:t>
      </w:r>
      <w:r>
        <w:rPr>
          <w:vertAlign w:val="subscript"/>
          <w:bCs/>
          <w:b/>
        </w:rPr>
        <w:t xml:space="preserve">22,8x</w:t>
      </w:r>
      <w:r>
        <w:rPr>
          <w:bCs/>
          <w:b/>
          <w:vertAlign w:val="subscript"/>
          <w:bCs/>
          <w:b/>
        </w:rPr>
        <w:t xml:space="preserve">, con un mínimo de</w:t>
      </w:r>
      <w:r>
        <w:rPr>
          <w:bCs/>
          <w:b/>
          <w:vertAlign w:val="subscript"/>
          <w:bCs/>
          <w:b/>
        </w:rPr>
        <w:t xml:space="preserve"> </w:t>
      </w:r>
      <w:r>
        <w:rPr>
          <w:bCs/>
          <w:b/>
        </w:rPr>
        <w:t xml:space="preserve">11,7x</w:t>
      </w:r>
      <w:r>
        <w:t xml:space="preserve"> </w:t>
      </w:r>
      <w:r>
        <w:t xml:space="preserve">(oct-2023) y un máximo de ~34x (ago-2026). Con el mismo método, hoy está en ~24,8x, un 9 % por encima de su mediana (sin la alerta de &gt; 2×) [10].</w:t>
      </w:r>
    </w:p>
    <w:p>
      <w:pPr>
        <w:numPr>
          <w:ilvl w:val="0"/>
          <w:numId w:val="1007"/>
        </w:numPr>
        <w:pStyle w:val="Compact"/>
      </w:pPr>
      <w:r>
        <w:rPr>
          <w:bCs/>
          <w:b/>
        </w:rPr>
        <w:t xml:space="preserve">Comparables</w:t>
      </w:r>
      <w:r>
        <w:t xml:space="preserve"> </w:t>
      </w:r>
      <w:r>
        <w:t xml:space="preserve">(EV/EBITDA de 12 meses pasados) [14]: TransDigm 18,1x, GE Aerospace 28,7x, Carpenter 23,2x, ATI 29,9x, Safran 21,0x, MTU 13,4x, Rolls-Royce 21,5x, Hexcel 19,1x y Woodward 25,6x, con una mediana de</w:t>
      </w:r>
      <w:r>
        <w:t xml:space="preserve"> </w:t>
      </w:r>
      <w:r>
        <w:rPr>
          <w:bCs/>
          <w:b/>
        </w:rPr>
        <w:t xml:space="preserve">21,5x</w:t>
      </w:r>
      <w:r>
        <w:t xml:space="preserve">. Para los 12 meses siguientes queda en ~18,7x (estimación, descontando ~15 % de crecimiento del EBITDA). Howmet es la más cara del grupo junto con ATI, aunque tiene el mejor margen después de TransDigm.</w:t>
      </w:r>
    </w:p>
    <w:p>
      <w:pPr>
        <w:numPr>
          <w:ilvl w:val="0"/>
          <w:numId w:val="1007"/>
        </w:numPr>
        <w:pStyle w:val="Compact"/>
      </w:pPr>
      <w:r>
        <w:rPr>
          <w:bCs/>
          <w:b/>
        </w:rPr>
        <w:t xml:space="preserve">Ventas del ejercicio objetivo</w:t>
      </w:r>
      <w:r>
        <w:t xml:space="preserve"> </w:t>
      </w:r>
      <w:r>
        <w:t xml:space="preserve">(12 meses a jun-2028, la misma ventana que la regla mecánica):</w:t>
      </w:r>
    </w:p>
    <w:p>
      <w:pPr>
        <w:numPr>
          <w:ilvl w:val="1"/>
          <w:numId w:val="1008"/>
        </w:numPr>
        <w:pStyle w:val="Compact"/>
      </w:pPr>
      <w:r>
        <w:t xml:space="preserve">bajista: 10.900 M (~9 % anual; frenazo de la aviación y normalización de las turbinas de gas);</w:t>
      </w:r>
    </w:p>
    <w:p>
      <w:pPr>
        <w:numPr>
          <w:ilvl w:val="1"/>
          <w:numId w:val="1008"/>
        </w:numPr>
        <w:pStyle w:val="Compact"/>
      </w:pPr>
      <w:r>
        <w:rPr>
          <w:bCs/>
          <w:b/>
        </w:rPr>
        <w:t xml:space="preserve">base: 12.150 M</w:t>
      </w:r>
      <w:r>
        <w:t xml:space="preserve">, un 1,6 % por encima del</w:t>
      </w:r>
      <w:r>
        <w:t xml:space="preserve"> </w:t>
      </w:r>
      <w:r>
        <w:rPr>
          <w:bCs/>
          <w:b/>
        </w:rPr>
        <w:t xml:space="preserve">consenso de ~11.960 M</w:t>
      </w:r>
      <w:r>
        <w:t xml:space="preserve"> </w:t>
      </w:r>
      <w:r>
        <w:t xml:space="preserve">(2S27 del consenso de 2027 más 1S28 con el 2028 de ~12.400 M, que lo cubren pocos analistas; uso +11 % en 2028 en lugar del +7 % de ese consenso);</w:t>
      </w:r>
    </w:p>
    <w:p>
      <w:pPr>
        <w:numPr>
          <w:ilvl w:val="1"/>
          <w:numId w:val="1008"/>
        </w:numPr>
        <w:pStyle w:val="Compact"/>
      </w:pPr>
      <w:r>
        <w:t xml:space="preserve">alcista: 12.700 M.</w:t>
      </w:r>
    </w:p>
    <w:p>
      <w:pPr>
        <w:numPr>
          <w:ilvl w:val="1"/>
          <w:numId w:val="1008"/>
        </w:numPr>
        <w:pStyle w:val="Compact"/>
      </w:pPr>
      <w:r>
        <w:t xml:space="preserve">La regla mecánica da 10.679 / 12.365 / 13.073 M; v11 toma la menor en cada escenario.</w:t>
      </w:r>
    </w:p>
    <w:p>
      <w:pPr>
        <w:numPr>
          <w:ilvl w:val="0"/>
          <w:numId w:val="1007"/>
        </w:numPr>
        <w:pStyle w:val="Compact"/>
      </w:pPr>
      <w:r>
        <w:rPr>
          <w:bCs/>
          <w:b/>
        </w:rPr>
        <w:t xml:space="preserve">Crecimiento</w:t>
      </w:r>
      <w:r>
        <w:t xml:space="preserve"> </w:t>
      </w:r>
      <w:r>
        <w:t xml:space="preserve">de los 12 meses siguientes: 18,6 % (consenso, con CAM) y del año objetivo, 12,5 %.</w:t>
      </w:r>
      <w:r>
        <w:t xml:space="preserve"> </w:t>
      </w:r>
      <w:r>
        <w:rPr>
          <w:bCs/>
          <w:b/>
        </w:rPr>
        <w:t xml:space="preserve">Factor de desaceleración 0,82.</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Escenario</w:t>
            </w:r>
          </w:p>
        </w:tc>
        <w:tc>
          <w:tcPr/>
          <w:p>
            <w:pPr>
              <w:pStyle w:val="Compact"/>
              <w:jc w:val="left"/>
            </w:pPr>
            <w:r>
              <w:t xml:space="preserve">Ventas (M USD)</w:t>
            </w:r>
          </w:p>
        </w:tc>
        <w:tc>
          <w:tcPr/>
          <w:p>
            <w:pPr>
              <w:pStyle w:val="Compact"/>
              <w:jc w:val="left"/>
            </w:pPr>
            <w:r>
              <w:t xml:space="preserve">Múltiplo EV/EBITDA</w:t>
            </w:r>
          </w:p>
        </w:tc>
        <w:tc>
          <w:tcPr/>
          <w:p>
            <w:pPr>
              <w:pStyle w:val="Compact"/>
              <w:jc w:val="left"/>
            </w:pPr>
            <w:r>
              <w:t xml:space="preserve">Margen EBITDA</w:t>
            </w:r>
          </w:p>
        </w:tc>
        <w:tc>
          <w:tcPr/>
          <w:p>
            <w:pPr>
              <w:pStyle w:val="Compact"/>
              <w:jc w:val="left"/>
            </w:pPr>
            <w:r>
              <w:t xml:space="preserve">Precio</w:t>
            </w:r>
          </w:p>
        </w:tc>
        <w:tc>
          <w:tcPr/>
          <w:p>
            <w:pPr>
              <w:pStyle w:val="Compact"/>
              <w:jc w:val="left"/>
            </w:pPr>
            <w:r>
              <w:t xml:space="preserve">Rentabilidad (con 0,3 % de dividendo)</w:t>
            </w:r>
          </w:p>
        </w:tc>
        <w:tc>
          <w:tcPr/>
          <w:p>
            <w:pPr>
              <w:pStyle w:val="Compact"/>
              <w:jc w:val="left"/>
            </w:pPr>
            <w:r>
              <w:t xml:space="preserve">Prob.</w:t>
            </w:r>
          </w:p>
        </w:tc>
      </w:tr>
      <w:tr>
        <w:tc>
          <w:tcPr/>
          <w:p>
            <w:pPr>
              <w:pStyle w:val="Compact"/>
              <w:jc w:val="left"/>
            </w:pPr>
            <w:r>
              <w:t xml:space="preserve">Bajista</w:t>
            </w:r>
          </w:p>
        </w:tc>
        <w:tc>
          <w:tcPr/>
          <w:p>
            <w:pPr>
              <w:pStyle w:val="Compact"/>
              <w:jc w:val="left"/>
            </w:pPr>
            <w:r>
              <w:t xml:space="preserve">10.679 (mecánica)</w:t>
            </w:r>
          </w:p>
        </w:tc>
        <w:tc>
          <w:tcPr/>
          <w:p>
            <w:pPr>
              <w:pStyle w:val="Compact"/>
              <w:jc w:val="left"/>
            </w:pPr>
            <w:r>
              <w:t xml:space="preserve">12,8x</w:t>
            </w:r>
          </w:p>
        </w:tc>
        <w:tc>
          <w:tcPr/>
          <w:p>
            <w:pPr>
              <w:pStyle w:val="Compact"/>
              <w:jc w:val="left"/>
            </w:pPr>
            <w:r>
              <w:t xml:space="preserve">32,3 %</w:t>
            </w:r>
          </w:p>
        </w:tc>
        <w:tc>
          <w:tcPr/>
          <w:p>
            <w:pPr>
              <w:pStyle w:val="Compact"/>
              <w:jc w:val="left"/>
            </w:pPr>
            <w:r>
              <w:t xml:space="preserve">101,3 USD</w:t>
            </w:r>
          </w:p>
        </w:tc>
        <w:tc>
          <w:tcPr/>
          <w:p>
            <w:pPr>
              <w:pStyle w:val="Compact"/>
              <w:jc w:val="left"/>
            </w:pPr>
            <w:r>
              <w:t xml:space="preserve">−53,0 %</w:t>
            </w:r>
          </w:p>
        </w:tc>
        <w:tc>
          <w:tcPr/>
          <w:p>
            <w:pPr>
              <w:pStyle w:val="Compact"/>
              <w:jc w:val="left"/>
            </w:pPr>
            <w:r>
              <w:t xml:space="preserve">25 %</w:t>
            </w:r>
          </w:p>
        </w:tc>
      </w:tr>
      <w:tr>
        <w:tc>
          <w:tcPr/>
          <w:p>
            <w:pPr>
              <w:pStyle w:val="Compact"/>
              <w:jc w:val="left"/>
            </w:pPr>
            <w:r>
              <w:t xml:space="preserve">Base</w:t>
            </w:r>
          </w:p>
        </w:tc>
        <w:tc>
          <w:tcPr/>
          <w:p>
            <w:pPr>
              <w:pStyle w:val="Compact"/>
              <w:jc w:val="left"/>
            </w:pPr>
            <w:r>
              <w:t xml:space="preserve">12.150 (informe)</w:t>
            </w:r>
          </w:p>
        </w:tc>
        <w:tc>
          <w:tcPr/>
          <w:p>
            <w:pPr>
              <w:pStyle w:val="Compact"/>
              <w:jc w:val="left"/>
            </w:pPr>
            <w:r>
              <w:t xml:space="preserve">21,3x</w:t>
            </w:r>
          </w:p>
        </w:tc>
        <w:tc>
          <w:tcPr/>
          <w:p>
            <w:pPr>
              <w:pStyle w:val="Compact"/>
              <w:jc w:val="left"/>
            </w:pPr>
            <w:r>
              <w:t xml:space="preserve">32,3 %</w:t>
            </w:r>
          </w:p>
        </w:tc>
        <w:tc>
          <w:tcPr/>
          <w:p>
            <w:pPr>
              <w:pStyle w:val="Compact"/>
              <w:jc w:val="left"/>
            </w:pPr>
            <w:r>
              <w:t xml:space="preserve">201,0 USD</w:t>
            </w:r>
          </w:p>
        </w:tc>
        <w:tc>
          <w:tcPr/>
          <w:p>
            <w:pPr>
              <w:pStyle w:val="Compact"/>
              <w:jc w:val="left"/>
            </w:pPr>
            <w:r>
              <w:t xml:space="preserve">−7,0 %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12.700 (informe)</w:t>
            </w:r>
          </w:p>
        </w:tc>
        <w:tc>
          <w:tcPr/>
          <w:p>
            <w:pPr>
              <w:pStyle w:val="Compact"/>
              <w:jc w:val="left"/>
            </w:pPr>
            <w:r>
              <w:t xml:space="preserve">27,7x</w:t>
            </w:r>
          </w:p>
        </w:tc>
        <w:tc>
          <w:tcPr/>
          <w:p>
            <w:pPr>
              <w:pStyle w:val="Compact"/>
              <w:jc w:val="left"/>
            </w:pPr>
            <w:r>
              <w:t xml:space="preserve">32,3 %</w:t>
            </w:r>
          </w:p>
        </w:tc>
        <w:tc>
          <w:tcPr/>
          <w:p>
            <w:pPr>
              <w:pStyle w:val="Compact"/>
              <w:jc w:val="left"/>
            </w:pPr>
            <w:r>
              <w:t xml:space="preserve">276,7 USD</w:t>
            </w:r>
          </w:p>
        </w:tc>
        <w:tc>
          <w:tcPr/>
          <w:p>
            <w:pPr>
              <w:pStyle w:val="Compact"/>
              <w:jc w:val="left"/>
            </w:pPr>
            <w:r>
              <w:t xml:space="preserve">+27,9 %</w:t>
            </w:r>
          </w:p>
        </w:tc>
        <w:tc>
          <w:tcPr/>
          <w:p>
            <w:pPr>
              <w:pStyle w:val="Compact"/>
              <w:jc w:val="left"/>
            </w:pPr>
            <w:r>
              <w:t xml:space="preserve">25 %</w:t>
            </w:r>
          </w:p>
        </w:tc>
      </w:tr>
      <w:tr>
        <w:tc>
          <w:tcPr/>
          <w:p>
            <w:pPr>
              <w:pStyle w:val="Compact"/>
              <w:jc w:val="left"/>
            </w:pPr>
            <w:r>
              <w:rPr>
                <w:bCs/>
                <w:b/>
              </w:rPr>
              <w:t xml:space="preserve">Ponderado (v11)</w:t>
            </w:r>
          </w:p>
        </w:tc>
        <w:tc>
          <w:tcPr/>
          <w:p>
            <w:pPr>
              <w:pStyle w:val="Compact"/>
            </w:pPr>
          </w:p>
        </w:tc>
        <w:tc>
          <w:tcPr/>
          <w:p>
            <w:pPr>
              <w:pStyle w:val="Compact"/>
            </w:pPr>
          </w:p>
        </w:tc>
        <w:tc>
          <w:tcPr/>
          <w:p>
            <w:pPr>
              <w:pStyle w:val="Compact"/>
            </w:pPr>
          </w:p>
        </w:tc>
        <w:tc>
          <w:tcPr/>
          <w:p>
            <w:pPr>
              <w:pStyle w:val="Compact"/>
              <w:jc w:val="left"/>
            </w:pPr>
            <w:r>
              <w:rPr>
                <w:bCs/>
                <w:b/>
              </w:rPr>
              <w:t xml:space="preserve">195,0 USD</w:t>
            </w:r>
          </w:p>
        </w:tc>
        <w:tc>
          <w:tcPr/>
          <w:p>
            <w:pPr>
              <w:pStyle w:val="Compact"/>
              <w:jc w:val="left"/>
            </w:pPr>
            <w:r>
              <w:rPr>
                <w:bCs/>
                <w:b/>
              </w:rPr>
              <w:t xml:space="preserve">−9,8 %</w:t>
            </w:r>
          </w:p>
        </w:tc>
        <w:tc>
          <w:tcPr/>
          <w:p>
            <w:pPr>
              <w:pStyle w:val="Compact"/>
            </w:pPr>
          </w:p>
        </w:tc>
      </w:tr>
      <w:tr>
        <w:tc>
          <w:tcPr/>
          <w:p>
            <w:pPr>
              <w:pStyle w:val="Compact"/>
              <w:jc w:val="left"/>
            </w:pPr>
            <w:r>
              <w:t xml:space="preserve">Ponderado (v9, ventas mecánicas)</w:t>
            </w:r>
          </w:p>
        </w:tc>
        <w:tc>
          <w:tcPr/>
          <w:p>
            <w:pPr>
              <w:pStyle w:val="Compact"/>
              <w:jc w:val="left"/>
            </w:pPr>
            <w:r>
              <w:t xml:space="preserve">10.679 / 12.365 / 13.073</w:t>
            </w:r>
          </w:p>
        </w:tc>
        <w:tc>
          <w:tcPr/>
          <w:p>
            <w:pPr>
              <w:pStyle w:val="Compact"/>
              <w:jc w:val="left"/>
            </w:pPr>
            <w:r>
              <w:t xml:space="preserve">igual</w:t>
            </w:r>
          </w:p>
        </w:tc>
        <w:tc>
          <w:tcPr/>
          <w:p>
            <w:pPr>
              <w:pStyle w:val="Compact"/>
              <w:jc w:val="left"/>
            </w:pPr>
            <w:r>
              <w:t xml:space="preserve">igual</w:t>
            </w:r>
          </w:p>
        </w:tc>
        <w:tc>
          <w:tcPr/>
          <w:p>
            <w:pPr>
              <w:pStyle w:val="Compact"/>
              <w:jc w:val="left"/>
            </w:pPr>
            <w:r>
              <w:t xml:space="preserve">199,0 USD</w:t>
            </w:r>
          </w:p>
        </w:tc>
        <w:tc>
          <w:tcPr/>
          <w:p>
            <w:pPr>
              <w:pStyle w:val="Compact"/>
              <w:jc w:val="left"/>
            </w:pPr>
            <w:r>
              <w:t xml:space="preserve">−8,0 %</w:t>
            </w:r>
          </w:p>
        </w:tc>
        <w:tc>
          <w:tcPr/>
          <w:p>
            <w:pPr>
              <w:pStyle w:val="Compact"/>
            </w:pPr>
          </w:p>
        </w:tc>
      </w:tr>
    </w:tbl>
    <w:p>
      <w:pPr>
        <w:numPr>
          <w:ilvl w:val="0"/>
          <w:numId w:val="1009"/>
        </w:numPr>
        <w:pStyle w:val="Compact"/>
      </w:pPr>
      <w:r>
        <w:rPr>
          <w:bCs/>
          <w:b/>
        </w:rPr>
        <w:t xml:space="preserve">Asimetría 0,5</w:t>
      </w:r>
      <w:r>
        <w:t xml:space="preserve">: el alcista (+27,9 %) es la mitad que el bajista (−53 %).</w:t>
      </w:r>
      <w:r>
        <w:t xml:space="preserve"> </w:t>
      </w:r>
      <w:r>
        <w:rPr>
          <w:bCs/>
          <w:b/>
        </w:rPr>
        <w:t xml:space="preserve">Compra hasta 186,2 USD</w:t>
      </w:r>
      <w:r>
        <w:t xml:space="preserve"> </w:t>
      </w:r>
      <w:r>
        <w:t xml:space="preserve">con v11 (190,0 con v9). Lo limita el bajista: por encima de ~186 USD, el escenario bajista cae más de un 50 %.</w:t>
      </w:r>
    </w:p>
    <w:p>
      <w:pPr>
        <w:numPr>
          <w:ilvl w:val="0"/>
          <w:numId w:val="1009"/>
        </w:numPr>
        <w:pStyle w:val="Compact"/>
      </w:pPr>
      <w:r>
        <w:rPr>
          <w:bCs/>
          <w:b/>
        </w:rPr>
        <w:t xml:space="preserve">Contraste con el consenso</w:t>
      </w:r>
      <w:r>
        <w:t xml:space="preserve">: el objetivo medio es de</w:t>
      </w:r>
      <w:r>
        <w:t xml:space="preserve"> </w:t>
      </w:r>
      <w:r>
        <w:rPr>
          <w:bCs/>
          <w:b/>
        </w:rPr>
        <w:t xml:space="preserve">327 USD</w:t>
      </w:r>
      <w:r>
        <w:t xml:space="preserve"> </w:t>
      </w:r>
      <w:r>
        <w:t xml:space="preserve">(255-377; 19 de 22 analistas recomiendan comprar) [6][7]. La diferencia no está en las ventas, porque mi base coincide con su consenso. Está en el múltiplo: los analistas mantienen ~30x el EBITDA, o ~40x el beneficio de 2027, y el método rebaja el múltiplo por la desaceleración y no supone que se mantenga la prima.</w:t>
      </w:r>
    </w:p>
    <w:p>
      <w:pPr>
        <w:numPr>
          <w:ilvl w:val="0"/>
          <w:numId w:val="1009"/>
        </w:numPr>
        <w:pStyle w:val="Compact"/>
      </w:pPr>
      <w:r>
        <w:rPr>
          <w:bCs/>
          <w:b/>
        </w:rPr>
        <w:t xml:space="preserve">DCF inverso</w:t>
      </w:r>
      <w:r>
        <w:t xml:space="preserve">: el precio descuenta</w:t>
      </w:r>
      <w:r>
        <w:t xml:space="preserve"> </w:t>
      </w:r>
      <w:r>
        <w:rPr>
          <w:bCs/>
          <w:b/>
        </w:rPr>
        <w:t xml:space="preserve">~15 % anual de crecimiento de ventas durante 10 años</w:t>
      </w:r>
      <w:r>
        <w:t xml:space="preserve"> </w:t>
      </w:r>
      <w:r>
        <w:t xml:space="preserve">(coste de capital del 8,5 %, margen FCF del 20 % a largo plazo, crecimiento final del 3 %). Supera el crecimiento orgánico que espera el consenso para 2027 (~11-13 %) y lo que suele crecer una empresa de aviación a lo largo de un ciclo.</w:t>
      </w:r>
    </w:p>
    <w:bookmarkEnd w:id="28"/>
    <w:bookmarkStart w:id="29" w:name="foros-y-sentimiento"/>
    <w:p>
      <w:pPr>
        <w:pStyle w:val="Heading2"/>
      </w:pPr>
      <w:r>
        <w:t xml:space="preserve">10. Foros y sentimiento</w:t>
      </w:r>
    </w:p>
    <w:p>
      <w:pPr>
        <w:numPr>
          <w:ilvl w:val="0"/>
          <w:numId w:val="1010"/>
        </w:numPr>
        <w:pStyle w:val="Compact"/>
      </w:pPr>
      <w:r>
        <w:rPr>
          <w:bCs/>
          <w:b/>
        </w:rPr>
        <w:t xml:space="preserve">Prensa financiera estadounidense</w:t>
      </w:r>
      <w:r>
        <w:t xml:space="preserve"> </w:t>
      </w:r>
      <w:r>
        <w:t xml:space="preserve">(CNBC, TheStreet, Yahoo Finance y Seeking Alpha): a finales de agosto y en septiembre domina la «amenaza» de SpaceX y de GE con CPP. «SpaceX just targeted a key AI supplier: the stock tanked» (TheStreet); «Howmet is facing new competition in gas turbine blade casting» (Yahoo) [8][11].</w:t>
      </w:r>
    </w:p>
    <w:p>
      <w:pPr>
        <w:numPr>
          <w:ilvl w:val="0"/>
          <w:numId w:val="1010"/>
        </w:numPr>
        <w:pStyle w:val="Compact"/>
      </w:pPr>
      <w:r>
        <w:rPr>
          <w:bCs/>
          <w:b/>
        </w:rPr>
        <w:t xml:space="preserve">Lado comprador</w:t>
      </w:r>
      <w:r>
        <w:t xml:space="preserve">: Bernstein (objetivo de 248 a 328: «SpaceX confirma la escasez, no la insatisfacción con Howmet») y Citi («oportunidad única y probablemente breve», vigilancia de catalizador a 30 días, 329). En Seeking Alpha, «The SpaceX Turbine Scare Is A Buying Opportunity» (3-sep) [12].</w:t>
      </w:r>
    </w:p>
    <w:p>
      <w:pPr>
        <w:numPr>
          <w:ilvl w:val="0"/>
          <w:numId w:val="1010"/>
        </w:numPr>
        <w:pStyle w:val="Compact"/>
      </w:pPr>
      <w:r>
        <w:rPr>
          <w:bCs/>
          <w:b/>
        </w:rPr>
        <w:t xml:space="preserve">Lado prudente</w:t>
      </w:r>
      <w:r>
        <w:t xml:space="preserve">: en Seeking Alpha, «Priced For Everything Going Right» (25-jul, Mantener, valor razonable de 247 USD). Wells Fargo recorta a 255 y TD Cowen a 280. Guggenheim avisa de que los recambios pueden enfriarse en 2026 [6][11].</w:t>
      </w:r>
    </w:p>
    <w:p>
      <w:pPr>
        <w:numPr>
          <w:ilvl w:val="0"/>
          <w:numId w:val="1010"/>
        </w:numPr>
        <w:pStyle w:val="Compact"/>
      </w:pPr>
      <w:r>
        <w:rPr>
          <w:bCs/>
          <w:b/>
        </w:rPr>
        <w:t xml:space="preserve">Reddit, StockTwits y foros en castellano</w:t>
      </w:r>
      <w:r>
        <w:t xml:space="preserve"> </w:t>
      </w:r>
      <w:r>
        <w:t xml:space="preserve">(Rankia, Investing.com ES): las búsquedas no devolvieron hilos de octubre. No hay una lectura propia de esos foros; se dice y no se rellena.</w:t>
      </w:r>
    </w:p>
    <w:p>
      <w:pPr>
        <w:numPr>
          <w:ilvl w:val="0"/>
          <w:numId w:val="1010"/>
        </w:numPr>
        <w:pStyle w:val="Compact"/>
      </w:pPr>
      <w:r>
        <w:rPr>
          <w:bCs/>
          <w:b/>
        </w:rPr>
        <w:t xml:space="preserve">Contraste con los datos</w:t>
      </w:r>
      <w:r>
        <w:t xml:space="preserve">: el negocio va mejor que nunca (estimaciones al alza, márgenes récord), pero la acción cae un 26 % desde agosto. El mercado ha pasado de pagar la perfección a dudar del foso. No es capitulación (la mayoría de analistas sigue en Comprar), pero tampoco hay euforia. La señal 6 no se marca.</w:t>
      </w:r>
    </w:p>
    <w:bookmarkEnd w:id="29"/>
    <w:bookmarkStart w:id="30" w:name="riesgos-robustez-y-qué-rompería-la-tesis"/>
    <w:p>
      <w:pPr>
        <w:pStyle w:val="Heading2"/>
      </w:pPr>
      <w:r>
        <w:t xml:space="preserve">11. Riesgos, robustez y qué rompería la tesis</w:t>
      </w:r>
    </w:p>
    <w:p>
      <w:pPr>
        <w:pStyle w:val="FirstParagraph"/>
      </w:pPr>
      <w:r>
        <w:rPr>
          <w:bCs/>
          <w:b/>
        </w:rPr>
        <w:t xml:space="preserve">Alertas del motor (</w:t>
      </w:r>
      <w:r>
        <w:rPr>
          <w:rStyle w:val="VerbatimChar"/>
          <w:bCs/>
          <w:b/>
        </w:rPr>
        <w:t xml:space="preserve">calc.alertas</w:t>
      </w:r>
      <w:r>
        <w:rPr>
          <w:bCs/>
          <w:b/>
        </w:rPr>
        <w:t xml:space="preserve">): ninguna.</w:t>
      </w:r>
      <w:r>
        <w:t xml:space="preserve"> </w:t>
      </w:r>
      <w:r>
        <w:t xml:space="preserve">El motor revisó y dio por buenos estos puntos: la proyección mecánica no supera 1,2 veces la del informe (12.365 frente a 12.150; 1,02×) ni la del consenso (1,03×); las ventas del informe están en la misma unidad; el múltiplo de hoy no dobla su mediana (26,0 frente a 22,8; 1,14×); hay guía anual y el exceso sobre ella es de 4,5 pp (&lt; 10);</w:t>
      </w:r>
      <w:r>
        <w:t xml:space="preserve"> </w:t>
      </w:r>
      <w:r>
        <w:rPr>
          <w:rStyle w:val="VerbatimChar"/>
        </w:rPr>
        <w:t xml:space="preserve">ebitda_ntm_m</w:t>
      </w:r>
      <w:r>
        <w:t xml:space="preserve"> </w:t>
      </w:r>
      <w:r>
        <w:t xml:space="preserve">está relleno y el margen implícito (32,3 %) cuadra con él; el «compra hasta» respeta el bajista (v11); los dos mayores clientes suman el 22 % (&lt; 40 %); y los pagos en acciones son el ~1 % de las ventas (&lt; 15 %). Que no haya alertas significa que el resultado no depende de un dato raro, no que la señal sea cómoda.</w:t>
      </w:r>
    </w:p>
    <w:p>
      <w:pPr>
        <w:pStyle w:val="BodyText"/>
      </w:pPr>
      <w:r>
        <w:rPr>
          <w:bCs/>
          <w:b/>
        </w:rPr>
        <w:t xml:space="preserve">Prueba</w:t>
      </w:r>
      <w:r>
        <w:rPr>
          <w:bCs/>
          <w:b/>
        </w:rPr>
        <w:t xml:space="preserve"> </w:t>
      </w:r>
      <w:r>
        <w:rPr>
          <w:rStyle w:val="VerbatimChar"/>
          <w:bCs/>
          <w:b/>
        </w:rPr>
        <w:t xml:space="preserve">robustez-growth --precios</w:t>
      </w:r>
      <w:r>
        <w:rPr>
          <w:bCs/>
          <w:b/>
        </w:rPr>
        <w:t xml:space="preserve">: SÓLIDA, Mantener.</w:t>
      </w:r>
      <w:r>
        <w:t xml:space="preserve"> </w:t>
      </w:r>
      <w:r>
        <w:t xml:space="preserve">Variantes: v11 −9,8/−7,0 Mantener; v7 −8,0/−5,3 Mantener; ventas del analista −9,5/−7,0 Mantener; 25/50/25, igual;</w:t>
      </w:r>
      <w:r>
        <w:t xml:space="preserve"> </w:t>
      </w:r>
      <w:r>
        <w:rPr>
          <w:bCs/>
          <w:b/>
        </w:rPr>
        <w:t xml:space="preserve">35/50/15 −17,9/−7,0, Vender</w:t>
      </w:r>
      <w:r>
        <w:t xml:space="preserve">; precio de hoy (216,85, objetivo fijo) −9,8/−7,0 Mantener. Los avisos y cómo se leen:</w:t>
      </w:r>
      <w:r>
        <w:t xml:space="preserve"> </w:t>
      </w:r>
      <w:r>
        <w:t xml:space="preserve">-</w:t>
      </w:r>
      <w:r>
        <w:t xml:space="preserve"> </w:t>
      </w:r>
      <w:r>
        <w:rPr>
          <w:bCs/>
          <w:b/>
        </w:rPr>
        <w:t xml:space="preserve">G2: el objetivo se mueve con el precio</w:t>
      </w:r>
      <w:r>
        <w:t xml:space="preserve"> </w:t>
      </w:r>
      <w:r>
        <w:t xml:space="preserve">(elasticidad 1,01). Al ir valorada por EBITDA con un múltiplo escrito a mano, recalcular el motor solo con otro precio arrastra el objetivo. Por eso, al revisar el precio se deja</w:t>
      </w:r>
      <w:r>
        <w:t xml:space="preserve"> </w:t>
      </w:r>
      <w:r>
        <w:rPr>
          <w:bCs/>
          <w:b/>
        </w:rPr>
        <w:t xml:space="preserve">fijo el objetivo de 195,0 USD</w:t>
      </w:r>
      <w:r>
        <w:t xml:space="preserve">, con un límite de 186,2.</w:t>
      </w:r>
      <w:r>
        <w:t xml:space="preserve"> </w:t>
      </w:r>
      <w:r>
        <w:t xml:space="preserve">-</w:t>
      </w:r>
      <w:r>
        <w:t xml:space="preserve"> </w:t>
      </w:r>
      <w:r>
        <w:rPr>
          <w:bCs/>
          <w:b/>
        </w:rPr>
        <w:t xml:space="preserve">G6: bajista del −53 %.</w:t>
      </w:r>
      <w:r>
        <w:t xml:space="preserve"> </w:t>
      </w:r>
      <w:r>
        <w:t xml:space="preserve">Es lo que pasa con un múltiplo de ~13x, que es donde estaba la acción en 2023-2024. No es un escenario extremo para una acción de aviación que ha multiplicado su múltiplo por más de dos. Si algún día entrara, sería con poco peso y en tramos.</w:t>
      </w:r>
      <w:r>
        <w:t xml:space="preserve"> </w:t>
      </w:r>
      <w:r>
        <w:t xml:space="preserve">-</w:t>
      </w:r>
      <w:r>
        <w:t xml:space="preserve"> </w:t>
      </w:r>
      <w:r>
        <w:rPr>
          <w:bCs/>
          <w:b/>
        </w:rPr>
        <w:t xml:space="preserve">G8: el precio ya descuenta un 15 % anual a 10 años</w:t>
      </w:r>
      <w:r>
        <w:t xml:space="preserve">, más que el ~13 % con el que la proyección termina el periodo. Es otra forma de decir que el precio pide más de lo que el método ve.</w:t>
      </w:r>
    </w:p>
    <w:p>
      <w:pPr>
        <w:pStyle w:val="BodyText"/>
      </w:pPr>
      <w:r>
        <w:rPr>
          <w:bCs/>
          <w:b/>
        </w:rPr>
        <w:t xml:space="preserve">Pruebas propias de sensibilidad</w:t>
      </w:r>
      <w:r>
        <w:t xml:space="preserve"> </w:t>
      </w:r>
      <w:r>
        <w:t xml:space="preserve">(mismo motor v11, cambiando un dato cada vez):</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Variante</w:t>
            </w:r>
          </w:p>
        </w:tc>
        <w:tc>
          <w:tcPr/>
          <w:p>
            <w:pPr>
              <w:pStyle w:val="Compact"/>
              <w:jc w:val="left"/>
            </w:pPr>
            <w:r>
              <w:t xml:space="preserve">Puntuación</w:t>
            </w:r>
          </w:p>
        </w:tc>
        <w:tc>
          <w:tcPr/>
          <w:p>
            <w:pPr>
              <w:pStyle w:val="Compact"/>
              <w:jc w:val="left"/>
            </w:pPr>
            <w:r>
              <w:t xml:space="preserve">Ponderada</w:t>
            </w:r>
          </w:p>
        </w:tc>
        <w:tc>
          <w:tcPr/>
          <w:p>
            <w:pPr>
              <w:pStyle w:val="Compact"/>
              <w:jc w:val="left"/>
            </w:pPr>
            <w:r>
              <w:t xml:space="preserve">Base</w:t>
            </w:r>
          </w:p>
        </w:tc>
        <w:tc>
          <w:tcPr/>
          <w:p>
            <w:pPr>
              <w:pStyle w:val="Compact"/>
              <w:jc w:val="left"/>
            </w:pPr>
            <w:r>
              <w:t xml:space="preserve">Bajista</w:t>
            </w:r>
          </w:p>
        </w:tc>
        <w:tc>
          <w:tcPr/>
          <w:p>
            <w:pPr>
              <w:pStyle w:val="Compact"/>
              <w:jc w:val="left"/>
            </w:pPr>
            <w:r>
              <w:t xml:space="preserve">Señal</w:t>
            </w:r>
          </w:p>
        </w:tc>
      </w:tr>
      <w:tr>
        <w:tc>
          <w:tcPr/>
          <w:p>
            <w:pPr>
              <w:pStyle w:val="Compact"/>
              <w:jc w:val="left"/>
            </w:pPr>
            <w:r>
              <w:t xml:space="preserve">Vigente</w:t>
            </w:r>
          </w:p>
        </w:tc>
        <w:tc>
          <w:tcPr/>
          <w:p>
            <w:pPr>
              <w:pStyle w:val="Compact"/>
              <w:jc w:val="left"/>
            </w:pPr>
            <w:r>
              <w:t xml:space="preserve">59,7</w:t>
            </w:r>
          </w:p>
        </w:tc>
        <w:tc>
          <w:tcPr/>
          <w:p>
            <w:pPr>
              <w:pStyle w:val="Compact"/>
              <w:jc w:val="left"/>
            </w:pPr>
            <w:r>
              <w:t xml:space="preserve">−9,8 %</w:t>
            </w:r>
          </w:p>
        </w:tc>
        <w:tc>
          <w:tcPr/>
          <w:p>
            <w:pPr>
              <w:pStyle w:val="Compact"/>
              <w:jc w:val="left"/>
            </w:pPr>
            <w:r>
              <w:t xml:space="preserve">−7,0 %</w:t>
            </w:r>
          </w:p>
        </w:tc>
        <w:tc>
          <w:tcPr/>
          <w:p>
            <w:pPr>
              <w:pStyle w:val="Compact"/>
              <w:jc w:val="left"/>
            </w:pPr>
            <w:r>
              <w:t xml:space="preserve">−53,0 %</w:t>
            </w:r>
          </w:p>
        </w:tc>
        <w:tc>
          <w:tcPr/>
          <w:p>
            <w:pPr>
              <w:pStyle w:val="Compact"/>
              <w:jc w:val="left"/>
            </w:pPr>
            <w:r>
              <w:t xml:space="preserve">Mantener</w:t>
            </w:r>
          </w:p>
        </w:tc>
      </w:tr>
      <w:tr>
        <w:tc>
          <w:tcPr/>
          <w:p>
            <w:pPr>
              <w:pStyle w:val="Compact"/>
              <w:jc w:val="left"/>
            </w:pPr>
            <w:r>
              <w:t xml:space="preserve">Crecimiento de los 12 meses siguientes, orgánico (15 % en vez de 18,6 % con CAM)</w:t>
            </w:r>
          </w:p>
        </w:tc>
        <w:tc>
          <w:tcPr/>
          <w:p>
            <w:pPr>
              <w:pStyle w:val="Compact"/>
              <w:jc w:val="left"/>
            </w:pPr>
            <w:r>
              <w:t xml:space="preserve">59,7</w:t>
            </w:r>
          </w:p>
        </w:tc>
        <w:tc>
          <w:tcPr/>
          <w:p>
            <w:pPr>
              <w:pStyle w:val="Compact"/>
              <w:jc w:val="left"/>
            </w:pPr>
            <w:r>
              <w:t xml:space="preserve">+4,2 %</w:t>
            </w:r>
          </w:p>
        </w:tc>
        <w:tc>
          <w:tcPr/>
          <w:p>
            <w:pPr>
              <w:pStyle w:val="Compact"/>
              <w:jc w:val="left"/>
            </w:pPr>
            <w:r>
              <w:t xml:space="preserve">+7,4 %</w:t>
            </w:r>
          </w:p>
        </w:tc>
        <w:tc>
          <w:tcPr/>
          <w:p>
            <w:pPr>
              <w:pStyle w:val="Compact"/>
              <w:jc w:val="left"/>
            </w:pPr>
            <w:r>
              <w:t xml:space="preserve">−45,4 %</w:t>
            </w:r>
          </w:p>
        </w:tc>
        <w:tc>
          <w:tcPr/>
          <w:p>
            <w:pPr>
              <w:pStyle w:val="Compact"/>
              <w:jc w:val="left"/>
            </w:pPr>
            <w:r>
              <w:t xml:space="preserve">Mantener</w:t>
            </w:r>
          </w:p>
        </w:tc>
      </w:tr>
      <w:tr>
        <w:tc>
          <w:tcPr/>
          <w:p>
            <w:pPr>
              <w:pStyle w:val="Compact"/>
              <w:jc w:val="left"/>
            </w:pPr>
            <w:r>
              <w:t xml:space="preserve">Crecimiento del año objetivo 14 % (como el 2027 de consenso)</w:t>
            </w:r>
          </w:p>
        </w:tc>
        <w:tc>
          <w:tcPr/>
          <w:p>
            <w:pPr>
              <w:pStyle w:val="Compact"/>
              <w:jc w:val="left"/>
            </w:pPr>
            <w:r>
              <w:t xml:space="preserve">59,7</w:t>
            </w:r>
          </w:p>
        </w:tc>
        <w:tc>
          <w:tcPr/>
          <w:p>
            <w:pPr>
              <w:pStyle w:val="Compact"/>
              <w:jc w:val="left"/>
            </w:pPr>
            <w:r>
              <w:t xml:space="preserve">−4,3 %</w:t>
            </w:r>
          </w:p>
        </w:tc>
        <w:tc>
          <w:tcPr/>
          <w:p>
            <w:pPr>
              <w:pStyle w:val="Compact"/>
              <w:jc w:val="left"/>
            </w:pPr>
            <w:r>
              <w:t xml:space="preserve">−1,3 %</w:t>
            </w:r>
          </w:p>
        </w:tc>
        <w:tc>
          <w:tcPr/>
          <w:p>
            <w:pPr>
              <w:pStyle w:val="Compact"/>
              <w:jc w:val="left"/>
            </w:pPr>
            <w:r>
              <w:t xml:space="preserve">−50,0 %</w:t>
            </w:r>
          </w:p>
        </w:tc>
        <w:tc>
          <w:tcPr/>
          <w:p>
            <w:pPr>
              <w:pStyle w:val="Compact"/>
              <w:jc w:val="left"/>
            </w:pPr>
            <w:r>
              <w:t xml:space="preserve">Mantener</w:t>
            </w:r>
          </w:p>
        </w:tc>
      </w:tr>
      <w:tr>
        <w:tc>
          <w:tcPr/>
          <w:p>
            <w:pPr>
              <w:pStyle w:val="Compact"/>
              <w:jc w:val="left"/>
            </w:pPr>
            <w:r>
              <w:t xml:space="preserve">Las dos anteriores a la vez</w:t>
            </w:r>
          </w:p>
        </w:tc>
        <w:tc>
          <w:tcPr/>
          <w:p>
            <w:pPr>
              <w:pStyle w:val="Compact"/>
              <w:jc w:val="left"/>
            </w:pPr>
            <w:r>
              <w:t xml:space="preserve">59,7</w:t>
            </w:r>
          </w:p>
        </w:tc>
        <w:tc>
          <w:tcPr/>
          <w:p>
            <w:pPr>
              <w:pStyle w:val="Compact"/>
              <w:jc w:val="left"/>
            </w:pPr>
            <w:r>
              <w:t xml:space="preserve">+10,6 %</w:t>
            </w:r>
          </w:p>
        </w:tc>
        <w:tc>
          <w:tcPr/>
          <w:p>
            <w:pPr>
              <w:pStyle w:val="Compact"/>
              <w:jc w:val="left"/>
            </w:pPr>
            <w:r>
              <w:t xml:space="preserve">+13,9 %</w:t>
            </w:r>
          </w:p>
        </w:tc>
        <w:tc>
          <w:tcPr/>
          <w:p>
            <w:pPr>
              <w:pStyle w:val="Compact"/>
              <w:jc w:val="left"/>
            </w:pPr>
            <w:r>
              <w:t xml:space="preserve">−41,9 %</w:t>
            </w:r>
          </w:p>
        </w:tc>
        <w:tc>
          <w:tcPr/>
          <w:p>
            <w:pPr>
              <w:pStyle w:val="Compact"/>
              <w:jc w:val="left"/>
            </w:pPr>
            <w:r>
              <w:t xml:space="preserve">Mantener (solo por la puntuación)</w:t>
            </w:r>
          </w:p>
        </w:tc>
      </w:tr>
      <w:tr>
        <w:tc>
          <w:tcPr/>
          <w:p>
            <w:pPr>
              <w:pStyle w:val="Compact"/>
              <w:jc w:val="left"/>
            </w:pPr>
            <w:r>
              <w:t xml:space="preserve">Ventas base = consenso (11.960 M)</w:t>
            </w:r>
          </w:p>
        </w:tc>
        <w:tc>
          <w:tcPr/>
          <w:p>
            <w:pPr>
              <w:pStyle w:val="Compact"/>
              <w:jc w:val="left"/>
            </w:pPr>
            <w:r>
              <w:t xml:space="preserve">59,7</w:t>
            </w:r>
          </w:p>
        </w:tc>
        <w:tc>
          <w:tcPr/>
          <w:p>
            <w:pPr>
              <w:pStyle w:val="Compact"/>
              <w:jc w:val="left"/>
            </w:pPr>
            <w:r>
              <w:t xml:space="preserve">−10,5 %</w:t>
            </w:r>
          </w:p>
        </w:tc>
        <w:tc>
          <w:tcPr/>
          <w:p>
            <w:pPr>
              <w:pStyle w:val="Compact"/>
              <w:jc w:val="left"/>
            </w:pPr>
            <w:r>
              <w:t xml:space="preserve">−8,5 %</w:t>
            </w:r>
          </w:p>
        </w:tc>
        <w:tc>
          <w:tcPr/>
          <w:p>
            <w:pPr>
              <w:pStyle w:val="Compact"/>
              <w:jc w:val="left"/>
            </w:pPr>
            <w:r>
              <w:t xml:space="preserve">−53,0 %</w:t>
            </w:r>
          </w:p>
        </w:tc>
        <w:tc>
          <w:tcPr/>
          <w:p>
            <w:pPr>
              <w:pStyle w:val="Compact"/>
              <w:jc w:val="left"/>
            </w:pPr>
            <w:r>
              <w:t xml:space="preserve">Vender</w:t>
            </w:r>
          </w:p>
        </w:tc>
      </w:tr>
      <w:tr>
        <w:tc>
          <w:tcPr/>
          <w:p>
            <w:pPr>
              <w:pStyle w:val="Compact"/>
              <w:jc w:val="left"/>
            </w:pPr>
            <w:r>
              <w:t xml:space="preserve">Múltiplo de 24,8x (el mismo método que la serie histórica)</w:t>
            </w:r>
          </w:p>
        </w:tc>
        <w:tc>
          <w:tcPr/>
          <w:p>
            <w:pPr>
              <w:pStyle w:val="Compact"/>
              <w:jc w:val="left"/>
            </w:pPr>
            <w:r>
              <w:t xml:space="preserve">59,7</w:t>
            </w:r>
          </w:p>
        </w:tc>
        <w:tc>
          <w:tcPr/>
          <w:p>
            <w:pPr>
              <w:pStyle w:val="Compact"/>
              <w:jc w:val="left"/>
            </w:pPr>
            <w:r>
              <w:t xml:space="preserve">−9,8 %</w:t>
            </w:r>
          </w:p>
        </w:tc>
        <w:tc>
          <w:tcPr/>
          <w:p>
            <w:pPr>
              <w:pStyle w:val="Compact"/>
              <w:jc w:val="left"/>
            </w:pPr>
            <w:r>
              <w:t xml:space="preserve">−7,0 %</w:t>
            </w:r>
          </w:p>
        </w:tc>
        <w:tc>
          <w:tcPr/>
          <w:p>
            <w:pPr>
              <w:pStyle w:val="Compact"/>
              <w:jc w:val="left"/>
            </w:pPr>
            <w:r>
              <w:t xml:space="preserve">−53,0 %</w:t>
            </w:r>
          </w:p>
        </w:tc>
        <w:tc>
          <w:tcPr/>
          <w:p>
            <w:pPr>
              <w:pStyle w:val="Compact"/>
              <w:jc w:val="left"/>
            </w:pPr>
            <w:r>
              <w:t xml:space="preserve">Mantener</w:t>
            </w:r>
          </w:p>
        </w:tc>
      </w:tr>
      <w:tr>
        <w:tc>
          <w:tcPr/>
          <w:p>
            <w:pPr>
              <w:pStyle w:val="Compact"/>
              <w:jc w:val="left"/>
            </w:pPr>
            <w:r>
              <w:t xml:space="preserve">Posición 5 (duopolio con PCC)</w:t>
            </w:r>
          </w:p>
        </w:tc>
        <w:tc>
          <w:tcPr/>
          <w:p>
            <w:pPr>
              <w:pStyle w:val="Compact"/>
              <w:jc w:val="left"/>
            </w:pPr>
            <w:r>
              <w:t xml:space="preserve">61,0</w:t>
            </w:r>
          </w:p>
        </w:tc>
        <w:tc>
          <w:tcPr/>
          <w:p>
            <w:pPr>
              <w:pStyle w:val="Compact"/>
              <w:jc w:val="left"/>
            </w:pPr>
            <w:r>
              <w:t xml:space="preserve">−9,8 %</w:t>
            </w:r>
          </w:p>
        </w:tc>
        <w:tc>
          <w:tcPr/>
          <w:p>
            <w:pPr>
              <w:pStyle w:val="Compact"/>
              <w:jc w:val="left"/>
            </w:pPr>
            <w:r>
              <w:t xml:space="preserve">−7,0 %</w:t>
            </w:r>
          </w:p>
        </w:tc>
        <w:tc>
          <w:tcPr/>
          <w:p>
            <w:pPr>
              <w:pStyle w:val="Compact"/>
              <w:jc w:val="left"/>
            </w:pPr>
            <w:r>
              <w:t xml:space="preserve">−53,0 %</w:t>
            </w:r>
          </w:p>
        </w:tc>
        <w:tc>
          <w:tcPr/>
          <w:p>
            <w:pPr>
              <w:pStyle w:val="Compact"/>
              <w:jc w:val="left"/>
            </w:pPr>
            <w:r>
              <w:t xml:space="preserve">Mantener</w:t>
            </w:r>
          </w:p>
        </w:tc>
      </w:tr>
      <w:tr>
        <w:tc>
          <w:tcPr/>
          <w:p>
            <w:pPr>
              <w:pStyle w:val="Compact"/>
              <w:jc w:val="left"/>
            </w:pPr>
            <w:r>
              <w:t xml:space="preserve">Sin la señal de revisiones</w:t>
            </w:r>
          </w:p>
        </w:tc>
        <w:tc>
          <w:tcPr/>
          <w:p>
            <w:pPr>
              <w:pStyle w:val="Compact"/>
              <w:jc w:val="left"/>
            </w:pPr>
            <w:r>
              <w:t xml:space="preserve">57,2</w:t>
            </w:r>
          </w:p>
        </w:tc>
        <w:tc>
          <w:tcPr/>
          <w:p>
            <w:pPr>
              <w:pStyle w:val="Compact"/>
              <w:jc w:val="left"/>
            </w:pPr>
            <w:r>
              <w:t xml:space="preserve">−9,8 %</w:t>
            </w:r>
          </w:p>
        </w:tc>
        <w:tc>
          <w:tcPr/>
          <w:p>
            <w:pPr>
              <w:pStyle w:val="Compact"/>
              <w:jc w:val="left"/>
            </w:pPr>
            <w:r>
              <w:t xml:space="preserve">−7,0 %</w:t>
            </w:r>
          </w:p>
        </w:tc>
        <w:tc>
          <w:tcPr/>
          <w:p>
            <w:pPr>
              <w:pStyle w:val="Compact"/>
              <w:jc w:val="left"/>
            </w:pPr>
            <w:r>
              <w:t xml:space="preserve">−53,0 %</w:t>
            </w:r>
          </w:p>
        </w:tc>
        <w:tc>
          <w:tcPr/>
          <w:p>
            <w:pPr>
              <w:pStyle w:val="Compact"/>
              <w:jc w:val="left"/>
            </w:pPr>
            <w:r>
              <w:t xml:space="preserve">Mantener</w:t>
            </w:r>
          </w:p>
        </w:tc>
      </w:tr>
      <w:tr>
        <w:tc>
          <w:tcPr/>
          <w:p>
            <w:pPr>
              <w:pStyle w:val="Compact"/>
              <w:jc w:val="left"/>
            </w:pPr>
            <w:r>
              <w:t xml:space="preserve">Mercado alcanzable de 45.000 M</w:t>
            </w:r>
          </w:p>
        </w:tc>
        <w:tc>
          <w:tcPr/>
          <w:p>
            <w:pPr>
              <w:pStyle w:val="Compact"/>
              <w:jc w:val="left"/>
            </w:pPr>
            <w:r>
              <w:t xml:space="preserve">58,3</w:t>
            </w:r>
          </w:p>
        </w:tc>
        <w:tc>
          <w:tcPr/>
          <w:p>
            <w:pPr>
              <w:pStyle w:val="Compact"/>
              <w:jc w:val="left"/>
            </w:pPr>
            <w:r>
              <w:t xml:space="preserve">−9,8 %</w:t>
            </w:r>
          </w:p>
        </w:tc>
        <w:tc>
          <w:tcPr/>
          <w:p>
            <w:pPr>
              <w:pStyle w:val="Compact"/>
              <w:jc w:val="left"/>
            </w:pPr>
            <w:r>
              <w:t xml:space="preserve">−7,0 %</w:t>
            </w:r>
          </w:p>
        </w:tc>
        <w:tc>
          <w:tcPr/>
          <w:p>
            <w:pPr>
              <w:pStyle w:val="Compact"/>
              <w:jc w:val="left"/>
            </w:pPr>
            <w:r>
              <w:t xml:space="preserve">−53,0 %</w:t>
            </w:r>
          </w:p>
        </w:tc>
        <w:tc>
          <w:tcPr/>
          <w:p>
            <w:pPr>
              <w:pStyle w:val="Compact"/>
              <w:jc w:val="left"/>
            </w:pPr>
            <w:r>
              <w:t xml:space="preserve">Mantener</w:t>
            </w:r>
          </w:p>
        </w:tc>
      </w:tr>
      <w:tr>
        <w:tc>
          <w:tcPr/>
          <w:p>
            <w:pPr>
              <w:pStyle w:val="Compact"/>
              <w:jc w:val="left"/>
            </w:pPr>
            <w:r>
              <w:t xml:space="preserve">Probabilidades 35/50/15</w:t>
            </w:r>
          </w:p>
        </w:tc>
        <w:tc>
          <w:tcPr/>
          <w:p>
            <w:pPr>
              <w:pStyle w:val="Compact"/>
              <w:jc w:val="left"/>
            </w:pPr>
            <w:r>
              <w:t xml:space="preserve">59,7</w:t>
            </w:r>
          </w:p>
        </w:tc>
        <w:tc>
          <w:tcPr/>
          <w:p>
            <w:pPr>
              <w:pStyle w:val="Compact"/>
              <w:jc w:val="left"/>
            </w:pPr>
            <w:r>
              <w:t xml:space="preserve">−17,9 %</w:t>
            </w:r>
          </w:p>
        </w:tc>
        <w:tc>
          <w:tcPr/>
          <w:p>
            <w:pPr>
              <w:pStyle w:val="Compact"/>
              <w:jc w:val="left"/>
            </w:pPr>
            <w:r>
              <w:t xml:space="preserve">−7,0 %</w:t>
            </w:r>
          </w:p>
        </w:tc>
        <w:tc>
          <w:tcPr/>
          <w:p>
            <w:pPr>
              <w:pStyle w:val="Compact"/>
              <w:jc w:val="left"/>
            </w:pPr>
            <w:r>
              <w:t xml:space="preserve">−53,0 %</w:t>
            </w:r>
          </w:p>
        </w:tc>
        <w:tc>
          <w:tcPr/>
          <w:p>
            <w:pPr>
              <w:pStyle w:val="Compact"/>
              <w:jc w:val="left"/>
            </w:pPr>
            <w:r>
              <w:t xml:space="preserve">Vender</w:t>
            </w:r>
          </w:p>
        </w:tc>
      </w:tr>
    </w:tbl>
    <w:p>
      <w:pPr>
        <w:pStyle w:val="BodyText"/>
      </w:pPr>
      <w:r>
        <w:rPr>
          <w:bCs/>
          <w:b/>
        </w:rPr>
        <w:t xml:space="preserve">Lectura honesta:</w:t>
      </w:r>
      <w:r>
        <w:t xml:space="preserve"> </w:t>
      </w:r>
      <w:r>
        <w:t xml:space="preserve">la señal es Mantener (no comprar), y es</w:t>
      </w:r>
      <w:r>
        <w:t xml:space="preserve"> </w:t>
      </w:r>
      <w:r>
        <w:rPr>
          <w:bCs/>
          <w:b/>
        </w:rPr>
        <w:t xml:space="preserve">sólida en la dirección</w:t>
      </w:r>
      <w:r>
        <w:t xml:space="preserve">, pero con una salvedad que hay que decir. Lo que más pesa es el factor de desaceleración (0,82), y este compara un crecimiento a 12 meses</w:t>
      </w:r>
      <w:r>
        <w:t xml:space="preserve"> </w:t>
      </w:r>
      <w:r>
        <w:rPr>
          <w:bCs/>
          <w:b/>
        </w:rPr>
        <w:t xml:space="preserve">inflado por la compra de CAM</w:t>
      </w:r>
      <w:r>
        <w:t xml:space="preserve"> </w:t>
      </w:r>
      <w:r>
        <w:t xml:space="preserve">(18,6 %) con uno del año objetivo que ya es orgánico (12,5 %). Esa mezcla exagera el frenazo. Con el crecimiento orgánico (15 %), la ponderada pasa de −9,8 % a +4,2 %, y la señal sigue siendo Mantener. Solo con supuestos generosos en las dos variables (orgánico y 14 %) la rentabilidad llegaría a +10,6 %, y aun así no compraría, porque la puntuación (59,7) se queda por debajo de 60. Con ningún supuesto razonable sale Comprar a 217 USD. En el otro sentido, con las ventas del consenso o con probabilidades más prudentes pasa a Vender: la señal está</w:t>
      </w:r>
      <w:r>
        <w:t xml:space="preserve"> </w:t>
      </w:r>
      <w:r>
        <w:rPr>
          <w:bCs/>
          <w:b/>
        </w:rPr>
        <w:t xml:space="preserve">entre Mantener y Vender, no entre Mantener y Comprar</w:t>
      </w:r>
      <w:r>
        <w:t xml:space="preserve">.</w:t>
      </w:r>
    </w:p>
    <w:p>
      <w:pPr>
        <w:pStyle w:val="BodyText"/>
      </w:pPr>
      <w:r>
        <w:rPr>
          <w:bCs/>
          <w:b/>
        </w:rPr>
        <w:t xml:space="preserve">Riesgos del negocio:</w:t>
      </w:r>
      <w:r>
        <w:t xml:space="preserve"> </w:t>
      </w:r>
      <w:r>
        <w:t xml:space="preserve">-</w:t>
      </w:r>
      <w:r>
        <w:t xml:space="preserve"> </w:t>
      </w:r>
      <w:r>
        <w:rPr>
          <w:bCs/>
          <w:b/>
        </w:rPr>
        <w:t xml:space="preserve">Integración vertical de los clientes</w:t>
      </w:r>
      <w:r>
        <w:t xml:space="preserve">: GE Aerospace (~11 % de las ventas) compra CPP y SpaceX monta su propia fundición. A corto plazo Howmet sigue teniendo contratos largos y la escasez de capacidad de su lado, pero a 3-5 años puede perder volumen o poder de precio en álabes, que es su negocio de mayor margen [5][8].</w:t>
      </w:r>
      <w:r>
        <w:t xml:space="preserve"> </w:t>
      </w:r>
      <w:r>
        <w:t xml:space="preserve">-</w:t>
      </w:r>
      <w:r>
        <w:t xml:space="preserve"> </w:t>
      </w:r>
      <w:r>
        <w:rPr>
          <w:bCs/>
          <w:b/>
        </w:rPr>
        <w:t xml:space="preserve">Concentración</w:t>
      </w:r>
      <w:r>
        <w:t xml:space="preserve">: RTX y GE suman ~22 % de las ventas, y Boeing, Airbus y los fabricantes de motores dominan la demanda. Un problema de calidad en un motor (como el del GTF de Pratt &amp; Whitney) o un frenazo de Boeing pegaría directamente [5].</w:t>
      </w:r>
      <w:r>
        <w:t xml:space="preserve"> </w:t>
      </w:r>
      <w:r>
        <w:t xml:space="preserve">-</w:t>
      </w:r>
      <w:r>
        <w:t xml:space="preserve"> </w:t>
      </w:r>
      <w:r>
        <w:rPr>
          <w:bCs/>
          <w:b/>
        </w:rPr>
        <w:t xml:space="preserve">Ciclo de turbinas de gas y centros de datos</w:t>
      </w:r>
      <w:r>
        <w:t xml:space="preserve">: es la parte que más crece (+38 %), y la más expuesta a que se enfríe la inversión en centros de datos de IA.</w:t>
      </w:r>
      <w:r>
        <w:t xml:space="preserve"> </w:t>
      </w:r>
      <w:r>
        <w:t xml:space="preserve">-</w:t>
      </w:r>
      <w:r>
        <w:t xml:space="preserve"> </w:t>
      </w:r>
      <w:r>
        <w:rPr>
          <w:bCs/>
          <w:b/>
        </w:rPr>
        <w:t xml:space="preserve">Valoración</w:t>
      </w:r>
      <w:r>
        <w:t xml:space="preserve">: 26x EBITDA y ~41x el beneficio de 2026. Si el múltiplo vuelve a la mediana de sus comparables (~19x), el precio caería ~25 % aunque el negocio cumpla.</w:t>
      </w:r>
      <w:r>
        <w:t xml:space="preserve"> </w:t>
      </w:r>
      <w:r>
        <w:t xml:space="preserve">-</w:t>
      </w:r>
      <w:r>
        <w:t xml:space="preserve"> </w:t>
      </w:r>
      <w:r>
        <w:rPr>
          <w:bCs/>
          <w:b/>
        </w:rPr>
        <w:t xml:space="preserve">Sucesión de John Plant</w:t>
      </w:r>
      <w:r>
        <w:t xml:space="preserve"> </w:t>
      </w:r>
      <w:r>
        <w:t xml:space="preserve">y aranceles o costes de materias primas (níquel, titanio, aluminio; el aluminio se repercute en las llantas).</w:t>
      </w:r>
      <w:r>
        <w:t xml:space="preserve"> </w:t>
      </w:r>
      <w:r>
        <w:t xml:space="preserve">-</w:t>
      </w:r>
      <w:r>
        <w:t xml:space="preserve"> </w:t>
      </w:r>
      <w:r>
        <w:rPr>
          <w:bCs/>
          <w:b/>
        </w:rPr>
        <w:t xml:space="preserve">Riesgo de IA: bajo, y a favor.</w:t>
      </w:r>
      <w:r>
        <w:t xml:space="preserve"> </w:t>
      </w:r>
      <w:r>
        <w:t xml:space="preserve">Howmet fabrica piezas físicas certificadas que la IA no sustituye. La IA le sube la demanda, porque las turbinas de gas para centros de datos son su mercado que más crece. Los riesgos de verdad son dos, y no son de sustitución por la IA: que la fabricación aditiva (impresión 3D de metal) sustituya parte de las piezas fundidas a largo plazo, y que se pinche la inversión en centros de datos, que deflactaría el segmento de turbinas.</w:t>
      </w:r>
    </w:p>
    <w:p>
      <w:pPr>
        <w:pStyle w:val="BodyText"/>
      </w:pPr>
      <w:r>
        <w:rPr>
          <w:bCs/>
          <w:b/>
        </w:rPr>
        <w:t xml:space="preserve">Señales de venta concretas</w:t>
      </w:r>
      <w:r>
        <w:t xml:space="preserve"> </w:t>
      </w:r>
      <w:r>
        <w:t xml:space="preserve">(si se tuviera): crecimiento orgánico por debajo del 10 % dos trimestres seguidos; perder una plataforma de álabes con GE o RTX; una guía de 2027 por debajo de ~11.000 M; caída del margen EBITDA por debajo del 30 %; o que SpaceX o GE con CPP anuncien que cualifican álabes de primera etapa de motor de avión.</w:t>
      </w:r>
    </w:p>
    <w:bookmarkEnd w:id="30"/>
    <w:bookmarkStart w:id="31"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Fecha</w:t>
            </w:r>
          </w:p>
        </w:tc>
        <w:tc>
          <w:tcPr/>
          <w:p>
            <w:pPr>
              <w:pStyle w:val="Compact"/>
              <w:jc w:val="left"/>
            </w:pPr>
            <w:r>
              <w:t xml:space="preserve">Evento</w:t>
            </w:r>
          </w:p>
        </w:tc>
      </w:tr>
      <w:tr>
        <w:tc>
          <w:tcPr/>
          <w:p>
            <w:pPr>
              <w:pStyle w:val="Compact"/>
              <w:jc w:val="left"/>
            </w:pPr>
            <w:r>
              <w:t xml:space="preserve">29-oct-2026 (estimada)</w:t>
            </w:r>
          </w:p>
        </w:tc>
        <w:tc>
          <w:tcPr/>
          <w:p>
            <w:pPr>
              <w:pStyle w:val="Compact"/>
              <w:jc w:val="left"/>
            </w:pPr>
            <w:r>
              <w:t xml:space="preserve">Resultados del 3T26: guía de 2.575 M en ventas y 830 M de EBITDA; el consenso espera 2.590 M [1][6]</w:t>
            </w:r>
          </w:p>
        </w:tc>
      </w:tr>
      <w:tr>
        <w:tc>
          <w:tcPr/>
          <w:p>
            <w:pPr>
              <w:pStyle w:val="Compact"/>
              <w:jc w:val="left"/>
            </w:pPr>
            <w:r>
              <w:t xml:space="preserve">Feb-2027</w:t>
            </w:r>
          </w:p>
        </w:tc>
        <w:tc>
          <w:tcPr/>
          <w:p>
            <w:pPr>
              <w:pStyle w:val="Compact"/>
              <w:jc w:val="left"/>
            </w:pPr>
            <w:r>
              <w:t xml:space="preserve">Resultados de 2026 y</w:t>
            </w:r>
            <w:r>
              <w:t xml:space="preserve"> </w:t>
            </w:r>
            <w:r>
              <w:rPr>
                <w:bCs/>
                <w:b/>
              </w:rPr>
              <w:t xml:space="preserve">primera guía de 2027</w:t>
            </w:r>
            <w:r>
              <w:t xml:space="preserve"> </w:t>
            </w:r>
            <w:r>
              <w:t xml:space="preserve">(con CAM ya en la base; inversiones más altas) [1]</w:t>
            </w:r>
          </w:p>
        </w:tc>
      </w:tr>
      <w:tr>
        <w:tc>
          <w:tcPr/>
          <w:p>
            <w:pPr>
              <w:pStyle w:val="Compact"/>
              <w:jc w:val="left"/>
            </w:pPr>
            <w:r>
              <w:t xml:space="preserve">2S-2027</w:t>
            </w:r>
          </w:p>
        </w:tc>
        <w:tc>
          <w:tcPr/>
          <w:p>
            <w:pPr>
              <w:pStyle w:val="Compact"/>
              <w:jc w:val="left"/>
            </w:pPr>
            <w:r>
              <w:t xml:space="preserve">Cierre previsto de la compra de CPP por GE Aerospace (revisión de competencia) [8]</w:t>
            </w:r>
          </w:p>
        </w:tc>
      </w:tr>
      <w:tr>
        <w:tc>
          <w:tcPr/>
          <w:p>
            <w:pPr>
              <w:pStyle w:val="Compact"/>
              <w:jc w:val="left"/>
            </w:pPr>
            <w:r>
              <w:t xml:space="preserve">2026-2027</w:t>
            </w:r>
          </w:p>
        </w:tc>
        <w:tc>
          <w:tcPr/>
          <w:p>
            <w:pPr>
              <w:pStyle w:val="Compact"/>
              <w:jc w:val="left"/>
            </w:pPr>
            <w:r>
              <w:t xml:space="preserve">Subidas de cadencia del 737 MAX y del A320neo; recambios de motores LEAP y GTF</w:t>
            </w:r>
          </w:p>
        </w:tc>
      </w:tr>
      <w:tr>
        <w:tc>
          <w:tcPr/>
          <w:p>
            <w:pPr>
              <w:pStyle w:val="Compact"/>
              <w:jc w:val="left"/>
            </w:pPr>
            <w:r>
              <w:t xml:space="preserve">Continuo</w:t>
            </w:r>
          </w:p>
        </w:tc>
        <w:tc>
          <w:tcPr/>
          <w:p>
            <w:pPr>
              <w:pStyle w:val="Compact"/>
              <w:jc w:val="left"/>
            </w:pPr>
            <w:r>
              <w:t xml:space="preserve">Pedidos de turbinas de gas para centros de datos; avances de la fundición de SpaceX en Bastrop</w:t>
            </w:r>
          </w:p>
        </w:tc>
      </w:tr>
    </w:tbl>
    <w:bookmarkEnd w:id="31"/>
    <w:bookmarkStart w:id="32" w:name="encaje-en-cartera"/>
    <w:p>
      <w:pPr>
        <w:pStyle w:val="Heading2"/>
      </w:pPr>
      <w:r>
        <w:t xml:space="preserve">13. Encaje en cartera</w:t>
      </w:r>
    </w:p>
    <w:p>
      <w:pPr>
        <w:numPr>
          <w:ilvl w:val="0"/>
          <w:numId w:val="1011"/>
        </w:numPr>
        <w:pStyle w:val="Compact"/>
      </w:pPr>
      <w:r>
        <w:rPr>
          <w:bCs/>
          <w:b/>
        </w:rPr>
        <w:t xml:space="preserve">Bolsillo growth lleno (~20 %)</w:t>
      </w:r>
      <w:r>
        <w:t xml:space="preserve">: Nu (+19 %), Axon (+36 %), Shopify (+18 %), Snowflake (+13 %) y Samsara (+15 %), al precio actual con v11. La liquidez es de ≈27 EUR, así que solo cabe sustituir. Alphabet se vende mañana y no cuenta como exposición a IA de la cartera.</w:t>
      </w:r>
    </w:p>
    <w:p>
      <w:pPr>
        <w:numPr>
          <w:ilvl w:val="0"/>
          <w:numId w:val="1011"/>
        </w:numPr>
        <w:pStyle w:val="Compact"/>
      </w:pPr>
      <w:r>
        <w:rPr>
          <w:bCs/>
          <w:b/>
        </w:rPr>
        <w:t xml:space="preserve">Howmet al precio actual: −9,8 % de ponderada</w:t>
      </w:r>
      <w:r>
        <w:t xml:space="preserve"> </w:t>
      </w:r>
      <w:r>
        <w:t xml:space="preserve">(objetivo fijo de 195,0 USD frente a 216,84).</w:t>
      </w:r>
      <w:r>
        <w:t xml:space="preserve"> </w:t>
      </w:r>
      <w:r>
        <w:rPr>
          <w:bCs/>
          <w:b/>
        </w:rPr>
        <w:t xml:space="preserve">No es Comprar</w:t>
      </w:r>
      <w:r>
        <w:t xml:space="preserve">, así que no sustituye a ninguna de las cinco ni entra en la lista de suplentes (MongoDB, Toast, Zscaler, Dexcom, Datadog, argenx, Natera y Saab, todas en Comprar). Queda entre las de</w:t>
      </w:r>
      <w:r>
        <w:t xml:space="preserve"> </w:t>
      </w:r>
      <w:r>
        <w:rPr>
          <w:bCs/>
          <w:b/>
        </w:rPr>
        <w:t xml:space="preserve">Mantener / no comprar</w:t>
      </w:r>
      <w:r>
        <w:t xml:space="preserve">, junto a Eli Lilly, Arista o Comfort Systems.</w:t>
      </w:r>
    </w:p>
    <w:p>
      <w:pPr>
        <w:numPr>
          <w:ilvl w:val="0"/>
          <w:numId w:val="1011"/>
        </w:numPr>
        <w:pStyle w:val="Compact"/>
      </w:pPr>
      <w:r>
        <w:rPr>
          <w:bCs/>
          <w:b/>
        </w:rPr>
        <w:t xml:space="preserve">Qué aportaría</w:t>
      </w:r>
      <w:r>
        <w:t xml:space="preserve">: sería la única de aviación del bolsillo y le daría una exposición indirecta, física y no sustituible a la demanda eléctrica de la IA, a través de las turbinas de gas. Eso diversifica frente a un bolsillo de software, fintech y salud. Pero no compensa pagar 26x el EBITDA con una rentabilidad esperada negativa.</w:t>
      </w:r>
    </w:p>
    <w:p>
      <w:pPr>
        <w:numPr>
          <w:ilvl w:val="0"/>
          <w:numId w:val="1011"/>
        </w:numPr>
        <w:pStyle w:val="Compact"/>
      </w:pPr>
      <w:r>
        <w:rPr>
          <w:bCs/>
          <w:b/>
        </w:rPr>
        <w:t xml:space="preserve">Cuándo cambiaría</w:t>
      </w:r>
      <w:r>
        <w:t xml:space="preserve">: (a)</w:t>
      </w:r>
      <w:r>
        <w:t xml:space="preserve"> </w:t>
      </w:r>
      <w:r>
        <w:rPr>
          <w:bCs/>
          <w:b/>
        </w:rPr>
        <w:t xml:space="preserve">por debajo de 186 USD</w:t>
      </w:r>
      <w:r>
        <w:t xml:space="preserve"> </w:t>
      </w:r>
      <w:r>
        <w:t xml:space="preserve">(el «compra hasta»; un 14 % por debajo del precio de hoy). Allí la ponderada con el objetivo fijo sería de ~+5 %, por debajo de la peor suplente, así que solo entraría a la lista. Para competir con las cinco del bolsillo (≥ +13 %) haría falta un precio de ~173 USD, y también</w:t>
      </w:r>
      <w:r>
        <w:t xml:space="preserve"> </w:t>
      </w:r>
      <w:r>
        <w:rPr>
          <w:bCs/>
          <w:b/>
        </w:rPr>
        <w:t xml:space="preserve">una señal más</w:t>
      </w:r>
      <w:r>
        <w:t xml:space="preserve"> </w:t>
      </w:r>
      <w:r>
        <w:t xml:space="preserve">(por ejemplo, volver sobre la media de 200 sesiones) para pasar de 60 puntos. (b) Que la guía de 2027 (feb) confirme un crecimiento orgánico ≥ 13-14 % y el consenso de 2028 suba. Eso reduciría la rebaja por desaceleración y mejoraría la base.</w:t>
      </w:r>
    </w:p>
    <w:p>
      <w:pPr>
        <w:numPr>
          <w:ilvl w:val="0"/>
          <w:numId w:val="1011"/>
        </w:numPr>
        <w:pStyle w:val="Compact"/>
      </w:pPr>
      <w:r>
        <w:t xml:space="preserve">No está en la cartera value ni tiene informe value. Rolls-Royce, de la misma tanda, es la comparable directa de aviación.</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13,3</w:t>
            </w:r>
          </w:p>
        </w:tc>
        <w:tc>
          <w:tcPr/>
          <w:p>
            <w:pPr>
              <w:pStyle w:val="Compact"/>
              <w:jc w:val="left"/>
            </w:pPr>
            <w:r>
              <w:t xml:space="preserve">25</w:t>
            </w:r>
          </w:p>
        </w:tc>
        <w:tc>
          <w:tcPr/>
          <w:p>
            <w:pPr>
              <w:pStyle w:val="Compact"/>
              <w:jc w:val="left"/>
            </w:pPr>
            <w:r>
              <w:t xml:space="preserve">Ventas a 12 meses +18,1 % (2), CAGR propio a 2 años 14,5 % (1), aceleración +9,9 pp (5)</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c>
          <w:tcPr/>
          <w:p>
            <w:pPr>
              <w:pStyle w:val="Compact"/>
              <w:jc w:val="left"/>
            </w:pPr>
            <w:r>
              <w:t xml:space="preserve">Penetración 16,6 % (2), tecnología 4, posición 4</w:t>
            </w:r>
          </w:p>
        </w:tc>
      </w:tr>
      <w:tr>
        <w:tc>
          <w:tcPr/>
          <w:p>
            <w:pPr>
              <w:pStyle w:val="Compact"/>
              <w:jc w:val="left"/>
            </w:pPr>
            <w:r>
              <w:t xml:space="preserve">C. Cambio de tendencia</w:t>
            </w:r>
          </w:p>
        </w:tc>
        <w:tc>
          <w:tcPr/>
          <w:p>
            <w:pPr>
              <w:pStyle w:val="Compact"/>
              <w:jc w:val="left"/>
            </w:pPr>
            <w:r>
              <w:t xml:space="preserve">5</w:t>
            </w:r>
          </w:p>
        </w:tc>
        <w:tc>
          <w:tcPr/>
          <w:p>
            <w:pPr>
              <w:pStyle w:val="Compact"/>
              <w:jc w:val="left"/>
            </w:pPr>
            <w:r>
              <w:t xml:space="preserve">20</w:t>
            </w:r>
          </w:p>
        </w:tc>
        <w:tc>
          <w:tcPr/>
          <w:p>
            <w:pPr>
              <w:pStyle w:val="Compact"/>
              <w:jc w:val="left"/>
            </w:pPr>
            <w:r>
              <w:t xml:space="preserve">2 señales (revisiones y catalizador); sin euforia</w:t>
            </w:r>
          </w:p>
        </w:tc>
      </w:tr>
      <w:tr>
        <w:tc>
          <w:tcPr/>
          <w:p>
            <w:pPr>
              <w:pStyle w:val="Compact"/>
              <w:jc w:val="left"/>
            </w:pPr>
            <w:r>
              <w:t xml:space="preserve">D. Economía unitaria</w:t>
            </w:r>
          </w:p>
        </w:tc>
        <w:tc>
          <w:tcPr/>
          <w:p>
            <w:pPr>
              <w:pStyle w:val="Compact"/>
              <w:jc w:val="left"/>
            </w:pPr>
            <w:r>
              <w:t xml:space="preserve">9</w:t>
            </w:r>
          </w:p>
        </w:tc>
        <w:tc>
          <w:tcPr/>
          <w:p>
            <w:pPr>
              <w:pStyle w:val="Compact"/>
              <w:jc w:val="left"/>
            </w:pPr>
            <w:r>
              <w:t xml:space="preserve">15</w:t>
            </w:r>
          </w:p>
        </w:tc>
        <w:tc>
          <w:tcPr/>
          <w:p>
            <w:pPr>
              <w:pStyle w:val="Compact"/>
              <w:jc w:val="left"/>
            </w:pPr>
            <w:r>
              <w:t xml:space="preserve">Margen bruto 32,7 % (2), regla del 40 = 37,7 (2), FCF creciente (5)</w:t>
            </w:r>
          </w:p>
        </w:tc>
      </w:tr>
      <w:tr>
        <w:tc>
          <w:tcPr/>
          <w:p>
            <w:pPr>
              <w:pStyle w:val="Compact"/>
              <w:jc w:val="left"/>
            </w:pPr>
            <w:r>
              <w:t xml:space="preserve">E. Caja y dilución</w:t>
            </w:r>
          </w:p>
        </w:tc>
        <w:tc>
          <w:tcPr/>
          <w:p>
            <w:pPr>
              <w:pStyle w:val="Compact"/>
              <w:jc w:val="left"/>
            </w:pPr>
            <w:r>
              <w:t xml:space="preserve">10</w:t>
            </w:r>
          </w:p>
        </w:tc>
        <w:tc>
          <w:tcPr/>
          <w:p>
            <w:pPr>
              <w:pStyle w:val="Compact"/>
              <w:jc w:val="left"/>
            </w:pPr>
            <w:r>
              <w:t xml:space="preserve">10</w:t>
            </w:r>
          </w:p>
        </w:tc>
        <w:tc>
          <w:tcPr/>
          <w:p>
            <w:pPr>
              <w:pStyle w:val="Compact"/>
              <w:jc w:val="left"/>
            </w:pPr>
            <w:r>
              <w:t xml:space="preserve">FCF positivo, recompras (dilución −1 %)</w:t>
            </w:r>
          </w:p>
        </w:tc>
      </w:tr>
      <w:tr>
        <w:tc>
          <w:tcPr/>
          <w:p>
            <w:pPr>
              <w:pStyle w:val="Compact"/>
              <w:jc w:val="left"/>
            </w:pPr>
            <w:r>
              <w:t xml:space="preserve">F. Ejecución y dirección</w:t>
            </w:r>
          </w:p>
        </w:tc>
        <w:tc>
          <w:tcPr/>
          <w:p>
            <w:pPr>
              <w:pStyle w:val="Compact"/>
              <w:jc w:val="left"/>
            </w:pPr>
            <w:r>
              <w:t xml:space="preserve">9</w:t>
            </w:r>
          </w:p>
        </w:tc>
        <w:tc>
          <w:tcPr/>
          <w:p>
            <w:pPr>
              <w:pStyle w:val="Compact"/>
              <w:jc w:val="left"/>
            </w:pPr>
            <w:r>
              <w:t xml:space="preserve">10</w:t>
            </w:r>
          </w:p>
        </w:tc>
        <w:tc>
          <w:tcPr/>
          <w:p>
            <w:pPr>
              <w:pStyle w:val="Compact"/>
              <w:jc w:val="left"/>
            </w:pPr>
            <w:r>
              <w:t xml:space="preserve">Historial 5, dirección 4</w:t>
            </w:r>
          </w:p>
        </w:tc>
      </w:tr>
      <w:tr>
        <w:tc>
          <w:tcPr/>
          <w:p>
            <w:pPr>
              <w:pStyle w:val="Compact"/>
              <w:jc w:val="left"/>
            </w:pPr>
            <w:r>
              <w:rPr>
                <w:bCs/>
                <w:b/>
              </w:rPr>
              <w:t xml:space="preserve">Total</w:t>
            </w:r>
          </w:p>
        </w:tc>
        <w:tc>
          <w:tcPr/>
          <w:p>
            <w:pPr>
              <w:pStyle w:val="Compact"/>
              <w:jc w:val="left"/>
            </w:pPr>
            <w:r>
              <w:rPr>
                <w:bCs/>
                <w:b/>
              </w:rPr>
              <w:t xml:space="preserve">59,7</w:t>
            </w:r>
          </w:p>
        </w:tc>
        <w:tc>
          <w:tcPr/>
          <w:p>
            <w:pPr>
              <w:pStyle w:val="Compact"/>
              <w:jc w:val="left"/>
            </w:pPr>
            <w:r>
              <w:rPr>
                <w:bCs/>
                <w:b/>
              </w:rPr>
              <w:t xml:space="preserve">100</w:t>
            </w:r>
          </w:p>
        </w:tc>
        <w:tc>
          <w:tcPr/>
          <w:p>
            <w:pPr>
              <w:pStyle w:val="Compact"/>
            </w:pPr>
          </w:p>
        </w:tc>
      </w:tr>
    </w:tbl>
    <w:p>
      <w:pPr>
        <w:pStyle w:val="BodyText"/>
      </w:pPr>
      <w:r>
        <w:rPr>
          <w:bCs/>
          <w:b/>
        </w:rPr>
        <w:t xml:space="preserve">Mejora de método propuesta</w:t>
      </w:r>
      <w:r>
        <w:t xml:space="preserve"> </w:t>
      </w:r>
      <w:r>
        <w:t xml:space="preserve">(pendiente de probar con el backtest, no aplicada): cuando las compras o ventas de negocios muevan más de 2 pp el crecimiento de los 12 meses siguientes, la rebaja por desaceleración debería usar el</w:t>
      </w:r>
      <w:r>
        <w:t xml:space="preserve"> </w:t>
      </w:r>
      <w:r>
        <w:rPr>
          <w:bCs/>
          <w:b/>
        </w:rPr>
        <w:t xml:space="preserve">crecimiento orgánico</w:t>
      </w:r>
      <w:r>
        <w:t xml:space="preserve"> </w:t>
      </w:r>
      <w:r>
        <w:t xml:space="preserve">en los dos extremos. Hoy compara un crecimiento con compras (18,6 %) con uno orgánico (12,5 %), y eso exagera el frenazo. En Howmet, la ponderada pasa de −9,8 % a +4,2 % sin cambiar la señal. Se podría hacer con un campo opcional</w:t>
      </w:r>
      <w:r>
        <w:t xml:space="preserve"> </w:t>
      </w:r>
      <w:r>
        <w:rPr>
          <w:rStyle w:val="VerbatimChar"/>
        </w:rPr>
        <w:t xml:space="preserve">crecimiento_actual_organico_pct</w:t>
      </w:r>
      <w:r>
        <w:t xml:space="preserve">.</w:t>
      </w:r>
    </w:p>
    <w:bookmarkEnd w:id="33"/>
    <w:bookmarkStart w:id="34" w:name="fuentes"/>
    <w:p>
      <w:pPr>
        <w:pStyle w:val="Heading2"/>
      </w:pPr>
      <w:r>
        <w:t xml:space="preserve">Fuentes</w:t>
      </w:r>
    </w:p>
    <w:p>
      <w:pPr>
        <w:pStyle w:val="FirstParagraph"/>
      </w:pPr>
      <w:r>
        <w:t xml:space="preserve">[1] Howmet Aerospace, 8-K de 6-ago-2026, EX-99.1, resultados del 2T26 (SEC; sec.gov/Archives/edgar/data/4281/000110465926091610): ventas, EBITDA, FCF, segmentos 1T25-2T26, balance, recompras, guía del 3T26 y de 2026</w:t>
      </w:r>
      <w:r>
        <w:t xml:space="preserve"> </w:t>
      </w:r>
      <w:r>
        <w:t xml:space="preserve">[2] Howmet, 8-K de 7-may-2026, EX-99.1: resultados del 1T26, guía del 2T26 y de 2026 (9.650 M), CAM y Savannah</w:t>
      </w:r>
      <w:r>
        <w:t xml:space="preserve"> </w:t>
      </w:r>
      <w:r>
        <w:t xml:space="preserve">[3] Howmet, 8-K de 12-feb-2026, EX-99.1: resultados de 2025 y primera guía de 2026 (9.100 M); guía del 1T26 (2.235 M)</w:t>
      </w:r>
      <w:r>
        <w:t xml:space="preserve"> </w:t>
      </w:r>
      <w:r>
        <w:t xml:space="preserve">[4] Howmet, 8-K de 13-feb-2025, 1-may-2025, 31-jul-2025 y 30-oct-2025: guías trimestrales y anuales de 2025</w:t>
      </w:r>
      <w:r>
        <w:t xml:space="preserve"> </w:t>
      </w:r>
      <w:r>
        <w:t xml:space="preserve">[5] Howmet, 10-K del ejercicio 2025 (SEC): mercados, clientes (RTX y GE ~11 % cada uno), competidores, patentes</w:t>
      </w:r>
      <w:r>
        <w:t xml:space="preserve"> </w:t>
      </w:r>
      <w:r>
        <w:t xml:space="preserve">[6] Yahoo Finance, quoteSummary (14-oct-2026): estimaciones y revisiones a 7, 30, 60 y 90 días, recomendaciones, cambios de precio objetivo, directivos, institucionales y fecha estimada de resultados</w:t>
      </w:r>
      <w:r>
        <w:t xml:space="preserve"> </w:t>
      </w:r>
      <w:r>
        <w:t xml:space="preserve">[7] StockAnalysis.com (S&amp;P Global, 9-oct-2026): consenso de ventas 2026-2027, BPA y precio objetivo (327,05 USD); Stocksguide, vía buscador: consenso de ventas de 2028 de ~12.400 M (sin verificar)</w:t>
      </w:r>
      <w:r>
        <w:t xml:space="preserve"> </w:t>
      </w:r>
      <w:r>
        <w:t xml:space="preserve">[8] Turbomachinery Magazine (11-sep-2026): GE Aerospace compra CPP por 11.750 M y SpaceX instala una fundición en Bastrop; CNBC (1-sep-2026) y TheStreet sobre la caída por SpaceX</w:t>
      </w:r>
      <w:r>
        <w:t xml:space="preserve"> </w:t>
      </w:r>
      <w:r>
        <w:t xml:space="preserve">[9] Yahoo Finance chart API (HWM y ^GSPC; cierre de 216,84 USD el 13-oct; 216,84 USD intradía el 14-oct a las 17:42 UTC) y Nasdaq.com, histórico (cierre de 216,84 USD el 13-oct) como segunda fuente</w:t>
      </w:r>
      <w:r>
        <w:t xml:space="preserve"> </w:t>
      </w:r>
      <w:r>
        <w:t xml:space="preserve">[10] Múltiplos históricos: estimación propia con cierres diarios, deuda y caja de XBRL y EBITDA ajustado anual de las notas (2026 por la guía; 2027 estimado)</w:t>
      </w:r>
      <w:r>
        <w:t xml:space="preserve"> </w:t>
      </w:r>
      <w:r>
        <w:t xml:space="preserve">[11] ad-hoc-news y Tickeron (15-sep-2026); Seeking Alpha (25-jul y 3-sep-2026); TIKR (caída tras la compra de CPP)</w:t>
      </w:r>
      <w:r>
        <w:t xml:space="preserve"> </w:t>
      </w:r>
      <w:r>
        <w:t xml:space="preserve">[12] Bernstein (objetivo de 328), Citi (329, vigilancia de catalizador) y 22V Research, vía Parameter.io, CoinCentral y Crypto Briefing (31-ago a 3-sep-2026)</w:t>
      </w:r>
      <w:r>
        <w:t xml:space="preserve"> </w:t>
      </w:r>
      <w:r>
        <w:t xml:space="preserve">[13] SEC: Form 4 (ventas de N. Marchuk), Schedule 13G de Vanguard (7,47 %) y 13G/A de JPMorgan (4,5 %)</w:t>
      </w:r>
      <w:r>
        <w:t xml:space="preserve"> </w:t>
      </w:r>
      <w:r>
        <w:t xml:space="preserve">[14] Yahoo Finance, estadísticas clave a 14-oct-2026: EV/EBITDA de 12 meses pasados de Howmet y de sus comparables</w:t>
      </w:r>
      <w:r>
        <w:t xml:space="preserve"> </w:t>
      </w:r>
      <w:r>
        <w:t xml:space="preserve">[15] Mercado alcanzable: estimación propia, en parte de memoria</w:t>
      </w:r>
      <w:r>
        <w:t xml:space="preserve"> </w:t>
      </w:r>
      <w:r>
        <w:t xml:space="preserve">[16] SEC XBRL companyfacts (CIK 4281): ventas trimestrales, coste de ventas, acciones, pagos en acciones, capex, deuda y caja</w:t>
      </w:r>
    </w:p>
    <w:p>
      <w:pPr>
        <w:pStyle w:val="BodyText"/>
      </w:pPr>
      <w:r>
        <w:rPr>
          <w:iCs/>
          <w:i/>
        </w:rPr>
        <w:t xml:space="preserve">Limitaciones: no he encontrado un consenso de EBITDA para 2027 ni un consenso de ventas de 2028 verificable, así que el EBITDA de los 12 meses siguientes y la ventana objetivo del consenso son estimaciones propias, construidas con la guía y el consenso de ventas. La serie histórica del múltiplo usa el EBITDA que finalmente se dio. El mercado alcanzable es una estimación, en parte de memoria. Reddit, StockTwits y los foros en castellano no devolvieron hilos recientes. Van de memoria, sin comprobar, la edad de John Plant y la falta de un sucesor anunciado.</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2026-10-14T17:47:05Z</dcterms:created>
  <dcterms:modified xsi:type="dcterms:W3CDTF">2026-10-14T17:47:05Z</dcterms:modified>
</cp:coreProperties>
</file>

<file path=docProps/custom.xml><?xml version="1.0" encoding="utf-8"?>
<Properties xmlns="http://schemas.openxmlformats.org/officeDocument/2006/custom-properties" xmlns:vt="http://schemas.openxmlformats.org/officeDocument/2006/docPropsVTypes"/>
</file>