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a86355cf8a8f989644e8ba4b0f73518cbcd732"/>
    <w:p>
      <w:pPr>
        <w:pStyle w:val="Heading1"/>
      </w:pPr>
      <w:r>
        <w:t xml:space="preserve">Rolls-Royce Holdings (RR., Londres): análisis growth, 14-oct-2026</w:t>
      </w:r>
    </w:p>
    <w:p>
      <w:pPr>
        <w:pStyle w:val="FirstParagraph"/>
      </w:pPr>
      <w:r>
        <w:rPr>
          <w:bCs/>
          <w:b/>
        </w:rPr>
        <w:t xml:space="preserve">Señal: Mantener (v11)</w:t>
      </w:r>
      <w:r>
        <w:t xml:space="preserve"> </w:t>
      </w:r>
      <w:r>
        <w:t xml:space="preserve">· Puntuación 65,3/100 · Señales de cambio de tendencia 4/8 · Euforia: no (+19 % en 12 meses)</w:t>
      </w:r>
      <w:r>
        <w:t xml:space="preserve"> </w:t>
      </w:r>
      <w:r>
        <w:t xml:space="preserve">Precio 1.345,6 p (cierre del 13-oct) · Objetivo 12 m 1.259,5 p (ponderada −5,3 %, base −3,6 %, bajista −46,4 %, alcista +32,3 %) · Compra hasta 1.212,2 p</w:t>
      </w:r>
      <w:r>
        <w:t xml:space="preserve"> </w:t>
      </w:r>
      <w:r>
        <w:t xml:space="preserve">Referencia v9: ponderada +3,6 %, base +6,4 %, bajista −43,7 %, objetivo 1.379,8 p → Mantener en vigilancia; compra hasta 1.328 p</w:t>
      </w:r>
      <w:r>
        <w:t xml:space="preserve"> </w:t>
      </w:r>
      <w:r>
        <w:t xml:space="preserve">Al precio actual (1.361,4 p, 14-oct 15:38 UTC, subasta de cierre) y con el objetivo del informe fijo (1.259,5 ÷ 1.361,4 − 1 + 1,1 % de dividendo):</w:t>
      </w:r>
      <w:r>
        <w:t xml:space="preserve"> </w:t>
      </w:r>
      <w:r>
        <w:rPr>
          <w:bCs/>
          <w:b/>
        </w:rPr>
        <w:t xml:space="preserve">−6,4 %</w:t>
      </w:r>
      <w:r>
        <w:t xml:space="preserve"> </w:t>
      </w:r>
      <w:r>
        <w:t xml:space="preserve">Peso orientativo:</w:t>
      </w:r>
      <w:r>
        <w:t xml:space="preserve"> </w:t>
      </w:r>
      <w:r>
        <w:rPr>
          <w:bCs/>
          <w:b/>
        </w:rPr>
        <w:t xml:space="preserve">no entra</w:t>
      </w:r>
    </w:p>
    <w:p>
      <w:pPr>
        <w:pStyle w:val="BodyText"/>
      </w:pPr>
      <w:r>
        <w:rPr>
          <w:bCs/>
          <w:b/>
        </w:rPr>
        <w:t xml:space="preserve">Unidades.</w:t>
      </w:r>
      <w:r>
        <w:t xml:space="preserve"> </w:t>
      </w:r>
      <w:r>
        <w:t xml:space="preserve">Precio, objetivo y «compra hasta» en</w:t>
      </w:r>
      <w:r>
        <w:t xml:space="preserve"> </w:t>
      </w:r>
      <w:r>
        <w:rPr>
          <w:bCs/>
          <w:b/>
        </w:rPr>
        <w:t xml:space="preserve">peniques (GBp)</w:t>
      </w:r>
      <w:r>
        <w:t xml:space="preserve">; cuentas en</w:t>
      </w:r>
      <w:r>
        <w:t xml:space="preserve"> </w:t>
      </w:r>
      <w:r>
        <w:rPr>
          <w:bCs/>
          <w:b/>
        </w:rPr>
        <w:t xml:space="preserve">millones de libras (GBP)</w:t>
      </w:r>
      <w:r>
        <w:t xml:space="preserve">. El motor no convierte unidades, así que en</w:t>
      </w:r>
      <w:r>
        <w:t xml:space="preserve"> </w:t>
      </w:r>
      <w:r>
        <w:rPr>
          <w:rStyle w:val="VerbatimChar"/>
        </w:rPr>
        <w:t xml:space="preserve">datos.json</w:t>
      </w:r>
      <w:r>
        <w:t xml:space="preserve"> </w:t>
      </w:r>
      <w:r>
        <w:t xml:space="preserve">las acciones van en cientos de millones (8.315 M → 83,15): 1.345,6 p × 83,15 = 111.887 M GBP de capitalización. Comprobado a mano: EV 109.714 M GBP, EV/EBITDA de los próximos 12 meses 18,8x, y el escenario base (16,3x × 27.700 M × 22,9 % + 6.484 − 4.311) ÷ 82,24 = 1.282 p, igual que el motor. No hay mezcla de unidades: la prueba de robustez lee la cotización de Yahoo en GBp y no marca conflicto de divisa.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Es una de las mejores historias de cambio de rumbo de Europa: el margen operativo pasa del 9,7 % (1S23) al 22,5 % (1S26) y el FCF de 1.285 M a ~3.650 M en los últimos 12 meses. Ya supera su propio objetivo de margen para 2028 (18-20 %) [1][2].</w:t>
      </w:r>
    </w:p>
    <w:p>
      <w:pPr>
        <w:numPr>
          <w:ilvl w:val="0"/>
          <w:numId w:val="1001"/>
        </w:numPr>
        <w:pStyle w:val="Compact"/>
      </w:pPr>
      <w:r>
        <w:t xml:space="preserve">Las ventas se aceleran: +24,5 % en el 1S26 (+19 % en 12 meses), con Civil (+29 %), Power Systems (+28 %, centros de datos) y Defensa (+12 %) [1].</w:t>
      </w:r>
    </w:p>
    <w:p>
      <w:pPr>
        <w:numPr>
          <w:ilvl w:val="0"/>
          <w:numId w:val="1001"/>
        </w:numPr>
        <w:pStyle w:val="Compact"/>
      </w:pPr>
      <w:r>
        <w:t xml:space="preserve">Pero el mercado ya lo paga: 18,8 veces el EBITDA de los próximos 12 meses, el máximo de sus tres años (mediana 15,2x), por encima de Safran (~15x), MTU (~10x) y BAE (~11x), aunque por debajo de GE Aerospace (~25x) [5][13].</w:t>
      </w:r>
    </w:p>
    <w:p>
      <w:pPr>
        <w:numPr>
          <w:ilvl w:val="0"/>
          <w:numId w:val="1001"/>
        </w:numPr>
        <w:pStyle w:val="Compact"/>
      </w:pPr>
      <w:r>
        <w:t xml:space="preserve">Con las ventas del consenso (27.700 M en el ejercicio objetivo) y el múltiplo rebajado porque el crecimiento se frena del 15 % al 11 %, el objetivo sale</w:t>
      </w:r>
      <w:r>
        <w:t xml:space="preserve"> </w:t>
      </w:r>
      <w:r>
        <w:rPr>
          <w:bCs/>
          <w:b/>
        </w:rPr>
        <w:t xml:space="preserve">por debajo del precio</w:t>
      </w:r>
      <w:r>
        <w:t xml:space="preserve">: ponderada −5,3 %, base −3,6 %. El motor pide 1.212 p para comprar (−11 % frente al precio de hoy).</w:t>
      </w:r>
    </w:p>
    <w:p>
      <w:pPr>
        <w:numPr>
          <w:ilvl w:val="0"/>
          <w:numId w:val="1001"/>
        </w:numPr>
        <w:pStyle w:val="Compact"/>
      </w:pPr>
      <w:r>
        <w:t xml:space="preserve">Buen negocio al que le falta precio, no tesis:</w:t>
      </w:r>
      <w:r>
        <w:t xml:space="preserve"> </w:t>
      </w:r>
      <w:r>
        <w:rPr>
          <w:bCs/>
          <w:b/>
        </w:rPr>
        <w:t xml:space="preserve">Mantener</w:t>
      </w:r>
      <w:r>
        <w:t xml:space="preserve">, sin hueco en el bolsillo growth. Se revisa con los resultados de febrero (probable subida de objetivos) o si cae por debajo de 1.212 p.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Civil Aerospace (52 % de las ventas de 2025, margen 25 % en el 1S26):</w:t>
      </w:r>
      <w:r>
        <w:t xml:space="preserve"> </w:t>
      </w:r>
      <w:r>
        <w:t xml:space="preserve">motores Trent para aviones de fuselaje ancho. Es único proveedor del A350 (Trent XWB) y del A330neo (Trent 7000) y está en el 787. Cobra la mayor parte del margen con contratos de servicio por hora de vuelo (LTSA): cuantas más horas vuelan los aviones (113 % de las de 2019), más ingresa. El giro de márgenes viene de renegociar esos contratos, de alargar el tiempo de los motores en el ala y de precios [1][2].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Defence (24 %, margen 21 %):</w:t>
      </w:r>
      <w:r>
        <w:t xml:space="preserve"> </w:t>
      </w:r>
      <w:r>
        <w:t xml:space="preserve">motores militares (Eurofighter, F-35B con LiftSystem, B-52 con el F130), propulsión nuclear de los submarinos británicos y de AUKUS. Cartera de 17.500 M [1].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Power Systems (24 %, margen 20 %):</w:t>
      </w:r>
      <w:r>
        <w:t xml:space="preserve"> </w:t>
      </w:r>
      <w:r>
        <w:t xml:space="preserve">motores y grupos mtu, sobre todo</w:t>
      </w:r>
      <w:r>
        <w:t xml:space="preserve"> </w:t>
      </w:r>
      <w:r>
        <w:rPr>
          <w:bCs/>
          <w:b/>
        </w:rPr>
        <w:t xml:space="preserve">generación de respaldo y continua para centros de datos</w:t>
      </w:r>
      <w:r>
        <w:t xml:space="preserve"> </w:t>
      </w:r>
      <w:r>
        <w:t xml:space="preserve">(+41 % de ventas de generación en el 1S26), defensa terrestre y marina. Pedidos de 4.600 M en el semestre (book-to-bill 1,8x). La empresa espera +25 % anual en generación hasta 2030 [1].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Novedades:</w:t>
      </w:r>
      <w:r>
        <w:t xml:space="preserve"> </w:t>
      </w:r>
      <w:r>
        <w:t xml:space="preserve">SMR (reactores modulares pequeños): elegida en Reino Unido (Wylfa, 3 unidades, decisión final de inversión en 2029), Chequia (ČEZ) y Suecia (Videberg Kraft); no aporta ventas antes de finales de la década [11]. UltraFan (motor de nueva generación) en demostración.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Riesgo de que la IA lo sustituya: bajo.</w:t>
      </w:r>
      <w:r>
        <w:t xml:space="preserve"> </w:t>
      </w:r>
      <w:r>
        <w:t xml:space="preserve">Vende motores físicos certificados (diez años de desarrollo, miles de millones de inversión, certificación de seguridad) y servicios ligados a horas de vuelo; la IA no los sustituye. Al contrario: la IA es</w:t>
      </w:r>
      <w:r>
        <w:t xml:space="preserve"> </w:t>
      </w:r>
      <w:r>
        <w:rPr>
          <w:bCs/>
          <w:b/>
        </w:rPr>
        <w:t xml:space="preserve">viento a favor</w:t>
      </w:r>
      <w:r>
        <w:t xml:space="preserve"> </w:t>
      </w:r>
      <w:r>
        <w:t xml:space="preserve">por la demanda de energía de los centros de datos (Power Systems). Uso interno de IA (plataforma AiRR) para mantenimiento predictivo, como todos [2].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p>
      <w:pPr>
        <w:pStyle w:val="FirstParagraph"/>
      </w:pPr>
      <w:r>
        <w:t xml:space="preserve">Publica cuentas por semestres (no hay trimestres). Ventas y beneficio operativo subyacentes, millones de GBP [1][2][4]: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2S23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8.459 (2023 − 1S)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2S25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1S26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11.279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+24,5 %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22,5 %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Últimos 12 meses</w:t>
      </w:r>
      <w:r>
        <w:t xml:space="preserve"> </w:t>
      </w:r>
      <w:r>
        <w:t xml:space="preserve">(jul-25 a jun-26): ventas 22.281 M, +19,0 %; crecimiento compuesto a dos años del 15,7 % (16.641 M → 22.281 M).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Aceleración:</w:t>
      </w:r>
      <w:r>
        <w:t xml:space="preserve"> </w:t>
      </w:r>
      <w:r>
        <w:t xml:space="preserve">+24,5 % frente a una media de 14,1 % en los cuatro semestres anteriores =</w:t>
      </w:r>
      <w:r>
        <w:t xml:space="preserve"> </w:t>
      </w:r>
      <w:r>
        <w:rPr>
          <w:bCs/>
          <w:b/>
        </w:rPr>
        <w:t xml:space="preserve">+10,4 pp</w:t>
      </w:r>
      <w:r>
        <w:t xml:space="preserve">. Parte es de recuperaciones de contratos («catch-ups») de Civil y del tipo de cambio; no todo se repetirá.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Guía:</w:t>
      </w:r>
      <w:r>
        <w:t xml:space="preserve"> </w:t>
      </w:r>
      <w:r>
        <w:t xml:space="preserve">la empresa</w:t>
      </w:r>
      <w:r>
        <w:t xml:space="preserve"> </w:t>
      </w:r>
      <w:r>
        <w:rPr>
          <w:bCs/>
          <w:b/>
        </w:rPr>
        <w:t xml:space="preserve">no guía ventas</w:t>
      </w:r>
      <w:r>
        <w:t xml:space="preserve">, solo beneficio y FCF: 2026 de 4.700-4.900 M de beneficio operativo (subida en julio desde 4.000-4.200) y 3.800-4.000 M de FCF; objetivo 2028 de 4.900-5.200 M, margen 18-20 % y FCF de 5.000-5.300 M. Bate su guía de beneficio con holgura: 2025 empezó en 2.700-2.900 M [de memoria] y cerró en 3.462 M.</w:t>
      </w:r>
      <w:r>
        <w:t xml:space="preserve"> </w:t>
      </w:r>
      <w:r>
        <w:rPr>
          <w:rStyle w:val="VerbatimChar"/>
        </w:rPr>
        <w:t xml:space="preserve">guia_12m_pct</w:t>
      </w:r>
      <w:r>
        <w:t xml:space="preserve"> </w:t>
      </w:r>
      <w:r>
        <w:t xml:space="preserve">= null, así que el recorte de v9 no actúa.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Consenso:</w:t>
      </w:r>
      <w:r>
        <w:t xml:space="preserve"> </w:t>
      </w:r>
      <w:r>
        <w:t xml:space="preserve">ventas de 23.662 / 26.293 / 29.195 M en 2026-2028 (+18 %, +11 %, +11 %) [5].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 ~135.000 M GBP en 2028</w:t>
      </w:r>
      <w:r>
        <w:t xml:space="preserve"> </w:t>
      </w:r>
      <w:r>
        <w:t xml:space="preserve">(estimación propia aproximada [12]): motores de fuselaje ancho, equipo original y servicios (~52.000 M), aviación de negocios (~8.000 M), motores y propulsión de defensa (~35.000 M) y generación y motores de Power Systems (~40.000 M). Penetración 16,5 %.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Posición:</w:t>
      </w:r>
      <w:r>
        <w:t xml:space="preserve"> </w:t>
      </w:r>
      <w:r>
        <w:t xml:space="preserve">duopolio en fuselaje ancho con GE (Rolls-Royce lleva ~50 % de la flota instalada de motores de fuselaje ancho de Airbus y Boeing [de memoria]); en aviones de pasillo único está fuera desde 2011 (estudia volver con UltraFan). En defensa, único proveedor de propulsión nuclear británica. En generación, compite con Caterpillar, Cummins y Wärtsilä.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gana:</w:t>
      </w:r>
      <w:r>
        <w:t xml:space="preserve"> </w:t>
      </w:r>
      <w:r>
        <w:t xml:space="preserve">barrera de entrada enorme (certificación, flota instalada que genera servicio 25-30 años). Debilidades: problemas de durabilidad del Trent 1000 y del XWB-97 (en mejora con el programa de tiempo en ala) y cadena de suministro tensionada (150-200 M de impacto en el FCF de 2026) [1].</w:t>
      </w:r>
    </w:p>
    <w:p>
      <w:pPr>
        <w:numPr>
          <w:ilvl w:val="0"/>
          <w:numId w:val="1004"/>
        </w:numPr>
        <w:pStyle w:val="Compact"/>
      </w:pPr>
      <w:r>
        <w:t xml:space="preserve">Tecnología 4/5 (difícil de replicar, pero GE la iguala); posición 4/5 (líder en su nicho con GE, no en todo el mercado).</w:t>
      </w:r>
    </w:p>
    <w:bookmarkEnd w:id="23"/>
    <w:bookmarkStart w:id="24" w:name="cambio-de-tendencia-48-euforia-no"/>
    <w:p>
      <w:pPr>
        <w:pStyle w:val="Heading2"/>
      </w:pPr>
      <w:r>
        <w:t xml:space="preserve">5. Cambio de tendencia (4/8; euforia: no)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de beneficio 2026 subida un 17 % el 30-jul y el consenso detrás (EBIT 2026 de ~4.100 a 4.805 M); Citi y Berenberg suben objetivos en agosto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[1][5][6]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Precio sobre la media de 200 sesiones, media al alza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  <w:r>
              <w:t xml:space="preserve"> </w:t>
            </w:r>
            <w:r>
              <w:t xml:space="preserve">(por poco)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1.345,6 p frente a 1.333,3 p (+0,9 %); la media sube (1.298,9 hace 20 sesiones)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+6,0 % frente a +1,6 % del FTSE All-Share (a 3 meses, peor: −4,9 %)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EV/EBITDA ≥ +20 % desde su mínimo de 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~15,4x en nov-2025 frente a 18,2-18,8x: +17-18 % con el mismo cálculo; además ya está en máximos de 3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[3][13]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+3,4 pp en el 1S26 y +3,5 pp en 2025: fuerte, pero ya era rentable y no llega a +5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es muy alcista y unánime (16 de 16 analistas con Comprar, valor favorito de los minoristas, titulares de «100 libras»); cae un 9 % en una semana por valoración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[6][7][8]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Compras de directivos o inversores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consejero delegado solo vende para pagar impuestos; compras simbólicas de consejeros; la recompra propia no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Catalizador nuevo en 6 meses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anuales (finales de feb-2027) con probable subida de objetivos 2028 (la guía 2026 ya está casi en ellos); generación +25 % anual; SMR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[1][2][11]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</w:t>
      </w:r>
      <w:r>
        <w:t xml:space="preserve"> </w:t>
      </w:r>
      <w:r>
        <w:t xml:space="preserve">+19,2 % en 12 meses (1.128,5 → 1.345,6 p) con un EV/beneficio bruto de 16,1: lejos del veto (≥ 150 % con &gt; 20). Ojo: la subida de los</w:t>
      </w:r>
      <w:r>
        <w:t xml:space="preserve"> </w:t>
      </w:r>
      <w:r>
        <w:rPr>
          <w:bCs/>
          <w:b/>
        </w:rPr>
        <w:t xml:space="preserve">dos</w:t>
      </w:r>
      <w:r>
        <w:t xml:space="preserve"> </w:t>
      </w:r>
      <w:r>
        <w:t xml:space="preserve">últimos años es de ~+150 % (539 p en oct-2024), y en tres años de ~+500 %; el veto mira 12 meses y no salta, pero buena parte del cambio de rumbo ya está en el precio.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 subyacente ~26,7 %</w:t>
      </w:r>
      <w:r>
        <w:t xml:space="preserve"> </w:t>
      </w:r>
      <w:r>
        <w:t xml:space="preserve">en 12 meses (25,6 % en 2025, 22,9 % en 2024): bajo para el método (1 de 5 puntos) porque es industria pesada; el margen que importa es el operativo (22,5 %), que ya es alto.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 de 12 meses ~3.652 M (16,4 % de las ventas)</w:t>
      </w:r>
      <w:r>
        <w:t xml:space="preserve">, creciente (1.285 M en 2023 → 2.425 → 3.270 → guía 2026 de 3.800-4.000).</w:t>
      </w:r>
      <w:r>
        <w:t xml:space="preserve"> </w:t>
      </w:r>
      <w:r>
        <w:rPr>
          <w:bCs/>
          <w:b/>
        </w:rPr>
        <w:t xml:space="preserve">Regla del 40: 35,4</w:t>
      </w:r>
      <w:r>
        <w:t xml:space="preserve"> </w:t>
      </w:r>
      <w:r>
        <w:t xml:space="preserve">(19,0 + 16,4).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Apalancamiento operativo</w:t>
      </w:r>
      <w:r>
        <w:t xml:space="preserve"> </w:t>
      </w:r>
      <w:r>
        <w:t xml:space="preserve">claro: las ventas suben un 24,5 % y el beneficio operativo un 46 % en el 1S26. Parte del FCF viene del crecimiento de los saldos LTSA (los clientes pagan las horas de vuelo antes de la revisión): es caja real, pero adelantada.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Caja 6.484 M, deuda y arrendamientos 4.311 M → caja neta 2.136 M</w:t>
      </w:r>
      <w:r>
        <w:t xml:space="preserve"> </w:t>
      </w:r>
      <w:r>
        <w:t xml:space="preserve">a 30-jun-2026 (liquidez de 9.000 M) [1]. Grado de inversión recuperado en 2024-2025 [de memoria].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Sin dilución: las acciones bajan.</w:t>
      </w:r>
      <w:r>
        <w:t xml:space="preserve"> </w:t>
      </w:r>
      <w:r>
        <w:t xml:space="preserve">8.436 M a 31-ene → 8.334 M a 31-jul (recompra de 2.500 M en 2026 y 7.000-9.000 M en 2026-2028); acciones medias diluidas −1,1 % interanual [1][10]. Se usan 8.315 M diluidas a la fecha (estimación con el ritmo de recompra).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 ~0,5 % de las ventas</w:t>
      </w:r>
      <w:r>
        <w:t xml:space="preserve"> </w:t>
      </w:r>
      <w:r>
        <w:t xml:space="preserve">(104 M en 2025): irrelevantes. Pista de caja: FCF positivo.</w:t>
      </w:r>
    </w:p>
    <w:p>
      <w:pPr>
        <w:numPr>
          <w:ilvl w:val="0"/>
          <w:numId w:val="1006"/>
        </w:numPr>
        <w:pStyle w:val="Compact"/>
      </w:pPr>
      <w:r>
        <w:t xml:space="preserve">Dividendo de nuevo (6 p a cuenta; rentabilidad ~1,1 %).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Tufan Erginbilgic</w:t>
      </w:r>
      <w:r>
        <w:t xml:space="preserve"> </w:t>
      </w:r>
      <w:r>
        <w:t xml:space="preserve">(consejero delegado desde 2023, ex-BP) llamó a la empresa «plataforma ardiendo» y la ha transformado: precios, contratos, costes, salida de negocios no rentables, objetivos a medio plazo subidos dos veces (2023 → feb-2026) y batidos antes de tiempo.</w:t>
      </w:r>
      <w:r>
        <w:t xml:space="preserve"> </w:t>
      </w:r>
      <w:r>
        <w:rPr>
          <w:bCs/>
          <w:b/>
        </w:rPr>
        <w:t xml:space="preserve">Historial 5/5:</w:t>
      </w:r>
      <w:r>
        <w:t xml:space="preserve"> </w:t>
      </w:r>
      <w:r>
        <w:t xml:space="preserve">sube la guía en cada presentación desde 2023.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4/5:</w:t>
      </w:r>
      <w:r>
        <w:t xml:space="preserve"> </w:t>
      </w:r>
      <w:r>
        <w:t xml:space="preserve">asignación de capital sensata (primero balance, luego dividendo y recompras); no es fundador ni compra acciones en mercado (solo vende para impuestos de planes) [10].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Por qué EV/EBITDA:</w:t>
      </w:r>
      <w:r>
        <w:t xml:space="preserve"> </w:t>
      </w:r>
      <w:r>
        <w:t xml:space="preserve">Rolls-Royce ya es rentable de forma estable (margen operativo del 17-22 %, FCF positivo y creciente desde 2022, guía de beneficio y no de ventas). El EV/ventas penalizaría a la empresa por un margen bruto industrial bajo y no recogería el giro de márgenes. Se usa el EBITDA de consenso de los 12 meses siguientes (</w:t>
      </w:r>
      <w:r>
        <w:rPr>
          <w:rStyle w:val="VerbatimChar"/>
        </w:rPr>
        <w:t xml:space="preserve">ebitda_ntm_m</w:t>
      </w:r>
      <w:r>
        <w:t xml:space="preserve"> </w:t>
      </w:r>
      <w:r>
        <w:t xml:space="preserve">= 5.821 M, jul-26 a jun-27) y el objetivo de margen de la empresa (</w:t>
      </w:r>
      <w:r>
        <w:rPr>
          <w:rStyle w:val="VerbatimChar"/>
        </w:rPr>
        <w:t xml:space="preserve">margen_ebitda_obj_pct</w:t>
      </w:r>
      <w:r>
        <w:t xml:space="preserve"> </w:t>
      </w:r>
      <w:r>
        <w:t xml:space="preserve">= 22,8 %: margen operativo 2028 del 18-20 % más ~3,8 % de amortizaciones; ya superado hoy, así que es conservador). v11 aplica el margen de hoy (22,9 %) a todos los escenarios; el objetivo de margen solo lo usaría v10, y como coincide con el de hoy, v10 da lo mismo que v9.</w:t>
      </w:r>
    </w:p>
    <w:p>
      <w:pPr>
        <w:pStyle w:val="BodyText"/>
      </w:pPr>
      <w:r>
        <w:rPr>
          <w:bCs/>
          <w:b/>
        </w:rPr>
        <w:t xml:space="preserve">Ventas del ejercicio objetivo</w:t>
      </w:r>
      <w:r>
        <w:t xml:space="preserve"> </w:t>
      </w:r>
      <w:r>
        <w:t xml:space="preserve">(12 meses a jun-2028). Consenso para esa ventana:</w:t>
      </w:r>
      <w:r>
        <w:t xml:space="preserve"> </w:t>
      </w:r>
      <w:r>
        <w:rPr>
          <w:bCs/>
          <w:b/>
        </w:rPr>
        <w:t xml:space="preserve">27.744 M</w:t>
      </w:r>
      <w:r>
        <w:t xml:space="preserve"> </w:t>
      </w:r>
      <w:r>
        <w:t xml:space="preserve">(mitad de 2027 y mitad de 2028 de MarketScreener [5]). Las del informe, cerca del consenso: bajista 25.000 (≈ +6 % anual), base 27.700, alcista 29.500. La proyección mecánica es más alta (26.306 / 30.663 / 32.499) porque extrapola el +24,5 % del 1S26, que incluye recuperaciones de contratos; v11 toma la menor en cada escenario.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 (v11)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GBP)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 (con dividendo)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−46,4 %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1.282,7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1.765,7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1.259,5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−5,3 %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asimetría 0,7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Múltiplos:</w:t>
      </w:r>
      <w:r>
        <w:t xml:space="preserve"> </w:t>
      </w:r>
      <w:r>
        <w:t xml:space="preserve">base = 18,8x × 0,87 (rebaja porque el crecimiento pasa del 14,6 % de los próximos 12 meses al 11 % del ejercicio objetivo) = 16,3x; bajista = base × 0,6 = 9,8x (aún por encima del mínimo de 3 años, 7,7x); alcista = base × 1,3 = 21,2x (la mediana de 3 años, 15,2x, y la de comparables, 13,0x, quedan por debajo).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v9 (referencia):</w:t>
      </w:r>
      <w:r>
        <w:t xml:space="preserve"> </w:t>
      </w:r>
      <w:r>
        <w:t xml:space="preserve">con la proyección mecánica (30.663 M en la base) da ponderada +3,6 %, base +6,4 %, objetivo 1.379,8 p → Mantener en vigilancia, compra hasta 1.328 p. La diferencia con v11 es solo de ventas: 10 % más que el consenso.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Filtros:</w:t>
      </w:r>
      <w:r>
        <w:t xml:space="preserve"> </w:t>
      </w:r>
      <w:r>
        <w:t xml:space="preserve">EV/beneficio bruto de los próximos 12 meses 16,1 (≤ 35, pasa); euforia no; bajista −46,4 % (pasa, ≥ −50 %); FCF positivo.</w:t>
      </w:r>
      <w:r>
        <w:t xml:space="preserve"> </w:t>
      </w:r>
      <w:r>
        <w:rPr>
          <w:bCs/>
          <w:b/>
        </w:rPr>
        <w:t xml:space="preserve">Falla la rentabilidad:</w:t>
      </w:r>
      <w:r>
        <w:t xml:space="preserve"> </w:t>
      </w:r>
      <w:r>
        <w:t xml:space="preserve">ponderada −5,3 % (&lt; 5 %) y base −3,6 % (&lt; 0 %).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Contraste con el consenso:</w:t>
      </w:r>
      <w:r>
        <w:t xml:space="preserve"> </w:t>
      </w:r>
      <w:r>
        <w:t xml:space="preserve">objetivo medio de los analistas 1.690-1.722 p (+26-28 %) [6][7]. La diferencia está en el múltiplo: los analistas mantienen ~19-20x el EBITDA con márgenes que siguen subiendo (EBITDA 2028 de consenso 6.975 M, 23,9 %); el método rebaja el múltiplo cuando el crecimiento se frena y no supone más margen.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DCF inverso:</w:t>
      </w:r>
      <w:r>
        <w:t xml:space="preserve"> </w:t>
      </w:r>
      <w:r>
        <w:t xml:space="preserve">con un coste de capital del 9 % y crecimiento terminal del 3 %, el precio descuenta que el FCF (~4.400 M en los próximos 12 meses) crezca un</w:t>
      </w:r>
      <w:r>
        <w:t xml:space="preserve"> </w:t>
      </w:r>
      <w:r>
        <w:rPr>
          <w:bCs/>
          <w:b/>
        </w:rPr>
        <w:t xml:space="preserve">~8 % anual durante 10 años</w:t>
      </w:r>
      <w:r>
        <w:t xml:space="preserve">. Exigente pero no absurdo: el consenso espera +13-18 % anual hasta 2028.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 qué precio compraría:</w:t>
      </w:r>
      <w:r>
        <w:t xml:space="preserve"> </w:t>
      </w:r>
      <w:r>
        <w:rPr>
          <w:bCs/>
          <w:b/>
        </w:rPr>
        <w:t xml:space="preserve">≤ 1.212,2 p</w:t>
      </w:r>
      <w:r>
        <w:t xml:space="preserve"> </w:t>
      </w:r>
      <w:r>
        <w:t xml:space="preserve">(ahí la base llega a 0 % y la ponderada a ~+5 %; el EV/beneficio bruto no limita). Es un −11 % frente a 1.361,4 p.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Prensa británica y analistas:</w:t>
      </w:r>
      <w:r>
        <w:t xml:space="preserve"> </w:t>
      </w:r>
      <w:r>
        <w:t xml:space="preserve">unánimemente alcistas (16 de 16 con Comprar; objetivos 1.199-2.000 p). Artículos sobre «cotizar a 100 libras» a principios de la década de 2030 [7]. Motley Fool UK, The Twelfth Magpie y similares: «las expectativas son muy altas», «comprar si la jornada del SMR va bien»; lo único que se discute es el precio (PER ~40) [8].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Minoristas:</w:t>
      </w:r>
      <w:r>
        <w:t xml:space="preserve"> </w:t>
      </w:r>
      <w:r>
        <w:t xml:space="preserve">desde 2023 es el valor más comprado en las plataformas británicas (Hargreaves Lansdown, AJ Bell) [de memoria]. Simply Wall St: su DCF da 9,89 GBP y las narrativas de usuarios 11,4-16,3 GBP [8]. En Reddit (r/UKInvesting) no encontré hilos recientes útiles.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 castellano (Rankia):</w:t>
      </w:r>
      <w:r>
        <w:t xml:space="preserve"> </w:t>
      </w:r>
      <w:r>
        <w:t xml:space="preserve">dividido: la ficha ve la valoración exigente (EV/EBITDA ~20x, por encima del sector) frente a fundamentales sólidos; el hilo del foro mezcla mensajes antiguos de la ampliación de capital de 2020 [9].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Lectura:</w:t>
      </w:r>
      <w:r>
        <w:t xml:space="preserve"> </w:t>
      </w:r>
      <w:r>
        <w:t xml:space="preserve">el sentimiento es alto y consensuado, no está mejorando desde abajo: ahí no hay señal. La caída del 9 % de la última semana (1.478 → 1.346 p) se atribuye a «nervios de valoración y recogida de beneficios», sin noticia de negocio [8]. Contraste con los datos: el negocio va mejor que nunca, pero ya se paga.</w:t>
      </w:r>
    </w:p>
    <w:bookmarkEnd w:id="29"/>
    <w:bookmarkStart w:id="31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Valoración y reversión del sentimiento</w:t>
      </w:r>
      <w:r>
        <w:t xml:space="preserve"> </w:t>
      </w:r>
      <w:r>
        <w:t xml:space="preserve">(el principal): con 18,8x el EBITDA y un consenso unánime, cualquier decepción (horas de vuelo, márgenes, caja) puede costar mucho; el bajista del método (9,8x) da −46 %.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Calidad del crecimiento del 1S26:</w:t>
      </w:r>
      <w:r>
        <w:t xml:space="preserve"> </w:t>
      </w:r>
      <w:r>
        <w:t xml:space="preserve">parte del margen y de las ventas viene de recuperaciones de contratos («catch-ups») de LTSA, que no se repiten igual.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Aviación:</w:t>
      </w:r>
      <w:r>
        <w:t xml:space="preserve"> </w:t>
      </w:r>
      <w:r>
        <w:t xml:space="preserve">una recesión o un choque (pandemia, conflicto, combustible) reduce horas de vuelo y servicios; los saldos LTSA se dan la vuelta.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Técnico:</w:t>
      </w:r>
      <w:r>
        <w:t xml:space="preserve"> </w:t>
      </w:r>
      <w:r>
        <w:t xml:space="preserve">durabilidad del Trent 1000 y del XWB-97; cadena de suministro (150-200 M de impacto en la caja de 2026).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Defensa y energía:</w:t>
      </w:r>
      <w:r>
        <w:t xml:space="preserve"> </w:t>
      </w:r>
      <w:r>
        <w:t xml:space="preserve">dependencia del Ministerio de Defensa británico; competencia en generación (Caterpillar, Cummins); SMR con riesgo de ejecución y de financiación pública.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Señales de venta concretas:</w:t>
      </w:r>
      <w:r>
        <w:t xml:space="preserve"> </w:t>
      </w:r>
      <w:r>
        <w:t xml:space="preserve">horas de vuelo por debajo del 110 % de 2019 dos semestres seguidos; margen de Civil por debajo del 20 % sin explicación puntual; recorte de la guía de FCF; caída de pedidos de Power Systems (book-to-bill &lt; 1).</w:t>
      </w:r>
    </w:p>
    <w:bookmarkStart w:id="30" w:name="X53e881e4397996ec0f5ce0827ee6035e2814c4e"/>
    <w:p>
      <w:pPr>
        <w:pStyle w:val="Heading3"/>
      </w:pPr>
      <w:r>
        <w:t xml:space="preserve">Robustez (alertas de</w:t>
      </w:r>
      <w:r>
        <w:t xml:space="preserve"> </w:t>
      </w:r>
      <w:r>
        <w:rPr>
          <w:rStyle w:val="VerbatimChar"/>
        </w:rPr>
        <w:t xml:space="preserve">calc.alertas</w:t>
      </w:r>
      <w:r>
        <w:t xml:space="preserve"> </w:t>
      </w:r>
      <w:r>
        <w:t xml:space="preserve">y prueba</w:t>
      </w:r>
      <w:r>
        <w:t xml:space="preserve"> </w:t>
      </w:r>
      <w:r>
        <w:rPr>
          <w:rStyle w:val="VerbatimChar"/>
        </w:rPr>
        <w:t xml:space="preserve">robustez-growth.mjs --precios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Alerta v11: «Sin guía anual de 12 meses: el recorte por la guía (v9) no actúa».</w:t>
      </w:r>
      <w:r>
        <w:t xml:space="preserve"> </w:t>
      </w:r>
      <w:r>
        <w:t xml:space="preserve">Rolls-Royce guía beneficio y FCF, no ventas, así que v9 = v7 en la proyección.</w:t>
      </w:r>
      <w:r>
        <w:t xml:space="preserve"> </w:t>
      </w:r>
      <w:r>
        <w:rPr>
          <w:bCs/>
          <w:b/>
        </w:rPr>
        <w:t xml:space="preserve">No debilita la señal, la hace más prudente:</w:t>
      </w:r>
      <w:r>
        <w:t xml:space="preserve"> </w:t>
      </w:r>
      <w:r>
        <w:t xml:space="preserve">al no haber guía, v11 recorta con las ventas del consenso (27.700 M frente a 30.663 M de la mecánica), y esa es justo la diferencia entre la vigilancia de v9 y el Mantener de v11. El aviso del motor dice lo mismo («Sin guía de la empresa…») y no se puede corregir sin inventar una guía de ventas que no existe.</w:t>
      </w:r>
    </w:p>
    <w:p>
      <w:pPr>
        <w:numPr>
          <w:ilvl w:val="0"/>
          <w:numId w:val="1011"/>
        </w:numPr>
        <w:pStyle w:val="Compact"/>
      </w:pPr>
      <w:r>
        <w:t xml:space="preserve">No salta ninguna otra alerta: el múltiplo de hoy (18,8x) es 1,24 veces su mediana de 3 años (no &gt; 2); las ventas base no superan 1,2 veces el consenso; el margen implícito del motor (22,9 %) coincide con el de</w:t>
      </w:r>
      <w:r>
        <w:t xml:space="preserve"> </w:t>
      </w:r>
      <w:r>
        <w:rPr>
          <w:rStyle w:val="VerbatimChar"/>
        </w:rPr>
        <w:t xml:space="preserve">ebitda_ntm_m</w:t>
      </w:r>
      <w:r>
        <w:t xml:space="preserve"> </w:t>
      </w:r>
      <w:r>
        <w:t xml:space="preserve">(22,8 %); sin concentración de clientes conocida; pagos en acciones del 0,5 %.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Veredicto de la prueba de robustez: SÓLIDA; señal robusta Mantener.</w:t>
      </w:r>
      <w:r>
        <w:t xml:space="preserve"> </w:t>
      </w:r>
      <w:r>
        <w:t xml:space="preserve">Todas las variantes defendibles dan Mantener: v11 −5,3 / −3,6; v7 +3,6 / +6,4; ventas del analista −5,3 / −3,6; pesos 25/50/25 iguales. Con pesos 35/50/15 (no aplicable aquí: no hay pista corta ni dependencia de un producto) bajaría a Vender (−13,2 %). Al precio de hoy (1.361,4 p) con el objetivo fijo: −6,4 % / −4,7 %, Mantener. Sin divisa cruzada (Yahoo da GBp, el informe GBp).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Marcas:</w:t>
      </w:r>
      <w:r>
        <w:t xml:space="preserve"> </w:t>
      </w:r>
      <w:r>
        <w:t xml:space="preserve">G2 (el objetivo se mueve con el precio porque el múltiplo base es el de hoy: al revisar el precio se deja fijo el objetivo de 1.259,5 p y el límite de 1.212,2 p); G4 (sin guía, como arriba); G6 (bajista del −46 %: si un día entra, posición pequeña y en tramos).</w:t>
      </w:r>
    </w:p>
    <w:bookmarkEnd w:id="30"/>
    <w:bookmarkEnd w:id="31"/>
    <w:bookmarkStart w:id="32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22-23 oct-2026:</w:t>
      </w:r>
      <w:r>
        <w:t xml:space="preserve"> </w:t>
      </w:r>
      <w:r>
        <w:t xml:space="preserve">primera gran jornada de proveedores de Rolls-Royce SMR con Great British Energy (programa de contratos de hasta 1.400 M) [11].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Recompra en curso:</w:t>
      </w:r>
      <w:r>
        <w:t xml:space="preserve"> </w:t>
      </w:r>
      <w:r>
        <w:t xml:space="preserve">~1.100 M que quedan del tramo de 2026 hasta diciembre.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Finales de feb-2027 (26-feb el año pasado):</w:t>
      </w:r>
      <w:r>
        <w:t xml:space="preserve"> </w:t>
      </w:r>
      <w:r>
        <w:t xml:space="preserve">resultados de 2026, guía 2027 y probable revisión de los objetivos 2028 (la guía de 2026 ya está en su parte baja).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2027:</w:t>
      </w:r>
      <w:r>
        <w:t xml:space="preserve"> </w:t>
      </w:r>
      <w:r>
        <w:t xml:space="preserve">pedidos de generación para centros de datos; decisión de pasillo único (UltraFan); avances del SMR en Wylfa, Chequia y Suecia.</w:t>
      </w:r>
    </w:p>
    <w:bookmarkEnd w:id="32"/>
    <w:bookmarkStart w:id="33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Bolsillo growth lleno (~20 %):</w:t>
      </w:r>
      <w:r>
        <w:t xml:space="preserve"> </w:t>
      </w:r>
      <w:r>
        <w:t xml:space="preserve">Nu (+19 %), Axon (+36 %), Shopify (+18 %), Snowflake (+13 %) y Samsara (+15 %) al precio actual con v11. Liquidez ≈ 27 EUR: solo se entra sustituyendo.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Rolls-Royce no sustituye a ninguna:</w:t>
      </w:r>
      <w:r>
        <w:t xml:space="preserve"> </w:t>
      </w:r>
      <w:r>
        <w:t xml:space="preserve">da Mantener (−5,3 % al cierre, −6,4 % al precio actual con el objetivo fijo), frente a +13 % la peor de las cinco. Tampoco entra en la lista de suplentes, que es solo de Comprar (MongoDB, Toast, Zscaler, Dexcom, Datadog, argenx, Natera, Saab): queda en el grupo de</w:t>
      </w:r>
      <w:r>
        <w:t xml:space="preserve"> </w:t>
      </w:r>
      <w:r>
        <w:rPr>
          <w:bCs/>
          <w:b/>
        </w:rPr>
        <w:t xml:space="preserve">Mantener</w:t>
      </w:r>
      <w:r>
        <w:t xml:space="preserve">, junto a Eli Lilly, Wise o Vertex.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Qué aportaría si un día entra:</w:t>
      </w:r>
      <w:r>
        <w:t xml:space="preserve"> </w:t>
      </w:r>
      <w:r>
        <w:t xml:space="preserve">diversificación real (aviación, defensa y energía británicas; la cartera no tiene nada aeroespacial; la única defensa europea es Saab, de suplente) y una exposición a la IA</w:t>
      </w:r>
      <w:r>
        <w:t xml:space="preserve"> </w:t>
      </w:r>
      <w:r>
        <w:rPr>
          <w:bCs/>
          <w:b/>
        </w:rPr>
        <w:t xml:space="preserve">indirecta y física</w:t>
      </w:r>
      <w:r>
        <w:t xml:space="preserve"> </w:t>
      </w:r>
      <w:r>
        <w:t xml:space="preserve">(generación para centros de datos), distinta de la de Snowflake y Samsara; Alphabet se vende mañana y no cuenta.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Cuándo se revisa:</w:t>
      </w:r>
      <w:r>
        <w:t xml:space="preserve"> </w:t>
      </w:r>
      <w:r>
        <w:t xml:space="preserve">si cotiza</w:t>
      </w:r>
      <w:r>
        <w:t xml:space="preserve"> </w:t>
      </w:r>
      <w:r>
        <w:rPr>
          <w:bCs/>
          <w:b/>
        </w:rPr>
        <w:t xml:space="preserve">≤ 1.212 p</w:t>
      </w:r>
      <w:r>
        <w:t xml:space="preserve"> </w:t>
      </w:r>
      <w:r>
        <w:t xml:space="preserve">(−11 % frente a hoy) sin cambio de tesis, o con los resultados de febrero si suben los objetivos a medio plazo (más EBITDA a igual precio sube el objetivo). Con Comprar baja entraría con un 3,5 % y en dos tramos, y aun así tendría que superar en rentabilidad a la peor de las cinco para sustituirla.</w:t>
      </w:r>
    </w:p>
    <w:p>
      <w:pPr>
        <w:numPr>
          <w:ilvl w:val="0"/>
          <w:numId w:val="1013"/>
        </w:numPr>
        <w:pStyle w:val="Compact"/>
      </w:pPr>
      <w:r>
        <w:t xml:space="preserve">Preferencias de</w:t>
      </w:r>
      <w:r>
        <w:t xml:space="preserve"> </w:t>
      </w:r>
      <w:r>
        <w:rPr>
          <w:rStyle w:val="VerbatimChar"/>
        </w:rPr>
        <w:t xml:space="preserve">MEMORIA.md</w:t>
      </w:r>
      <w:r>
        <w:t xml:space="preserve">: no es juego, ni minorista, ni un valor vetado.</w:t>
      </w:r>
    </w:p>
    <w:bookmarkEnd w:id="33"/>
    <w:bookmarkStart w:id="34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 /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 +19,0 % (2/5), compuesto a 2 años 15,7 % (2/5), aceleración +10,4 pp (5/5)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 /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16,5 % (2/5), tecnología 4/5, posición 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 /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de 8 señales;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26,7 % (1/5), regla del 40 de 35,4 (2/5), FCF creciente (5/5)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(5/5), acciones a la baja (5/5)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5/5, dirección 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65,3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 el mínimo de 60; no compra por la rentabilidad</w:t>
            </w:r>
          </w:p>
        </w:tc>
      </w:tr>
    </w:tbl>
    <w:p>
      <w:pPr>
        <w:pStyle w:val="BodyText"/>
      </w:pPr>
      <w:r>
        <w:rPr>
          <w:bCs/>
          <w:b/>
        </w:rPr>
        <w:t xml:space="preserve">Mejora de método propuesta:</w:t>
      </w:r>
      <w:r>
        <w:t xml:space="preserve"> </w:t>
      </w:r>
      <w:r>
        <w:t xml:space="preserve">el motor no sabe de unidades de cotización. Para las acciones de Londres (GBp) hubo que escribir las acciones en cientos de millones para que el precio saliera en peniques y las cuentas en libras. Propuesta: un campo</w:t>
      </w:r>
      <w:r>
        <w:t xml:space="preserve"> </w:t>
      </w:r>
      <w:r>
        <w:rPr>
          <w:rStyle w:val="VerbatimChar"/>
        </w:rPr>
        <w:t xml:space="preserve">unidad_precio</w:t>
      </w:r>
      <w:r>
        <w:t xml:space="preserve"> </w:t>
      </w:r>
      <w:r>
        <w:t xml:space="preserve">(«GBp» → factor 0,01) que el motor aplique al calcular el EV y el precio, con una alerta si</w:t>
      </w:r>
      <w:r>
        <w:t xml:space="preserve"> </w:t>
      </w:r>
      <w:r>
        <w:rPr>
          <w:rStyle w:val="VerbatimChar"/>
        </w:rPr>
        <w:t xml:space="preserve">moneda</w:t>
      </w:r>
      <w:r>
        <w:t xml:space="preserve"> </w:t>
      </w:r>
      <w:r>
        <w:t xml:space="preserve">es GBp y falta el factor. Evita el error de Constellation (CAD/USD) en versión peniques.</w:t>
      </w:r>
    </w:p>
    <w:bookmarkEnd w:id="34"/>
    <w:bookmarkStart w:id="35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Rolls-Royce Holdings plc, 2026 Half Year Results (30-jul-2026; RNS en investegate.co.uk y nota en rolls-royce.com): ventas, beneficio operativo y bruto, FCF, caja y deuda, amortizaciones, pagos en acciones, acciones medias, segmentos, guía 2026 subida, recompra, dividendo, generación eléctrica y SMR.</w:t>
      </w:r>
      <w:r>
        <w:t xml:space="preserve"> </w:t>
      </w:r>
      <w:r>
        <w:t xml:space="preserve">[2] Rolls-Royce Holdings plc, Full Year Results 2025 (26-feb-2026; RNS en investegate.co.uk): cifras de 2025 y 2024, guía 2026 inicial, objetivos 2028 subidos (beneficio operativo 4.900-5.200 M, margen 18-20 %, FCF 5.000-5.300 M, márgenes por división), recompra de 7.000-9.000 M.</w:t>
      </w:r>
      <w:r>
        <w:t xml:space="preserve"> </w:t>
      </w:r>
      <w:r>
        <w:t xml:space="preserve">[3] Yahoo Finance chart API (RR.L, ^FTAS, ^FTSE): cierre de 1.345,6 p el 13-oct-2026; 1.361,4 p el 14-oct a las 15:38 UTC; 1.128,5 p hace 12 meses; 1.269,4 p hace 6 meses; máximo 1.570,4 p (5-ago-2026), mínimo 1.029 p (24-nov-2025); media de 200 sesiones calculada. Segunda fuente del cierre: London Stock Exchange (1.345,60 p, −3,58 %).</w:t>
      </w:r>
      <w:r>
        <w:t xml:space="preserve"> </w:t>
      </w:r>
      <w:r>
        <w:t xml:space="preserve">[4] Rolls-Royce, 2025 Half Year Results (31-jul-2025) y 2024 Half Year Results (1-ago-2024): ventas subyacentes del 1S23, 1S24 y 1S25 y márgenes.</w:t>
      </w:r>
      <w:r>
        <w:t xml:space="preserve"> </w:t>
      </w:r>
      <w:r>
        <w:t xml:space="preserve">[5] MarketScreener, Rolls-Royce Holdings plc, finanzas y estimaciones (14-oct-2026, 20 analistas): ventas, EBITDA, EBIT, FCF y caja neta 2026-2028; PER; dividendo. Safran y GE Aerospace (misma web y fecha): EV/ventas y EBITDA, EV/EBITDA derivado.</w:t>
      </w:r>
      <w:r>
        <w:t xml:space="preserve"> </w:t>
      </w:r>
      <w:r>
        <w:t xml:space="preserve">[6] MarketBeat (10-oct-2026): objetivo medio 1.690,33 p; Citi (1.101 → 1.647 p) y Berenberg (1.430 → 1.900 p).</w:t>
      </w:r>
      <w:r>
        <w:t xml:space="preserve"> </w:t>
      </w:r>
      <w:r>
        <w:t xml:space="preserve">[7] Financial News (9-oct-2026): consenso Investing.com 1.722 p, rango 1.199-2.000 p, 16 Comprar; ventas del 1S frente a lo esperado; PER ~42.</w:t>
      </w:r>
      <w:r>
        <w:t xml:space="preserve"> </w:t>
      </w:r>
      <w:r>
        <w:t xml:space="preserve">[8] Yahoo Finance UK / Motley Fool UK (oct-2026); finwire.io y tradersunion.com (caídas de octubre); The Twelfth Magpie (2-oct-2026); Simply Wall St.</w:t>
      </w:r>
      <w:r>
        <w:t xml:space="preserve"> </w:t>
      </w:r>
      <w:r>
        <w:t xml:space="preserve">[9] Rankia (foro y ficha de Rolls-Royce, 2026); Invezz ES (ene y feb-2026).</w:t>
      </w:r>
      <w:r>
        <w:t xml:space="preserve"> </w:t>
      </w:r>
      <w:r>
        <w:t xml:space="preserve">[10] Rolls-Royce, Director/PDMR Shareholding (ene-may 2026, vía ticker.app y Hargreaves Lansdown) y Total Voting Rights (3-ago-2026: 8.334.235.960 acciones a 31-jul).</w:t>
      </w:r>
      <w:r>
        <w:t xml:space="preserve"> </w:t>
      </w:r>
      <w:r>
        <w:t xml:space="preserve">[11] Rolls-Royce SMR y prensa (abcmoney.co.uk, World Nuclear News, Construction Briefing; Leeham News 30-jul-2026).</w:t>
      </w:r>
      <w:r>
        <w:t xml:space="preserve"> </w:t>
      </w:r>
      <w:r>
        <w:t xml:space="preserve">[12] Mercado alcanzable: estimación propia aproximada (detalle en</w:t>
      </w:r>
      <w:r>
        <w:t xml:space="preserve"> </w:t>
      </w:r>
      <w:r>
        <w:rPr>
          <w:rStyle w:val="VerbatimChar"/>
        </w:rPr>
        <w:t xml:space="preserve">datos.json</w:t>
      </w:r>
      <w:r>
        <w:t xml:space="preserve">).</w:t>
      </w:r>
      <w:r>
        <w:t xml:space="preserve"> </w:t>
      </w:r>
      <w:r>
        <w:t xml:space="preserve">[13] Múltiplos: EV/EBITDA de hoy con</w:t>
      </w:r>
      <w:r>
        <w:t xml:space="preserve"> </w:t>
      </w:r>
      <w:r>
        <w:rPr>
          <w:rStyle w:val="VerbatimChar"/>
        </w:rPr>
        <w:t xml:space="preserve">ebitda_ntm_m</w:t>
      </w:r>
      <w:r>
        <w:t xml:space="preserve">; mediana y mínimo de 3 años, estimación propia con cierres mensuales y EBITDA real o de consenso de los 12 meses siguientes; MTU (multiples.vc, may-2026); BAE (informe growth de Saab de este repositorio).</w:t>
      </w:r>
    </w:p>
    <w:p>
      <w:pPr>
        <w:pStyle w:val="BodyText"/>
      </w:pPr>
      <w:r>
        <w:t xml:space="preserve">«[de memoria]» = dato no comprobado en una fuente durante este análisis.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2026-10-14T17:48:26Z</dcterms:created>
  <dcterms:modified xsi:type="dcterms:W3CDTF">2026-10-14T17:48:26Z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