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Conclusión</w:t>
            </w:r>
          </w:p>
          <w:p>
            <w:pPr>
              <w:spacing w:after="0"/>
            </w:pPr>
            <w:r>
              <w:rPr>
                <w:rFonts w:ascii="Calibri" w:cs="Calibri" w:eastAsia="Calibri" w:hAnsi="Calibri"/>
                <w:b/>
                <w:bCs/>
                <w:color w:val="1F2A3C"/>
                <w:sz w:val="26"/>
                <w:szCs w:val="26"/>
              </w:rPr>
              <w:t xml:space="preserve">Neutral</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31,06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Potencial</w:t>
            </w:r>
          </w:p>
          <w:p>
            <w:pPr>
              <w:spacing w:after="0"/>
            </w:pPr>
            <w:r>
              <w:rPr>
                <w:rFonts w:ascii="Calibri" w:cs="Calibri" w:eastAsia="Calibri" w:hAnsi="Calibri"/>
                <w:b/>
                <w:bCs/>
                <w:color w:val="1F2A3C"/>
                <w:sz w:val="26"/>
                <w:szCs w:val="26"/>
              </w:rPr>
              <w:t xml:space="preserve">-1,1 %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10,4x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PER próx. 12 m</w:t>
            </w:r>
          </w:p>
          <w:p>
            <w:pPr>
              <w:spacing w:after="0"/>
            </w:pPr>
            <w:r>
              <w:rPr>
                <w:rFonts w:ascii="Calibri" w:cs="Calibri" w:eastAsia="Calibri" w:hAnsi="Calibri"/>
                <w:b/>
                <w:bCs/>
                <w:color w:val="1F2A3C"/>
                <w:sz w:val="26"/>
                <w:szCs w:val="26"/>
              </w:rPr>
              <w:t xml:space="preserve">17,9x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 EBITDA</w:t>
            </w:r>
          </w:p>
          <w:p>
            <w:pPr>
              <w:spacing w:after="0"/>
            </w:pPr>
            <w:r>
              <w:rPr>
                <w:rFonts w:ascii="Calibri" w:cs="Calibri" w:eastAsia="Calibri" w:hAnsi="Calibri"/>
                <w:b/>
                <w:bCs/>
                <w:color w:val="1F2A3C"/>
                <w:sz w:val="26"/>
                <w:szCs w:val="26"/>
              </w:rPr>
              <w:t xml:space="preserve">1,1x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5.609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Conclusión:</w:t>
      </w:r>
      <w:r>
        <w:t xml:space="preserve"> Neutral · </w:t>
      </w:r>
      <w:r>
        <w:rPr>
          <w:b/>
          <w:bCs/>
        </w:rPr>
        <w:t xml:space="preserve">Horizonte:</w:t>
      </w:r>
      <w:r>
        <w:t xml:space="preserve"> 2-3 años · </w:t>
      </w:r>
      <w:r>
        <w:rPr>
          <w:b/>
          <w:bCs/>
        </w:rPr>
        <w:t xml:space="preserve">Valor objetivo:</w:t>
      </w:r>
      <w:r>
        <w:t xml:space="preserve"> 31,06 EUR (-1,1 % sobre 31,40)</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11,4x / 10,4x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10</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Presidente y consejero delegado separados,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Ningún independiente con más de 12 años en el consejo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0</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Voto a favor de la remuneración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91,4 %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Una acción, un voto, sin blindajes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 / ventas 0,0</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Voto a favor en la junta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de los próximos 12 meses: historia y medi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38,30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39,71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bCs/>
        </w:rPr>
        <w:t xml:space="preserve">Regresión EV/EBITDA NTM sobre crecimiento</w:t>
      </w:r>
      <w:r>
        <w:t xml:space="preserve"> (6 comparables): múltiplo = 4,4 + 1,05 × crecimiento; R² = 0,97. Para el crecimiento de la empresa, el múltiplo ajustado es 13,2x y el valor por acción, 40,90.</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n.d.</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28,50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24,52 – 35,54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4.463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29,86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24,99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26,60</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30,42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33,46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36,51</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7,6 % (base: 4,9 %)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18,1 %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27,06 EUR (-13,8 %).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40,72 (+29,7 %); con ±1x en los múltiplos, 36,48 – 44,95.</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35,54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44,95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31,06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12 de 12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Suman 100.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Calculada 5024, publicada 5024: revisa acciones y precio.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fuente se cita al menos una vez</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n.d.</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99,7 %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ICglIGRlbCB0b3RhbCkiLCJkYXRvcyI6Im5lZ29jaW8uZ2VvZ3JhZmlhcyIsImNhdGVnb3JpYSI6Im5vbWJyZSIsInNlcmllcyI6W3siY2FtcG8iOiJwZXNvX3BjdCIsIm5vbWJyZSI6IiUgZGUgaW5ncmVzb3MifV0sImZvcm1hdG8iOiIwXCIlXCIiLCJldGlxdWV0YXMiOnRydWUsImFsdG9fY20iOjZ9LCJzZWN0b3JfbWVyY2FkbyI6eyJ0aXBvIjoiY29sdW1uYXMiLCJ0aXR1bG8iOiJUYW1hw7FvIGRlbCBtZXJjYWRvICh7e3NlY3Rvci51bmlkYWRfc2VyaWV9fSkgwrcgwqtlwrsgPSBwcmV2aXNpw7NuIiwiZGF0b3MiOiJzZWN0b3Iuc2VyaWUiLCJjYXRlZ29yaWEiOiJhbmlvIiwic2VyaWVzIjpbeyJjYW1wbyI6InRhbWFubyIsIm5vbWJyZSI6IlRhbWHDsW8gZGVsIG1lcmNhZG8ifV0sImZvcm1hdG8iOiIjLCMjMCIsImV0aXF1ZXRhcyI6dHJ1ZSwiYWx0b19jbSI6Ni41fSwicG9ydGVyIjp7InRpcG8iOiJyYWRhciIsInRpdHVsbyI6IkNpbmNvIGZ1ZXJ6YXM6IGludGVuc2lkYWQgKDEgPSBmYXZvcmFibGUsIDUgPSBkZXNmYXZvcmFibGUpIiwiZGF0b3MiOiJzZWN0b3IucG9ydGVyIiwiY2F0ZWdvcmlhIjoiZnVlcnphIiwic2VyaWVzIjpbeyJjYW1wbyI6ImludGVuc2lkYWQiLCJub21icmUiOiJJbnRlbnNpZGFkIn1dLCJtaW4iOjAsIm1heCI6NSwiYWx0b19jbSI6Ny41fSwiZm9zbyI6eyJ0aXBvIjoiYmFycmFzIiwidGl0dWxvIjoiRnVlbnRlcyBkZSB2ZW50YWphIGNvbXBldGl0aXZhICgwID0gaW5leGlzdGVudGUsIDUgPSBtdXkgZnVlcnRlKSIsImRhdG9zIjoiY29tcGV0ZW5jaWEuZm9zby5mdWVudGVzIiwiY2F0ZWdvcmlhIjoiZnVlbnRlIiwic2VyaWVzIjpbeyJjYW1wbyI6InB1bnR1YWNpb24iLCJub21icmUiOiJQdW50dWFjacOzbiJ9XSwibWluIjowLCJtYXgiOjUsImZvcm1hdG8iOiIwIiwiZXRpcXVldGFzIjp0cnVlLCJhbHRvX2NtIjo1LjV9LCJjb21wZXRpZG9yZXNfbWFyZ2VuIjp7InRpcG8iOiJiYXJyYXMiLCJ0aXR1bG8iOiJNYXJnZW4gRUJJVDogbGEgZW1wcmVzYSBmcmVudGUgYSBzdXMgY29tcGV0aWRvcmVzICglKSIsImRhdG9zIjoiY2FsYy5jb21wZXRpZG9yZXNfbWFyZ2VuIiwiY2F0ZWdvcmlhIjoibm9tYnJlIiwic2VyaWVzIjpbeyJjYW1wbyI6Im1hcmdlbl9lYml0X3BjdCIsIm5vbWJyZSI6Ik1hcmdlbiBFQklUIn1dLCJmb3JtYXRvIjoiMC4wXCIlXCIiLCJldGlxdWV0YXMiOnRydWUsInJlc2FsdGFyIjowLCJhbHRvX2NtIjo2LjV9LCJpbmdyZXNvc19lYml0ZGEiOnsidGlwbyI6ImNvbHVtbmFzIiwidGl0dWxvIjoiSW5ncmVzb3MgeSBFQklUREEgKHt7bWV0YS5kaXZpc2F9fSwgbWlsbG9uZXMpIMK3IMKrZcK7ID0gcHJveWVjY2nDs24gcHJvcGlhIGRlbCBEQ0YiLCJkYXRvcyI6ImNhbGMuY3VlbnRhX3lfcHJldmlzaW9uIiwiY2F0ZWdvcmlhIjoicGVyaW9kbyIsInNlcmllcyI6W3siY2FtcG8iOiJpbmdyZXNvcyIsIm5vbWJyZSI6IkluZ3Jlc29zIn0seyJjYW1wbyI6ImViaXRkYSIsIm5vbWJyZSI6IkVCSVREQSJ9XSwiZm9ybWF0byI6IiMsIyMwIn0sIm1hcmdlbmVzIjp7InRpcG8iOiJsaW5lYXMiLCJ0aXR1bG8iOiJNw6FyZ2VuZXMgKCUgZGUgaW5ncmVzb3MpIiwiZGF0b3MiOiJjYWxjLmN1ZW50YSIsImNhdGVnb3JpYSI6InBlcmlvZG8iLCJzZXJpZXMiOlt7ImNhbXBvIjoibWFyZ2VuX2JydXRvX3BjdCIsIm5vbWJyZSI6IkJydXRvIn0seyJjYW1wbyI6Im1hcmdlbl9lYml0ZGFfcGN0Iiwibm9tYnJlIjoiRUJJVERBIn0seyJjYW1wbyI6Im1hcmdlbl9lYml0X3BjdCIsIm5vbWJyZSI6IkVCSVQifSx7ImNhbXBvIjoibWFyZ2VuX25ldG9fcGN0Iiwibm9tYnJlIjoiTmV0byJ9XSwiZm9ybWF0byI6IjBcIiVcIiJ9LCJ0cmltZXN0cmVzIjp7InRpcG8iOiJjb2x1bW5hcyIsInRpdHVsbyI6IkNyZWNpbWllbnRvIGludGVyYW51YWwgcG9yIHRyaW1lc3RyZSAoJSkiLCJkYXRvcyI6InRyaW1lc3RyZXMuaXRlbXMiLCJjYXRlZ29yaWEiOiJwZXJpb2RvIiwic2VyaWVzIjpbeyJjYW1wbyI6ImNyZWNpbWllbnRvX3BjdCIsIm5vbWJyZSI6IlJlcG9ydGFkbyJ9LHsiY2FtcG8iOiJjcmVjaW1pZW50b19vcmdhbmljb19wY3QiLCJub21icmUiOiJPcmfDoW5pY28ifV0sImZvcm1hdG8iOiIwLjBcIiVcIiIsImFsdG9fY20iOjYuNX0sImRpYXNfY2lyY3VsYW50ZSI6eyJ0aXBvIjoibGluZWFzIiwidGl0dWxvIjoiQ2FwaXRhbCBjaXJjdWxhbnRlIGVuIGTDrWFzIiwiZGF0b3MiOiJjYWxjLmJhbGFuY2UiLCJjYXRlZ29yaWEiOiJwZXJpb2RvIiwic2VyaWVzIjpbeyJjYW1wbyI6ImRzbyIsIm5vbWJyZSI6IkTDrWFzIGRlIGNvYnJvIn0seyJjYW1wbyI6ImRpbyIsIm5vbWJyZSI6IkTDrWFzIGRlIGludmVudGFyaW8ifSx7ImNhbXBvIjoiZHBvIiwibm9tYnJlIjoiRMOtYXMgZGUgcGFnbyJ9XSwiZm9ybWF0byI6IjAiLCJhbHRvX2NtIjo2LjV9LCJmY2YiOnsidGlwbyI6ImNvbHVtbmFzIiwidGl0dWxvIjoiRmx1am8gZGUgY2FqYSBsaWJyZSBmcmVudGUgYSBiZW5lZmljaW8gbmV0byAoe3ttZXRhLmRpdmlzYX19LCBtaWxsb25lcykiLCJkYXRvcyI6ImNhbGMuZmx1am9zIiwiY2F0ZWdvcmlhIjoicGVyaW9kbyIsInNlcmllcyI6W3siY2FtcG8iOiJmY2YiLCJub21icmUiOiJGbHVqbyBkZSBjYWphIGxpYnJlIn0seyJjYW1wbyI6ImJlbmVmaWNpb19uZXRvIiwibm9tYnJlIjoiQmVuZWZpY2lvIG5ldG8ifV0sImZvcm1hdG8iOiIjLCMjMCJ9LCJyb2ljIjp7InRpcG8iOiJsaW5lYXMiLCJ0aXR1bG8iOiJST0lDIHkgUk9FIGZyZW50ZSBhbCBjb3N0ZSBkZWwgY2FwaXRhbCAoJSkiLCJkYXRvcyI6ImNhbGMucm9pY19mcmVudGVfd2FjYyIsImNhdGVnb3JpYSI6InBlcmlvZG8iLCJzZXJpZXMiOlt7ImNhbXBvIjoicm9pY19wY3QiLCJub21icmUiOiJST0lDIn0seyJjYW1wbyI6IndhY2NfcGN0Iiwibm9tYnJlIjoiV0FDQyBhY3R1YWwifSx7ImNhbXBvIjoicm9lX3BjdCIsIm5vbWJyZSI6IlJPRSJ9XSwiZm9ybWF0byI6IjBcIiVcIiJ9LCJhcGFsYW5jYW1pZW50byI6eyJ0aXBvIjoiY29sdW1uYXMiLCJ0aXR1bG8iOiJEZXVkYSBuZXRhIC8gRUJJVERBIGFsIGNpZXJyZSBkZSBjYWRhIGVqZXJjaWNpbyAodmVjZXMpIiwiZGF0b3MiOiJjYWxjLmJhbGFuY2UiLCJjYXRlZ29yaWEiOiJwZXJpb2RvIiwic2VyaWVzIjpbeyJjYW1wbyI6ImRuX2ViaXRkYSIsIm5vbWJyZSI6IkRldWRhIG5ldGEgLyBFQklUREEifV0sImZvcm1hdG8iOiIwLjBcInhcIiIsImV0aXF1ZXRhcyI6dHJ1ZSwiYWx0b19jbSI6Nn0sInZlbmNpbWllbnRvcyI6eyJ0aXBvIjoiY29sdW1uYXMiLCJ0aXR1bG8iOiJWZW5jaW1pZW50b3MgZGUgbGEgZGV1ZGEgYnJ1dGEgKHt7bWV0YS5kaXZpc2F9fSwgbWlsbG9uZXMpIiwiZGF0b3MiOiJiYWxhbmNlLnZlbmNpbWllbnRvcyIsImNhdGVnb3JpYSI6ImFuaW8iLCJzZXJpZXMiOlt7ImNhbXBvIjoiaW1wb3J0ZSIsIm5vbWJyZSI6IlZlbmNpbWllbnRvcyJ9XSwiZm9ybWF0byI6IiMsIyMwIiwiZXRpcXVldGFzIjp0cnVlLCJhbHRvX2NtIjo2fSwidXNvc19jYWphIjp7InRpcG8iOiJjb2x1bW5hc19hcGlsYWRhcyIsInRpdHVsbyI6IlVzb3MgZGUgbGEgY2FqYSAoe3ttZXRhLmRpdmlzYX19LCBtaWxsb25lcykiLCJkYXRvcyI6ImNhbGMuZmx1am9zIiwiY2F0ZWdvcmlhIjoicGVyaW9kbyIsInNlcmllcyI6W3siY2FtcG8iOiJhZHF1aXNpY2lvbmVzIiwibm9tYnJlIjoiQWRxdWlzaWNpb25lcyJ9LHsiY2FtcG8iOiJkaXZpZGVuZG9zIiwibm9tYnJlIjoiRGl2aWRlbmRvcyJ9LHsiY2FtcG8iOiJyZWNvbXByYXMiLCJub21icmUiOiJSZWNvbXByYXMifV0sImZvcm1hdG8iOiIjLCMjMCJ9LCJjb25zZWpvIjp7InRpcG8iOiJkb251dCIsInRpdHVsbyI6IkNvbXBvc2ljacOzbiBkZWwgY29uc2VqbyAobsO6bWVybyBkZSBjb25zZWplcm9zKSIsImRhdG9zIjoiY2FsYy5nb2JpZXJuby5jb21wb3NpY2lvbiIsImNhdGVnb3JpYSI6InRpcG8iLCJzZXJpZXMiOlt7ImNhbXBvIjoibnVtIiwibm9tYnJlIjoiQ29uc2VqZXJvcyJ9XSwiZm9ybWF0byI6IjAiLCJzdW1hMTAwIjpmYWxzZSwiYWx0b19jbSI6Nn0sImFjY2lvbmlzdGFzIjp7InRpcG8iOiJiYXJyYXMiLCJ0aXR1bG8iOiJBY2Npb25pc3RhcyBzaWduaWZpY2F0aXZvcyAoJSBkZWwgY2FwaXRhbCkiLCJkYXRvcyI6ImdvYmllcm5vLmFjY2lvbmlzdGFzIiwiY2F0ZWdvcmlhIjoibm9tYnJlIiwic2VyaWVzIjpbeyJjYW1wbyI6InBjdCIsIm5vbWJyZSI6IiUgZGVsIGNhcGl0YWwifV0sImZvcm1hdG8iOiIwLjBcIiVcIiIsImV0aXF1ZXRhcyI6dHJ1ZSwiYWx0b19jbSI6Ni41fSwiYm9sc2FfYW51YWwiOnsidGlwbyI6ImNvbHVtbmFzIiwidGl0dWxvIjoiUmVudGFiaWxpZGFkIHRvdGFsIHBvciBhw7FvOiBhY2Npw7NuIGZyZW50ZSBhIHN1IMOtbmRpY2UgKCUpIiwiZGF0b3MiOiJib2xzYS5hbnVhbCIsImNhdGVnb3JpYSI6ImFuaW8iLCJzZXJpZXMiOlt7ImNhbXBvIjoiYWNjaW9uX3BjdCIsIm5vbWJyZSI6IkFjY2nDs24ifSx7ImNhbXBvIjoiaW5kaWNlX3BjdCIsIm5vbWJyZSI6IsONbmRpY2UifV0sImZvcm1hdG8iOiIwXCIlXCIiLCJhbHRvX2NtIjo3fSwibXVsdGlwbG9zX2hpc3QiOnsidGlwbyI6ImxpbmVhcyIsInRpdHVsbyI6IkVWL0VCSVREQSBkZSBsb3MgcHLDs3hpbW9zIDEyIG1lc2VzOiBoaXN0b3JpYSB5IG1lZGlhICh2ZWNlcykiLCJkYXRvcyI6ImNhbGMubXVsdGlwbG9zX3NlcmllIiwiY2F0ZWdvcmlhIjoiYW5pbyIsInNlcmllcyI6W3siY2FtcG8iOiJldl9lYml0ZGFfbnRtIiwibm9tYnJlIjoiRVYvRUJJVERBIE5UTS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Hoja1!$B$2:$B$10</c:f>
              <c:numCache>
                <c:formatCode>#,##0.00</c:formatCode>
                <c:ptCount val="9"/>
                <c:pt idx="0">
                  <c:v>24.1</c:v>
                </c:pt>
                <c:pt idx="1">
                  <c:v>27</c:v>
                </c:pt>
                <c:pt idx="2">
                  <c:v>29.34</c:v>
                </c:pt>
                <c:pt idx="3">
                  <c:v>29.92</c:v>
                </c:pt>
                <c:pt idx="4">
                  <c:v>24.52</c:v>
                </c:pt>
                <c:pt idx="5">
                  <c:v>24.16</c:v>
                </c:pt>
                <c:pt idx="6">
                  <c:v>18.51</c:v>
                </c:pt>
                <c:pt idx="7">
                  <c:v>36.48</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8.819999999999997</c:v>
                </c:pt>
                <c:pt idx="6">
                  <c:v>16.94</c:v>
                </c:pt>
                <c:pt idx="7">
                  <c:v>8.470000000000006</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historia y media (veces)</a:t>
            </a:r>
          </a:p>
        </c:rich>
      </c:tx>
      <c:overlay val="0"/>
    </c:title>
    <c:autoTitleDeleted val="0"/>
    <c:plotArea>
      <c:layout/>
      <c:lineChart>
        <c:grouping val="standard"/>
        <c:varyColors val="0"/>
        <c:ser>
          <c:idx val="0"/>
          <c:order val="0"/>
          <c:tx>
            <c:strRef>
              <c:f>Hoja1!$B$1</c:f>
              <c:strCache>
                <c:ptCount val="1"/>
                <c:pt idx="0">
                  <c:v>EV/EBITDA NTM</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0">
                  <c:v>8.4</c:v>
                </c:pt>
                <c:pt idx="1">
                  <c:v>9.1</c:v>
                </c:pt>
                <c:pt idx="2">
                  <c:v>7.6</c:v>
                </c:pt>
                <c:pt idx="3">
                  <c:v>8.8</c:v>
                </c:pt>
                <c:pt idx="4">
                  <c:v>9.6</c:v>
                </c:pt>
                <c:pt idx="5">
                  <c:v>10.9</c:v>
                </c:pt>
                <c:pt idx="6">
                  <c:v>8.2</c:v>
                </c:pt>
                <c:pt idx="7">
                  <c:v>9</c:v>
                </c:pt>
                <c:pt idx="8">
                  <c:v>10.1</c:v>
                </c:pt>
                <c:pt idx="9">
                  <c:v>10.6</c:v>
                </c:pt>
              </c:numCache>
            </c:numRef>
          </c:val>
          <c:smooth val="0"/>
        </c:ser>
        <c:ser>
          <c:idx val="1"/>
          <c:order val="1"/>
          <c:tx>
            <c:strRef>
              <c:f>Hoja1!$C$1</c:f>
              <c:strCache>
                <c:ptCount val="1"/>
                <c:pt idx="0">
                  <c:v>Media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9.2</c:v>
                </c:pt>
                <c:pt idx="1">
                  <c:v>9.2</c:v>
                </c:pt>
                <c:pt idx="2">
                  <c:v>9.2</c:v>
                </c:pt>
                <c:pt idx="3">
                  <c:v>9.2</c:v>
                </c:pt>
                <c:pt idx="4">
                  <c:v>9.2</c:v>
                </c:pt>
                <c:pt idx="5">
                  <c:v>9.2</c:v>
                </c:pt>
                <c:pt idx="6">
                  <c:v>9.2</c:v>
                </c:pt>
                <c:pt idx="7">
                  <c:v>9.2</c:v>
                </c:pt>
                <c:pt idx="8">
                  <c:v>9.2</c:v>
                </c:pt>
                <c:pt idx="9">
                  <c:v>9.2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10.4</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8.4</c:v>
                </c:pt>
              </c:numCache>
            </c:numRef>
          </c:xVal>
          <c:yVal>
            <c:numRef>
              <c:f>Hoja1!$C$2</c:f>
              <c:numCache>
                <c:formatCode>0.0"x"</c:formatCode>
                <c:ptCount val="1"/>
                <c:pt idx="0">
                  <c:v>10.4</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18.51</c:v>
                </c:pt>
                <c:pt idx="1">
                  <c:v>27.89</c:v>
                </c:pt>
                <c:pt idx="2">
                  <c:v>35.45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Hoja1!$B$2:$B$10</c:f>
              <c:numCache>
                <c:formatCode>#,##0.00</c:formatCode>
                <c:ptCount val="9"/>
                <c:pt idx="0">
                  <c:v>24.1</c:v>
                </c:pt>
                <c:pt idx="1">
                  <c:v>27</c:v>
                </c:pt>
                <c:pt idx="2">
                  <c:v>29.34</c:v>
                </c:pt>
                <c:pt idx="3">
                  <c:v>29.92</c:v>
                </c:pt>
                <c:pt idx="4">
                  <c:v>24.52</c:v>
                </c:pt>
                <c:pt idx="5">
                  <c:v>24.16</c:v>
                </c:pt>
                <c:pt idx="6">
                  <c:v>18.51</c:v>
                </c:pt>
                <c:pt idx="7">
                  <c:v>36.48</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(29,34 – 38,54)</c:v>
                </c:pt>
                <c:pt idx="3">
                  <c:v>Comparables: PER NTM (29,92 – 38,77)</c:v>
                </c:pt>
                <c:pt idx="4">
                  <c:v>Transacciones precedentes (24,52 – 35,54)</c:v>
                </c:pt>
                <c:pt idx="5">
                  <c:v>DCF (WACC y g ± 0,5) (24,16 – 32,98)</c:v>
                </c:pt>
                <c:pt idx="6">
                  <c:v>Escenarios (bajista – alcista) (18,51 – 35,45)</c:v>
                </c:pt>
                <c:pt idx="7">
                  <c:v>Suma de partes (36,48 – 44,95)</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8.819999999999997</c:v>
                </c:pt>
                <c:pt idx="6">
                  <c:v>16.94</c:v>
                </c:pt>
                <c:pt idx="7">
                  <c:v>8.470000000000006</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2026-10-06T15:00:29.184Z</dcterms:created>
  <dcterms:modified xsi:type="dcterms:W3CDTF">2026-10-06T15:00:29.186Z</dcterms:modified>
</cp:coreProperties>
</file>

<file path=docProps/custom.xml><?xml version="1.0" encoding="utf-8"?>
<Properties xmlns="http://schemas.openxmlformats.org/officeDocument/2006/custom-properties" xmlns:vt="http://schemas.openxmlformats.org/officeDocument/2006/docPropsVTypes"/>
</file>